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A1A55" w:rsidP="00AA1A55" w:rsidRDefault="00AA1A55" w14:paraId="133FBB0B" w14:textId="77777777">
      <w:pPr>
        <w:spacing w:before="240" w:after="0" w:line="276"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FE6981" w:rsidR="00A76F4A" w:rsidP="003147DD" w:rsidRDefault="00A76F4A" w14:paraId="3530C4E8" w14:textId="77777777">
      <w:pPr>
        <w:suppressAutoHyphens/>
        <w:spacing w:after="0" w:line="276" w:lineRule="auto"/>
        <w:rPr>
          <w:rFonts w:ascii="Palatino Linotype" w:hAnsi="Palatino Linotype" w:eastAsia="Times New Roman" w:cs="Times New Roman"/>
          <w:kern w:val="0"/>
          <w:sz w:val="22"/>
          <w:szCs w:val="16"/>
          <w14:ligatures w14:val="none"/>
        </w:rPr>
      </w:pPr>
    </w:p>
    <w:p w:rsidR="00EC3F06" w:rsidP="00FE6981" w:rsidRDefault="00EC3F06" w14:paraId="13475905" w14:textId="68059E7B">
      <w:pPr>
        <w:tabs>
          <w:tab w:val="left" w:pos="6480"/>
          <w:tab w:val="right" w:pos="8820"/>
        </w:tabs>
        <w:spacing w:after="0" w:line="240" w:lineRule="auto"/>
        <w:rPr>
          <w:rFonts w:ascii="Palatino Linotype" w:hAnsi="Palatino Linotype" w:eastAsia="Times New Roman" w:cs="Times New Roman"/>
          <w:b/>
          <w:kern w:val="0"/>
          <w14:ligatures w14:val="none"/>
        </w:rPr>
      </w:pPr>
    </w:p>
    <w:p w:rsidRPr="00391600" w:rsidR="00A76F4A" w:rsidP="00FE6981" w:rsidRDefault="00A76F4A" w14:paraId="2AFEBBF1" w14:textId="2C3BF589">
      <w:pPr>
        <w:tabs>
          <w:tab w:val="left" w:pos="6480"/>
          <w:tab w:val="right" w:pos="8820"/>
        </w:tabs>
        <w:spacing w:after="0" w:line="240" w:lineRule="auto"/>
        <w:rPr>
          <w:rFonts w:ascii="Palatino Linotype" w:hAnsi="Palatino Linotype" w:eastAsia="Times New Roman" w:cs="Times New Roman"/>
          <w:b/>
          <w:color w:val="000000" w:themeColor="text1"/>
          <w:kern w:val="0"/>
          <w14:ligatures w14:val="none"/>
        </w:rPr>
      </w:pPr>
      <w:r w:rsidRPr="00391600">
        <w:rPr>
          <w:rFonts w:ascii="Palatino Linotype" w:hAnsi="Palatino Linotype" w:eastAsia="Times New Roman" w:cs="Times New Roman"/>
          <w:b/>
          <w:kern w:val="0"/>
          <w14:ligatures w14:val="none"/>
        </w:rPr>
        <w:tab/>
      </w:r>
      <w:r w:rsidRPr="00391600" w:rsidR="0001369D">
        <w:rPr>
          <w:rFonts w:ascii="Palatino Linotype" w:hAnsi="Palatino Linotype" w:eastAsia="Times New Roman" w:cs="Times New Roman"/>
          <w:b/>
          <w:kern w:val="0"/>
          <w14:ligatures w14:val="none"/>
        </w:rPr>
        <w:t xml:space="preserve">      </w:t>
      </w:r>
      <w:r w:rsidRPr="00391600">
        <w:rPr>
          <w:rFonts w:ascii="Palatino Linotype" w:hAnsi="Palatino Linotype" w:eastAsia="Times New Roman" w:cs="Times New Roman"/>
          <w:b/>
          <w:color w:val="000000" w:themeColor="text1"/>
          <w:kern w:val="0"/>
          <w14:ligatures w14:val="none"/>
        </w:rPr>
        <w:t>Agenda ID</w:t>
      </w:r>
      <w:r w:rsidRPr="00391600" w:rsidR="000C4CBF">
        <w:rPr>
          <w:rFonts w:ascii="Palatino Linotype" w:hAnsi="Palatino Linotype" w:eastAsia="Times New Roman" w:cs="Times New Roman"/>
          <w:b/>
          <w:color w:val="000000" w:themeColor="text1"/>
          <w:kern w:val="0"/>
          <w14:ligatures w14:val="none"/>
        </w:rPr>
        <w:t>#</w:t>
      </w:r>
      <w:r w:rsidRPr="00391600" w:rsidR="0001369D">
        <w:rPr>
          <w:rFonts w:ascii="Palatino Linotype" w:hAnsi="Palatino Linotype" w:eastAsia="Times New Roman" w:cs="Times New Roman"/>
          <w:b/>
          <w:color w:val="000000" w:themeColor="text1"/>
          <w:kern w:val="0"/>
          <w14:ligatures w14:val="none"/>
        </w:rPr>
        <w:t xml:space="preserve"> </w:t>
      </w:r>
      <w:r w:rsidRPr="00391600" w:rsidR="000E3A98">
        <w:rPr>
          <w:rFonts w:ascii="Palatino Linotype" w:hAnsi="Palatino Linotype" w:eastAsia="Times New Roman" w:cs="Times New Roman"/>
          <w:b/>
          <w:color w:val="000000" w:themeColor="text1"/>
          <w:kern w:val="0"/>
          <w14:ligatures w14:val="none"/>
        </w:rPr>
        <w:t>24445</w:t>
      </w:r>
    </w:p>
    <w:p w:rsidRPr="00391600" w:rsidR="00A76F4A" w:rsidP="00FE6981" w:rsidRDefault="00204B1B" w14:paraId="097CE738" w14:textId="50138F4F">
      <w:pPr>
        <w:tabs>
          <w:tab w:val="right" w:pos="8820"/>
        </w:tabs>
        <w:spacing w:after="0" w:line="240" w:lineRule="auto"/>
        <w:ind w:left="360"/>
        <w:rPr>
          <w:rFonts w:ascii="Palatino Linotype" w:hAnsi="Palatino Linotype" w:eastAsia="Palatino Linotype" w:cs="Times New Roman"/>
          <w:b/>
          <w:color w:val="000000" w:themeColor="text1"/>
          <w:kern w:val="0"/>
          <w14:ligatures w14:val="none"/>
        </w:rPr>
      </w:pPr>
      <w:r w:rsidRPr="00391600">
        <w:rPr>
          <w:rFonts w:ascii="Palatino Linotype" w:hAnsi="Palatino Linotype" w:eastAsia="Palatino Linotype" w:cs="Times New Roman"/>
          <w:b/>
          <w:color w:val="000000" w:themeColor="text1"/>
          <w:kern w:val="0"/>
          <w14:ligatures w14:val="none"/>
        </w:rPr>
        <w:t>ENERGY DIVISION</w:t>
      </w:r>
      <w:r w:rsidRPr="00391600" w:rsidR="00A76F4A">
        <w:rPr>
          <w:rFonts w:ascii="Palatino Linotype" w:hAnsi="Palatino Linotype" w:eastAsia="Times New Roman" w:cs="Times New Roman"/>
          <w:b/>
          <w:color w:val="000000" w:themeColor="text1"/>
          <w:kern w:val="0"/>
          <w14:ligatures w14:val="none"/>
        </w:rPr>
        <w:tab/>
      </w:r>
      <w:r w:rsidRPr="00391600" w:rsidR="00A76F4A">
        <w:rPr>
          <w:rFonts w:ascii="Palatino Linotype" w:hAnsi="Palatino Linotype" w:eastAsia="Palatino Linotype" w:cs="Times New Roman"/>
          <w:b/>
          <w:color w:val="000000" w:themeColor="text1"/>
          <w:kern w:val="0"/>
          <w14:ligatures w14:val="none"/>
        </w:rPr>
        <w:t xml:space="preserve">       </w:t>
      </w:r>
      <w:r w:rsidRPr="00391600" w:rsidR="00547641">
        <w:rPr>
          <w:rFonts w:ascii="Palatino Linotype" w:hAnsi="Palatino Linotype" w:eastAsia="Palatino Linotype" w:cs="Times New Roman"/>
          <w:b/>
          <w:color w:val="000000" w:themeColor="text1"/>
          <w:kern w:val="0"/>
          <w14:ligatures w14:val="none"/>
        </w:rPr>
        <w:t xml:space="preserve"> </w:t>
      </w:r>
      <w:r w:rsidRPr="00391600" w:rsidR="00A76F4A">
        <w:rPr>
          <w:rFonts w:ascii="Palatino Linotype" w:hAnsi="Palatino Linotype" w:eastAsia="Palatino Linotype" w:cs="Times New Roman"/>
          <w:b/>
          <w:color w:val="000000" w:themeColor="text1"/>
        </w:rPr>
        <w:t xml:space="preserve">RESOLUTION </w:t>
      </w:r>
      <w:r w:rsidRPr="00391600" w:rsidR="00547641">
        <w:rPr>
          <w:rFonts w:ascii="Palatino Linotype" w:hAnsi="Palatino Linotype" w:eastAsia="Palatino Linotype" w:cs="Times New Roman"/>
          <w:b/>
          <w:color w:val="000000" w:themeColor="text1"/>
        </w:rPr>
        <w:t>G</w:t>
      </w:r>
      <w:r w:rsidRPr="00391600" w:rsidR="002E0702">
        <w:rPr>
          <w:rFonts w:ascii="Palatino Linotype" w:hAnsi="Palatino Linotype" w:eastAsia="Palatino Linotype" w:cs="Times New Roman"/>
          <w:b/>
          <w:color w:val="000000" w:themeColor="text1"/>
        </w:rPr>
        <w:t>-3622</w:t>
      </w:r>
    </w:p>
    <w:p w:rsidRPr="00391600" w:rsidR="00A76F4A" w:rsidP="00FE6981" w:rsidRDefault="00883CF5" w14:paraId="17BEFA95" w14:textId="55DC5E6B">
      <w:pPr>
        <w:tabs>
          <w:tab w:val="right" w:pos="8820"/>
        </w:tabs>
        <w:spacing w:after="0" w:line="240" w:lineRule="auto"/>
        <w:ind w:left="5040"/>
        <w:rPr>
          <w:rFonts w:ascii="Palatino Linotype" w:hAnsi="Palatino Linotype" w:eastAsia="Times New Roman" w:cs="Times New Roman"/>
          <w:b/>
          <w:bCs/>
          <w:color w:val="000000" w:themeColor="text1"/>
          <w:kern w:val="0"/>
          <w14:ligatures w14:val="none"/>
        </w:rPr>
      </w:pPr>
      <w:r w:rsidRPr="00391600">
        <w:rPr>
          <w:rFonts w:ascii="Palatino Linotype" w:hAnsi="Palatino Linotype" w:eastAsia="Times New Roman" w:cs="Times New Roman"/>
          <w:b/>
          <w:color w:val="000000" w:themeColor="text1"/>
          <w:kern w:val="0"/>
          <w14:ligatures w14:val="none"/>
        </w:rPr>
        <w:tab/>
      </w:r>
      <w:r w:rsidR="00647226">
        <w:rPr>
          <w:rFonts w:ascii="Palatino Linotype" w:hAnsi="Palatino Linotype" w:eastAsia="Times New Roman" w:cs="Times New Roman"/>
          <w:b/>
          <w:bCs/>
          <w:color w:val="000000" w:themeColor="text1"/>
          <w:kern w:val="0"/>
          <w14:ligatures w14:val="none"/>
        </w:rPr>
        <w:t>November 1</w:t>
      </w:r>
      <w:r w:rsidRPr="00391600" w:rsidR="001E20B2">
        <w:rPr>
          <w:rFonts w:ascii="Palatino Linotype" w:hAnsi="Palatino Linotype" w:eastAsia="Times New Roman" w:cs="Times New Roman"/>
          <w:b/>
          <w:bCs/>
          <w:color w:val="000000" w:themeColor="text1"/>
          <w:kern w:val="0"/>
          <w14:ligatures w14:val="none"/>
        </w:rPr>
        <w:t>9</w:t>
      </w:r>
      <w:r w:rsidRPr="00391600" w:rsidR="006A4E16">
        <w:rPr>
          <w:rFonts w:ascii="Palatino Linotype" w:hAnsi="Palatino Linotype" w:eastAsia="Times New Roman" w:cs="Times New Roman"/>
          <w:b/>
          <w:color w:val="000000" w:themeColor="text1"/>
        </w:rPr>
        <w:t>, 2026</w:t>
      </w:r>
      <w:r w:rsidRPr="00391600" w:rsidR="00FA394A">
        <w:rPr>
          <w:rFonts w:ascii="Palatino Linotype" w:hAnsi="Palatino Linotype" w:eastAsia="Times New Roman" w:cs="Times New Roman"/>
          <w:b/>
          <w:color w:val="000000" w:themeColor="text1"/>
        </w:rPr>
        <w:t xml:space="preserve"> </w:t>
      </w:r>
    </w:p>
    <w:p w:rsidRPr="002F359C" w:rsidR="00A76F4A" w:rsidP="002F359C" w:rsidRDefault="00A76F4A" w14:paraId="4767E366" w14:textId="77777777">
      <w:pPr>
        <w:spacing w:before="240" w:after="0" w:line="276" w:lineRule="auto"/>
        <w:jc w:val="center"/>
        <w:rPr>
          <w:rFonts w:ascii="Helvetica" w:hAnsi="Helvetica" w:eastAsia="Times New Roman" w:cs="Times New Roman"/>
          <w:b/>
          <w:bCs/>
          <w:spacing w:val="80"/>
          <w:kern w:val="0"/>
          <w:sz w:val="26"/>
          <w:szCs w:val="20"/>
          <w:u w:val="single"/>
          <w14:ligatures w14:val="none"/>
        </w:rPr>
      </w:pPr>
      <w:bookmarkStart w:name="_Ref404993683" w:id="0"/>
      <w:r w:rsidRPr="002F359C">
        <w:rPr>
          <w:rFonts w:ascii="Helvetica" w:hAnsi="Helvetica" w:eastAsia="Times New Roman" w:cs="Times New Roman"/>
          <w:b/>
          <w:bCs/>
          <w:spacing w:val="80"/>
          <w:kern w:val="0"/>
          <w:sz w:val="26"/>
          <w:szCs w:val="20"/>
          <w:u w:val="single"/>
          <w14:ligatures w14:val="none"/>
        </w:rPr>
        <w:t>RESOLUTION</w:t>
      </w:r>
    </w:p>
    <w:p w:rsidRPr="00391600" w:rsidR="00A76F4A" w:rsidP="003147DD" w:rsidRDefault="00A76F4A" w14:paraId="778B8F8D" w14:textId="77777777">
      <w:pPr>
        <w:spacing w:after="0" w:line="276" w:lineRule="auto"/>
        <w:rPr>
          <w:rFonts w:ascii="Palatino Linotype" w:hAnsi="Palatino Linotype" w:eastAsia="Palatino Linotype" w:cs="Times New Roman"/>
          <w:kern w:val="0"/>
          <w:sz w:val="26"/>
          <w:szCs w:val="20"/>
          <w14:ligatures w14:val="none"/>
        </w:rPr>
      </w:pPr>
    </w:p>
    <w:p w:rsidRPr="00391600" w:rsidR="00A76F4A" w:rsidP="003147DD" w:rsidRDefault="00A76F4A" w14:paraId="400F09B6" w14:textId="19B391E8">
      <w:pPr>
        <w:spacing w:after="0" w:line="276" w:lineRule="auto"/>
        <w:ind w:left="720" w:right="720"/>
        <w:rPr>
          <w:rFonts w:ascii="Palatino Linotype" w:hAnsi="Palatino Linotype" w:eastAsia="Times New Roman" w:cs="Times New Roman"/>
          <w:kern w:val="0"/>
          <w14:ligatures w14:val="none"/>
        </w:rPr>
      </w:pPr>
      <w:r w:rsidRPr="00391600">
        <w:rPr>
          <w:rFonts w:ascii="Palatino Linotype" w:hAnsi="Palatino Linotype" w:eastAsia="Times New Roman" w:cs="Times New Roman"/>
          <w:kern w:val="0"/>
          <w14:ligatures w14:val="none"/>
        </w:rPr>
        <w:t xml:space="preserve">Resolution </w:t>
      </w:r>
      <w:r w:rsidRPr="00391600" w:rsidR="00B4078F">
        <w:rPr>
          <w:rFonts w:ascii="Palatino Linotype" w:hAnsi="Palatino Linotype" w:eastAsia="Times New Roman" w:cs="Times New Roman"/>
          <w:kern w:val="0"/>
          <w14:ligatures w14:val="none"/>
        </w:rPr>
        <w:t>G-</w:t>
      </w:r>
      <w:r w:rsidRPr="00391600" w:rsidR="002E0702">
        <w:rPr>
          <w:rFonts w:ascii="Palatino Linotype" w:hAnsi="Palatino Linotype" w:eastAsia="Times New Roman" w:cs="Times New Roman"/>
          <w:color w:val="000000" w:themeColor="text1"/>
          <w:kern w:val="0"/>
          <w14:ligatures w14:val="none"/>
        </w:rPr>
        <w:t>3622</w:t>
      </w:r>
      <w:r w:rsidRPr="00391600" w:rsidR="00B4078F">
        <w:rPr>
          <w:rFonts w:ascii="Palatino Linotype" w:hAnsi="Palatino Linotype" w:eastAsia="Times New Roman" w:cs="Times New Roman"/>
          <w:kern w:val="0"/>
          <w14:ligatures w14:val="none"/>
        </w:rPr>
        <w:t xml:space="preserve">. </w:t>
      </w:r>
      <w:r w:rsidRPr="00391600" w:rsidR="00DF30A3">
        <w:rPr>
          <w:rFonts w:ascii="Palatino Linotype" w:hAnsi="Palatino Linotype" w:eastAsia="Times New Roman" w:cs="Times New Roman"/>
          <w:kern w:val="0"/>
          <w14:ligatures w14:val="none"/>
        </w:rPr>
        <w:t>California Energy Commission</w:t>
      </w:r>
      <w:r w:rsidRPr="00391600" w:rsidR="00DF30A3">
        <w:rPr>
          <w:rFonts w:ascii="Palatino Linotype" w:hAnsi="Palatino Linotype" w:eastAsia="Times New Roman" w:cs="Times New Roman"/>
          <w:color w:val="000000" w:themeColor="text1"/>
          <w:kern w:val="0"/>
          <w14:ligatures w14:val="none"/>
        </w:rPr>
        <w:t xml:space="preserve">’s </w:t>
      </w:r>
      <w:r w:rsidRPr="00391600" w:rsidR="6B8E70D5">
        <w:rPr>
          <w:rFonts w:ascii="Palatino Linotype" w:hAnsi="Palatino Linotype" w:eastAsia="Times New Roman" w:cs="Times New Roman"/>
          <w:color w:val="000000" w:themeColor="text1"/>
        </w:rPr>
        <w:t xml:space="preserve">(CEC’s) </w:t>
      </w:r>
      <w:r w:rsidRPr="00391600" w:rsidR="00E14F40">
        <w:rPr>
          <w:rFonts w:ascii="Palatino Linotype" w:hAnsi="Palatino Linotype" w:eastAsia="Times New Roman" w:cs="Times New Roman"/>
        </w:rPr>
        <w:t xml:space="preserve">Gas </w:t>
      </w:r>
      <w:r w:rsidRPr="00391600" w:rsidR="00166F97">
        <w:rPr>
          <w:rFonts w:ascii="Palatino Linotype" w:hAnsi="Palatino Linotype" w:eastAsia="Times New Roman" w:cs="Times New Roman"/>
        </w:rPr>
        <w:t xml:space="preserve">Research, Development, and Demonstration </w:t>
      </w:r>
      <w:r w:rsidRPr="00391600" w:rsidR="00DE79ED">
        <w:rPr>
          <w:rFonts w:ascii="Palatino Linotype" w:hAnsi="Palatino Linotype" w:eastAsia="Times New Roman" w:cs="Times New Roman"/>
        </w:rPr>
        <w:t>Plan</w:t>
      </w:r>
      <w:r w:rsidRPr="00391600" w:rsidR="00EE2202">
        <w:rPr>
          <w:rFonts w:ascii="Palatino Linotype" w:hAnsi="Palatino Linotype" w:eastAsia="Times New Roman" w:cs="Times New Roman"/>
        </w:rPr>
        <w:t>s</w:t>
      </w:r>
      <w:r w:rsidRPr="00391600" w:rsidR="00166F97">
        <w:rPr>
          <w:rFonts w:ascii="Palatino Linotype" w:hAnsi="Palatino Linotype" w:eastAsia="Times New Roman" w:cs="Times New Roman"/>
        </w:rPr>
        <w:t xml:space="preserve"> for </w:t>
      </w:r>
      <w:r w:rsidRPr="00391600" w:rsidR="00C94CFC">
        <w:rPr>
          <w:rFonts w:ascii="Palatino Linotype" w:hAnsi="Palatino Linotype" w:eastAsia="Times New Roman" w:cs="Times New Roman"/>
        </w:rPr>
        <w:t>F</w:t>
      </w:r>
      <w:r w:rsidRPr="00391600" w:rsidR="00186BEB">
        <w:rPr>
          <w:rFonts w:ascii="Palatino Linotype" w:hAnsi="Palatino Linotype" w:eastAsia="Times New Roman" w:cs="Times New Roman"/>
        </w:rPr>
        <w:t xml:space="preserve">iscal Years </w:t>
      </w:r>
      <w:r w:rsidRPr="00391600" w:rsidR="00C94CFC">
        <w:rPr>
          <w:rFonts w:ascii="Palatino Linotype" w:hAnsi="Palatino Linotype" w:eastAsia="Times New Roman" w:cs="Times New Roman"/>
        </w:rPr>
        <w:t xml:space="preserve">2024-2025 </w:t>
      </w:r>
      <w:r w:rsidRPr="00391600" w:rsidR="004A5025">
        <w:rPr>
          <w:rFonts w:ascii="Palatino Linotype" w:hAnsi="Palatino Linotype" w:eastAsia="Times New Roman" w:cs="Times New Roman"/>
        </w:rPr>
        <w:t>(</w:t>
      </w:r>
      <w:r w:rsidRPr="00391600" w:rsidR="40EC61EC">
        <w:rPr>
          <w:rFonts w:ascii="Palatino Linotype" w:hAnsi="Palatino Linotype" w:eastAsia="Times New Roman" w:cs="Times New Roman"/>
        </w:rPr>
        <w:t xml:space="preserve">CEC </w:t>
      </w:r>
      <w:r w:rsidRPr="00391600" w:rsidR="004A5025">
        <w:rPr>
          <w:rFonts w:ascii="Palatino Linotype" w:hAnsi="Palatino Linotype" w:eastAsia="Times New Roman" w:cs="Times New Roman"/>
        </w:rPr>
        <w:t xml:space="preserve">Advice Letter 12-G) </w:t>
      </w:r>
      <w:r w:rsidRPr="00391600" w:rsidR="00DF30A3">
        <w:rPr>
          <w:rFonts w:ascii="Palatino Linotype" w:hAnsi="Palatino Linotype" w:eastAsia="Times New Roman" w:cs="Times New Roman"/>
        </w:rPr>
        <w:t xml:space="preserve">and </w:t>
      </w:r>
      <w:r w:rsidRPr="00391600" w:rsidR="00C94CFC">
        <w:rPr>
          <w:rFonts w:ascii="Palatino Linotype" w:hAnsi="Palatino Linotype" w:eastAsia="Times New Roman" w:cs="Times New Roman"/>
        </w:rPr>
        <w:t>2025-2026</w:t>
      </w:r>
      <w:r w:rsidRPr="00391600" w:rsidR="004A5025">
        <w:rPr>
          <w:rFonts w:ascii="Palatino Linotype" w:hAnsi="Palatino Linotype" w:eastAsia="Times New Roman" w:cs="Times New Roman"/>
        </w:rPr>
        <w:t xml:space="preserve"> (</w:t>
      </w:r>
      <w:r w:rsidRPr="00391600" w:rsidR="3FFAB575">
        <w:rPr>
          <w:rFonts w:ascii="Palatino Linotype" w:hAnsi="Palatino Linotype" w:eastAsia="Times New Roman" w:cs="Times New Roman"/>
        </w:rPr>
        <w:t xml:space="preserve">CEC </w:t>
      </w:r>
      <w:r w:rsidRPr="00391600" w:rsidR="004A5025">
        <w:rPr>
          <w:rFonts w:ascii="Palatino Linotype" w:hAnsi="Palatino Linotype" w:eastAsia="Times New Roman" w:cs="Times New Roman"/>
        </w:rPr>
        <w:t>Advice Letter 10-G</w:t>
      </w:r>
      <w:r w:rsidRPr="00391600" w:rsidR="004A5025">
        <w:rPr>
          <w:rFonts w:ascii="Palatino Linotype" w:hAnsi="Palatino Linotype" w:eastAsia="Times New Roman" w:cs="Times New Roman"/>
          <w:color w:val="000000" w:themeColor="text1"/>
        </w:rPr>
        <w:t>-A</w:t>
      </w:r>
      <w:r w:rsidRPr="00391600" w:rsidR="004A5025">
        <w:rPr>
          <w:rFonts w:ascii="Palatino Linotype" w:hAnsi="Palatino Linotype" w:eastAsia="Times New Roman" w:cs="Times New Roman"/>
        </w:rPr>
        <w:t>)</w:t>
      </w:r>
      <w:r w:rsidRPr="00391600" w:rsidR="00E14F40">
        <w:rPr>
          <w:rFonts w:ascii="Palatino Linotype" w:hAnsi="Palatino Linotype" w:eastAsia="Times New Roman" w:cs="Times New Roman"/>
        </w:rPr>
        <w:t>.</w:t>
      </w:r>
    </w:p>
    <w:p w:rsidRPr="00391600" w:rsidR="00A76F4A" w:rsidP="003147DD" w:rsidRDefault="00A76F4A" w14:paraId="0054523B" w14:textId="77777777">
      <w:pPr>
        <w:spacing w:after="0" w:line="276" w:lineRule="auto"/>
        <w:ind w:right="720"/>
        <w:rPr>
          <w:rFonts w:ascii="Palatino Linotype" w:hAnsi="Palatino Linotype" w:eastAsia="Palatino Linotype" w:cs="Times New Roman"/>
          <w:kern w:val="0"/>
          <w14:ligatures w14:val="none"/>
        </w:rPr>
      </w:pPr>
    </w:p>
    <w:p w:rsidRPr="00391600" w:rsidR="00A76F4A" w:rsidP="003147DD" w:rsidRDefault="00A76F4A" w14:paraId="3DE3512A"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kern w:val="0"/>
          <w14:ligatures w14:val="none"/>
        </w:rPr>
        <w:t xml:space="preserve">PROPOSED OUTCOME: </w:t>
      </w:r>
    </w:p>
    <w:p w:rsidRPr="00391600" w:rsidR="00015F80" w:rsidP="008F51D1" w:rsidRDefault="00E14F40" w14:paraId="228CF6C2" w14:textId="036613EB">
      <w:pPr>
        <w:pStyle w:val="ListParagraph"/>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rPr>
        <w:t>Approves</w:t>
      </w:r>
      <w:r w:rsidRPr="00391600" w:rsidR="002005C1">
        <w:rPr>
          <w:rFonts w:ascii="Palatino Linotype" w:hAnsi="Palatino Linotype" w:eastAsia="Times New Roman" w:cs="Times New Roman"/>
          <w:color w:val="000000" w:themeColor="text1"/>
        </w:rPr>
        <w:t xml:space="preserve">, in part, </w:t>
      </w:r>
      <w:r w:rsidRPr="00391600">
        <w:rPr>
          <w:rFonts w:ascii="Palatino Linotype" w:hAnsi="Palatino Linotype" w:eastAsia="Times New Roman" w:cs="Times New Roman"/>
          <w:color w:val="000000" w:themeColor="text1"/>
        </w:rPr>
        <w:t>the</w:t>
      </w:r>
      <w:r w:rsidRPr="00391600" w:rsidR="005C3E89">
        <w:rPr>
          <w:rFonts w:ascii="Palatino Linotype" w:hAnsi="Palatino Linotype" w:eastAsia="Times New Roman" w:cs="Times New Roman"/>
          <w:color w:val="000000" w:themeColor="text1"/>
        </w:rPr>
        <w:t xml:space="preserve"> California Energy Commission</w:t>
      </w:r>
      <w:r w:rsidRPr="00391600">
        <w:rPr>
          <w:rFonts w:ascii="Palatino Linotype" w:hAnsi="Palatino Linotype" w:eastAsia="Times New Roman" w:cs="Times New Roman"/>
          <w:color w:val="000000" w:themeColor="text1"/>
        </w:rPr>
        <w:t xml:space="preserve">’s </w:t>
      </w:r>
      <w:r w:rsidRPr="00391600" w:rsidR="005C3E89">
        <w:rPr>
          <w:rFonts w:ascii="Palatino Linotype" w:hAnsi="Palatino Linotype" w:eastAsia="Times New Roman" w:cs="Times New Roman"/>
          <w:color w:val="000000" w:themeColor="text1"/>
        </w:rPr>
        <w:t xml:space="preserve">(CEC’s) </w:t>
      </w:r>
      <w:r w:rsidRPr="00391600">
        <w:rPr>
          <w:rFonts w:ascii="Palatino Linotype" w:hAnsi="Palatino Linotype" w:eastAsia="Times New Roman" w:cs="Times New Roman"/>
          <w:color w:val="000000" w:themeColor="text1"/>
        </w:rPr>
        <w:t>Gas Research, Development, and Demonstration</w:t>
      </w:r>
      <w:r w:rsidRPr="00391600" w:rsidR="00F0441C">
        <w:rPr>
          <w:rFonts w:ascii="Palatino Linotype" w:hAnsi="Palatino Linotype" w:eastAsia="Times New Roman" w:cs="Times New Roman"/>
          <w:color w:val="000000" w:themeColor="text1"/>
        </w:rPr>
        <w:t xml:space="preserve"> (RD&amp;D)</w:t>
      </w:r>
      <w:r w:rsidRPr="00391600">
        <w:rPr>
          <w:rFonts w:ascii="Palatino Linotype" w:hAnsi="Palatino Linotype" w:eastAsia="Times New Roman" w:cs="Times New Roman"/>
          <w:color w:val="000000" w:themeColor="text1"/>
        </w:rPr>
        <w:t xml:space="preserve"> </w:t>
      </w:r>
      <w:r w:rsidRPr="00391600" w:rsidR="00DE79ED">
        <w:rPr>
          <w:rFonts w:ascii="Palatino Linotype" w:hAnsi="Palatino Linotype" w:eastAsia="Times New Roman" w:cs="Times New Roman"/>
          <w:color w:val="000000" w:themeColor="text1"/>
        </w:rPr>
        <w:t>Plan</w:t>
      </w:r>
      <w:r w:rsidRPr="00391600" w:rsidR="00EE2202">
        <w:rPr>
          <w:rFonts w:ascii="Palatino Linotype" w:hAnsi="Palatino Linotype" w:eastAsia="Times New Roman" w:cs="Times New Roman"/>
          <w:color w:val="000000" w:themeColor="text1"/>
        </w:rPr>
        <w:t>s</w:t>
      </w:r>
      <w:r w:rsidRPr="00391600" w:rsidR="004B6D53">
        <w:rPr>
          <w:rFonts w:ascii="Palatino Linotype" w:hAnsi="Palatino Linotype" w:eastAsia="Times New Roman" w:cs="Times New Roman"/>
          <w:color w:val="000000" w:themeColor="text1"/>
        </w:rPr>
        <w:t xml:space="preserve"> for</w:t>
      </w:r>
      <w:r w:rsidRPr="00391600">
        <w:rPr>
          <w:rFonts w:ascii="Palatino Linotype" w:hAnsi="Palatino Linotype" w:eastAsia="Times New Roman" w:cs="Times New Roman"/>
          <w:color w:val="000000" w:themeColor="text1"/>
        </w:rPr>
        <w:t xml:space="preserve"> </w:t>
      </w:r>
      <w:r w:rsidRPr="00391600" w:rsidR="003D6579">
        <w:rPr>
          <w:rFonts w:ascii="Palatino Linotype" w:hAnsi="Palatino Linotype" w:eastAsia="Times New Roman" w:cs="Times New Roman"/>
          <w:color w:val="000000" w:themeColor="text1"/>
        </w:rPr>
        <w:t>F</w:t>
      </w:r>
      <w:r w:rsidRPr="00391600" w:rsidR="007D1510">
        <w:rPr>
          <w:rFonts w:ascii="Palatino Linotype" w:hAnsi="Palatino Linotype" w:eastAsia="Times New Roman" w:cs="Times New Roman"/>
          <w:color w:val="000000" w:themeColor="text1"/>
        </w:rPr>
        <w:t>iscal Years</w:t>
      </w:r>
      <w:r w:rsidRPr="00391600" w:rsidR="00CD1CE4">
        <w:rPr>
          <w:rFonts w:ascii="Palatino Linotype" w:hAnsi="Palatino Linotype" w:eastAsia="Times New Roman" w:cs="Times New Roman"/>
          <w:color w:val="000000" w:themeColor="text1"/>
        </w:rPr>
        <w:t xml:space="preserve"> </w:t>
      </w:r>
      <w:r w:rsidRPr="00391600" w:rsidR="00DA668C">
        <w:rPr>
          <w:rFonts w:ascii="Palatino Linotype" w:hAnsi="Palatino Linotype" w:eastAsia="Times New Roman" w:cs="Times New Roman"/>
          <w:color w:val="000000" w:themeColor="text1"/>
        </w:rPr>
        <w:t xml:space="preserve">(FYs) </w:t>
      </w:r>
      <w:r w:rsidRPr="00391600" w:rsidR="005C3E89">
        <w:rPr>
          <w:rFonts w:ascii="Palatino Linotype" w:hAnsi="Palatino Linotype" w:eastAsia="Times New Roman" w:cs="Times New Roman"/>
          <w:color w:val="000000" w:themeColor="text1"/>
        </w:rPr>
        <w:t>2024</w:t>
      </w:r>
      <w:r w:rsidRPr="00391600" w:rsidR="003D6579">
        <w:rPr>
          <w:rFonts w:ascii="Palatino Linotype" w:hAnsi="Palatino Linotype" w:eastAsia="Times New Roman" w:cs="Times New Roman"/>
          <w:color w:val="000000" w:themeColor="text1"/>
        </w:rPr>
        <w:t>-2025</w:t>
      </w:r>
      <w:r w:rsidRPr="00391600" w:rsidR="005C3E89">
        <w:rPr>
          <w:rFonts w:ascii="Palatino Linotype" w:hAnsi="Palatino Linotype" w:eastAsia="Times New Roman" w:cs="Times New Roman"/>
          <w:color w:val="000000" w:themeColor="text1"/>
        </w:rPr>
        <w:t xml:space="preserve"> </w:t>
      </w:r>
      <w:r w:rsidRPr="00391600" w:rsidR="00ED2B79">
        <w:rPr>
          <w:rFonts w:ascii="Palatino Linotype" w:hAnsi="Palatino Linotype" w:eastAsia="Times New Roman" w:cs="Times New Roman"/>
          <w:color w:val="000000" w:themeColor="text1"/>
        </w:rPr>
        <w:t>(</w:t>
      </w:r>
      <w:r w:rsidRPr="00391600" w:rsidR="0085611B">
        <w:rPr>
          <w:rFonts w:ascii="Palatino Linotype" w:hAnsi="Palatino Linotype" w:eastAsia="Times New Roman" w:cs="Times New Roman"/>
          <w:color w:val="000000" w:themeColor="text1"/>
        </w:rPr>
        <w:t xml:space="preserve">CEC </w:t>
      </w:r>
      <w:r w:rsidRPr="00391600" w:rsidR="00ED2B79">
        <w:rPr>
          <w:rFonts w:ascii="Palatino Linotype" w:hAnsi="Palatino Linotype" w:eastAsia="Times New Roman" w:cs="Times New Roman"/>
          <w:color w:val="000000" w:themeColor="text1"/>
        </w:rPr>
        <w:t>A</w:t>
      </w:r>
      <w:r w:rsidRPr="00391600" w:rsidR="0085611B">
        <w:rPr>
          <w:rFonts w:ascii="Palatino Linotype" w:hAnsi="Palatino Linotype" w:eastAsia="Times New Roman" w:cs="Times New Roman"/>
          <w:color w:val="000000" w:themeColor="text1"/>
        </w:rPr>
        <w:t>dvice Letter</w:t>
      </w:r>
      <w:r w:rsidRPr="00391600" w:rsidR="00ED2B79">
        <w:rPr>
          <w:rFonts w:ascii="Palatino Linotype" w:hAnsi="Palatino Linotype" w:eastAsia="Times New Roman" w:cs="Times New Roman"/>
          <w:color w:val="000000" w:themeColor="text1"/>
        </w:rPr>
        <w:t xml:space="preserve"> </w:t>
      </w:r>
      <w:r w:rsidRPr="00391600" w:rsidR="002005C1">
        <w:rPr>
          <w:rFonts w:ascii="Palatino Linotype" w:hAnsi="Palatino Linotype" w:eastAsia="Times New Roman" w:cs="Times New Roman"/>
          <w:color w:val="000000" w:themeColor="text1"/>
        </w:rPr>
        <w:t>12</w:t>
      </w:r>
      <w:r w:rsidRPr="00391600" w:rsidR="00ED2B79">
        <w:rPr>
          <w:rFonts w:ascii="Palatino Linotype" w:hAnsi="Palatino Linotype" w:eastAsia="Times New Roman" w:cs="Times New Roman"/>
          <w:color w:val="000000" w:themeColor="text1"/>
        </w:rPr>
        <w:t xml:space="preserve">-G) </w:t>
      </w:r>
      <w:r w:rsidRPr="00391600" w:rsidR="003D6579">
        <w:rPr>
          <w:rFonts w:ascii="Palatino Linotype" w:hAnsi="Palatino Linotype" w:eastAsia="Times New Roman" w:cs="Times New Roman"/>
          <w:color w:val="000000" w:themeColor="text1"/>
        </w:rPr>
        <w:t xml:space="preserve">and 2025-2026 </w:t>
      </w:r>
      <w:r w:rsidRPr="00391600" w:rsidR="00ED2B79">
        <w:rPr>
          <w:rFonts w:ascii="Palatino Linotype" w:hAnsi="Palatino Linotype" w:eastAsia="Times New Roman" w:cs="Times New Roman"/>
          <w:color w:val="000000" w:themeColor="text1"/>
        </w:rPr>
        <w:t>(</w:t>
      </w:r>
      <w:r w:rsidRPr="00391600" w:rsidR="0085611B">
        <w:rPr>
          <w:rFonts w:ascii="Palatino Linotype" w:hAnsi="Palatino Linotype" w:eastAsia="Times New Roman" w:cs="Times New Roman"/>
          <w:color w:val="000000" w:themeColor="text1"/>
        </w:rPr>
        <w:t>CEC Advice Letter</w:t>
      </w:r>
      <w:r w:rsidRPr="00391600" w:rsidR="00ED2B79">
        <w:rPr>
          <w:rFonts w:ascii="Palatino Linotype" w:hAnsi="Palatino Linotype" w:eastAsia="Times New Roman" w:cs="Times New Roman"/>
          <w:color w:val="000000" w:themeColor="text1"/>
        </w:rPr>
        <w:t xml:space="preserve"> </w:t>
      </w:r>
      <w:r w:rsidRPr="00391600" w:rsidR="002005C1">
        <w:rPr>
          <w:rFonts w:ascii="Palatino Linotype" w:hAnsi="Palatino Linotype" w:eastAsia="Times New Roman" w:cs="Times New Roman"/>
          <w:color w:val="000000" w:themeColor="text1"/>
        </w:rPr>
        <w:t>10</w:t>
      </w:r>
      <w:r w:rsidRPr="00391600" w:rsidR="00ED2B79">
        <w:rPr>
          <w:rFonts w:ascii="Palatino Linotype" w:hAnsi="Palatino Linotype" w:eastAsia="Times New Roman" w:cs="Times New Roman"/>
          <w:color w:val="000000" w:themeColor="text1"/>
        </w:rPr>
        <w:t>-G</w:t>
      </w:r>
      <w:r w:rsidRPr="00391600" w:rsidR="002005C1">
        <w:rPr>
          <w:rFonts w:ascii="Palatino Linotype" w:hAnsi="Palatino Linotype" w:eastAsia="Times New Roman" w:cs="Times New Roman"/>
          <w:color w:val="000000" w:themeColor="text1"/>
        </w:rPr>
        <w:t>-A</w:t>
      </w:r>
      <w:r w:rsidRPr="00391600" w:rsidR="00ED2B79">
        <w:rPr>
          <w:rFonts w:ascii="Palatino Linotype" w:hAnsi="Palatino Linotype" w:eastAsia="Times New Roman" w:cs="Times New Roman"/>
          <w:color w:val="000000" w:themeColor="text1"/>
        </w:rPr>
        <w:t xml:space="preserve">) </w:t>
      </w:r>
      <w:r w:rsidRPr="00391600" w:rsidR="004B6D53">
        <w:rPr>
          <w:rFonts w:ascii="Palatino Linotype" w:hAnsi="Palatino Linotype" w:eastAsia="Times New Roman" w:cs="Times New Roman"/>
          <w:color w:val="000000" w:themeColor="text1"/>
        </w:rPr>
        <w:t>with</w:t>
      </w:r>
      <w:r w:rsidRPr="00391600" w:rsidR="003D6579">
        <w:rPr>
          <w:rFonts w:ascii="Palatino Linotype" w:hAnsi="Palatino Linotype" w:eastAsia="Times New Roman" w:cs="Times New Roman"/>
          <w:color w:val="000000" w:themeColor="text1"/>
        </w:rPr>
        <w:t xml:space="preserve"> </w:t>
      </w:r>
      <w:r w:rsidRPr="00391600" w:rsidR="004B6D53">
        <w:rPr>
          <w:rFonts w:ascii="Palatino Linotype" w:hAnsi="Palatino Linotype" w:eastAsia="Times New Roman" w:cs="Times New Roman"/>
          <w:color w:val="000000" w:themeColor="text1"/>
        </w:rPr>
        <w:t>budget</w:t>
      </w:r>
      <w:r w:rsidRPr="00391600" w:rsidR="003D6579">
        <w:rPr>
          <w:rFonts w:ascii="Palatino Linotype" w:hAnsi="Palatino Linotype" w:eastAsia="Times New Roman" w:cs="Times New Roman"/>
          <w:color w:val="000000" w:themeColor="text1"/>
        </w:rPr>
        <w:t>s</w:t>
      </w:r>
      <w:r w:rsidRPr="00391600" w:rsidR="004B6D53">
        <w:rPr>
          <w:rFonts w:ascii="Palatino Linotype" w:hAnsi="Palatino Linotype" w:eastAsia="Times New Roman" w:cs="Times New Roman"/>
          <w:color w:val="000000" w:themeColor="text1"/>
        </w:rPr>
        <w:t xml:space="preserve"> of </w:t>
      </w:r>
      <w:r w:rsidRPr="00391600" w:rsidR="00EE2202">
        <w:rPr>
          <w:rFonts w:ascii="Palatino Linotype" w:hAnsi="Palatino Linotype" w:eastAsia="Times New Roman" w:cs="Times New Roman"/>
          <w:color w:val="000000" w:themeColor="text1"/>
        </w:rPr>
        <w:t>$24</w:t>
      </w:r>
      <w:r w:rsidRPr="00391600" w:rsidR="00DA668C">
        <w:rPr>
          <w:rFonts w:ascii="Palatino Linotype" w:hAnsi="Palatino Linotype" w:eastAsia="Times New Roman" w:cs="Times New Roman"/>
          <w:color w:val="000000" w:themeColor="text1"/>
        </w:rPr>
        <w:t>M</w:t>
      </w:r>
      <w:r w:rsidRPr="00391600" w:rsidR="003D6579">
        <w:rPr>
          <w:rFonts w:ascii="Palatino Linotype" w:hAnsi="Palatino Linotype" w:eastAsia="Times New Roman" w:cs="Times New Roman"/>
          <w:color w:val="000000" w:themeColor="text1"/>
        </w:rPr>
        <w:t xml:space="preserve"> </w:t>
      </w:r>
      <w:r w:rsidRPr="00391600" w:rsidR="00990FB7">
        <w:rPr>
          <w:rFonts w:ascii="Palatino Linotype" w:hAnsi="Palatino Linotype" w:eastAsia="Times New Roman" w:cs="Times New Roman"/>
          <w:color w:val="000000" w:themeColor="text1"/>
        </w:rPr>
        <w:t xml:space="preserve">requested in </w:t>
      </w:r>
      <w:r w:rsidRPr="00391600" w:rsidR="003D6579">
        <w:rPr>
          <w:rFonts w:ascii="Palatino Linotype" w:hAnsi="Palatino Linotype" w:eastAsia="Times New Roman" w:cs="Times New Roman"/>
          <w:color w:val="000000" w:themeColor="text1"/>
        </w:rPr>
        <w:t>each, totaling $</w:t>
      </w:r>
      <w:r w:rsidRPr="00391600" w:rsidR="002F1723">
        <w:rPr>
          <w:rFonts w:ascii="Palatino Linotype" w:hAnsi="Palatino Linotype" w:eastAsia="Times New Roman" w:cs="Times New Roman"/>
          <w:color w:val="000000" w:themeColor="text1"/>
        </w:rPr>
        <w:t>48</w:t>
      </w:r>
      <w:r w:rsidRPr="00391600" w:rsidR="00DA668C">
        <w:rPr>
          <w:rFonts w:ascii="Palatino Linotype" w:hAnsi="Palatino Linotype" w:eastAsia="Times New Roman" w:cs="Times New Roman"/>
          <w:color w:val="000000" w:themeColor="text1"/>
        </w:rPr>
        <w:t>M</w:t>
      </w:r>
      <w:r w:rsidRPr="00391600" w:rsidR="003D6579">
        <w:rPr>
          <w:rFonts w:ascii="Palatino Linotype" w:hAnsi="Palatino Linotype" w:eastAsia="Times New Roman" w:cs="Times New Roman"/>
          <w:color w:val="000000" w:themeColor="text1"/>
        </w:rPr>
        <w:t>,</w:t>
      </w:r>
      <w:r w:rsidRPr="00391600" w:rsidR="00617C53">
        <w:rPr>
          <w:rFonts w:ascii="Palatino Linotype" w:hAnsi="Palatino Linotype" w:eastAsia="Times New Roman" w:cs="Times New Roman"/>
          <w:color w:val="000000" w:themeColor="text1"/>
        </w:rPr>
        <w:t xml:space="preserve"> </w:t>
      </w:r>
      <w:r w:rsidRPr="00391600" w:rsidR="00B4078F">
        <w:rPr>
          <w:rFonts w:ascii="Palatino Linotype" w:hAnsi="Palatino Linotype" w:eastAsia="Times New Roman" w:cs="Times New Roman"/>
          <w:color w:val="000000" w:themeColor="text1"/>
        </w:rPr>
        <w:t>pursuant to</w:t>
      </w:r>
      <w:r w:rsidRPr="00391600" w:rsidR="00F11156">
        <w:rPr>
          <w:rFonts w:ascii="Palatino Linotype" w:hAnsi="Palatino Linotype" w:eastAsia="Times New Roman" w:cs="Times New Roman"/>
          <w:color w:val="000000" w:themeColor="text1"/>
        </w:rPr>
        <w:t xml:space="preserve"> </w:t>
      </w:r>
      <w:r w:rsidRPr="00391600" w:rsidR="00617C53">
        <w:rPr>
          <w:rFonts w:ascii="Palatino Linotype" w:hAnsi="Palatino Linotype" w:eastAsia="Times New Roman" w:cs="Times New Roman"/>
          <w:color w:val="000000" w:themeColor="text1"/>
        </w:rPr>
        <w:t>Decision (D.)</w:t>
      </w:r>
      <w:r w:rsidRPr="00391600" w:rsidR="003F64F2">
        <w:rPr>
          <w:rFonts w:ascii="Palatino Linotype" w:hAnsi="Palatino Linotype" w:eastAsia="Times New Roman" w:cs="Times New Roman"/>
          <w:color w:val="000000" w:themeColor="text1"/>
        </w:rPr>
        <w:t xml:space="preserve"> </w:t>
      </w:r>
      <w:r w:rsidRPr="00391600" w:rsidR="00617C53">
        <w:rPr>
          <w:rFonts w:ascii="Palatino Linotype" w:hAnsi="Palatino Linotype" w:eastAsia="Times New Roman" w:cs="Times New Roman"/>
          <w:color w:val="000000" w:themeColor="text1"/>
        </w:rPr>
        <w:t>04-08-010</w:t>
      </w:r>
      <w:r w:rsidRPr="00391600" w:rsidR="00B4078F">
        <w:rPr>
          <w:rFonts w:ascii="Palatino Linotype" w:hAnsi="Palatino Linotype" w:eastAsia="Times New Roman" w:cs="Times New Roman"/>
          <w:color w:val="000000" w:themeColor="text1"/>
        </w:rPr>
        <w:t>.</w:t>
      </w:r>
      <w:r w:rsidRPr="00391600" w:rsidR="008F51D1">
        <w:rPr>
          <w:rFonts w:ascii="Palatino Linotype" w:hAnsi="Palatino Linotype" w:eastAsia="Times New Roman" w:cs="Times New Roman"/>
          <w:color w:val="000000" w:themeColor="text1"/>
        </w:rPr>
        <w:t xml:space="preserve"> </w:t>
      </w:r>
      <w:r w:rsidRPr="00391600" w:rsidR="002C06B0">
        <w:rPr>
          <w:rFonts w:ascii="Palatino Linotype" w:hAnsi="Palatino Linotype" w:eastAsia="Times New Roman" w:cs="Times New Roman"/>
          <w:color w:val="000000" w:themeColor="text1"/>
        </w:rPr>
        <w:t>D</w:t>
      </w:r>
      <w:r w:rsidRPr="00391600" w:rsidR="001158D6">
        <w:rPr>
          <w:rFonts w:ascii="Palatino Linotype" w:hAnsi="Palatino Linotype" w:eastAsia="Times New Roman" w:cs="Times New Roman"/>
          <w:color w:val="000000" w:themeColor="text1"/>
        </w:rPr>
        <w:t xml:space="preserve">irects </w:t>
      </w:r>
      <w:r w:rsidRPr="00391600" w:rsidR="0022227A">
        <w:rPr>
          <w:rFonts w:ascii="Palatino Linotype" w:hAnsi="Palatino Linotype" w:eastAsia="Times New Roman" w:cs="Times New Roman"/>
          <w:color w:val="000000" w:themeColor="text1"/>
        </w:rPr>
        <w:t xml:space="preserve">the </w:t>
      </w:r>
      <w:r w:rsidRPr="00391600" w:rsidR="001158D6">
        <w:rPr>
          <w:rFonts w:ascii="Palatino Linotype" w:hAnsi="Palatino Linotype" w:eastAsia="Times New Roman" w:cs="Times New Roman"/>
          <w:color w:val="000000" w:themeColor="text1"/>
        </w:rPr>
        <w:t>CEC to submit revised Gas RD&amp;D Plans via Tier 2 Advice Letter</w:t>
      </w:r>
      <w:r w:rsidRPr="00391600" w:rsidR="004B742B">
        <w:rPr>
          <w:rFonts w:ascii="Palatino Linotype" w:hAnsi="Palatino Linotype" w:eastAsia="Times New Roman" w:cs="Times New Roman"/>
          <w:color w:val="000000" w:themeColor="text1"/>
        </w:rPr>
        <w:t>s</w:t>
      </w:r>
      <w:r w:rsidRPr="00391600" w:rsidR="001158D6">
        <w:rPr>
          <w:rFonts w:ascii="Palatino Linotype" w:hAnsi="Palatino Linotype" w:eastAsia="Times New Roman" w:cs="Times New Roman"/>
          <w:color w:val="000000" w:themeColor="text1"/>
        </w:rPr>
        <w:t xml:space="preserve"> with modifications described in this Resolution.</w:t>
      </w:r>
      <w:r w:rsidRPr="00391600" w:rsidR="001D6760">
        <w:rPr>
          <w:rFonts w:ascii="Palatino Linotype" w:hAnsi="Palatino Linotype" w:eastAsia="Times New Roman" w:cs="Times New Roman"/>
          <w:color w:val="000000" w:themeColor="text1"/>
        </w:rPr>
        <w:t xml:space="preserve"> </w:t>
      </w:r>
    </w:p>
    <w:p w:rsidRPr="00391600" w:rsidR="00785517" w:rsidP="00C81649" w:rsidRDefault="00785517" w14:paraId="5C630314" w14:textId="23999376">
      <w:pPr>
        <w:numPr>
          <w:ilvl w:val="0"/>
          <w:numId w:val="2"/>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t xml:space="preserve">Modifies </w:t>
      </w:r>
      <w:proofErr w:type="gramStart"/>
      <w:r w:rsidRPr="00391600">
        <w:rPr>
          <w:rFonts w:ascii="Palatino Linotype" w:hAnsi="Palatino Linotype" w:eastAsia="Times New Roman" w:cs="Times New Roman"/>
          <w:color w:val="000000" w:themeColor="text1"/>
        </w:rPr>
        <w:t>the CEC’s</w:t>
      </w:r>
      <w:proofErr w:type="gramEnd"/>
      <w:r w:rsidRPr="00391600">
        <w:rPr>
          <w:rFonts w:ascii="Palatino Linotype" w:hAnsi="Palatino Linotype" w:eastAsia="Times New Roman" w:cs="Times New Roman"/>
          <w:color w:val="000000" w:themeColor="text1"/>
        </w:rPr>
        <w:t xml:space="preserve"> Gas RD&amp;D</w:t>
      </w:r>
      <w:r w:rsidRPr="00391600" w:rsidR="00630554">
        <w:rPr>
          <w:rFonts w:ascii="Palatino Linotype" w:hAnsi="Palatino Linotype" w:eastAsia="Times New Roman" w:cs="Times New Roman"/>
          <w:color w:val="000000" w:themeColor="text1"/>
          <w:kern w:val="0"/>
          <w14:ligatures w14:val="none"/>
        </w:rPr>
        <w:t xml:space="preserve"> </w:t>
      </w:r>
      <w:r w:rsidRPr="00391600">
        <w:rPr>
          <w:rFonts w:ascii="Palatino Linotype" w:hAnsi="Palatino Linotype" w:eastAsia="Times New Roman" w:cs="Times New Roman"/>
          <w:color w:val="000000" w:themeColor="text1"/>
          <w:kern w:val="0"/>
          <w14:ligatures w14:val="none"/>
        </w:rPr>
        <w:t>compliance filing requirements</w:t>
      </w:r>
      <w:r w:rsidRPr="00391600" w:rsidR="009441A3">
        <w:rPr>
          <w:rFonts w:ascii="Palatino Linotype" w:hAnsi="Palatino Linotype" w:eastAsia="Times New Roman" w:cs="Times New Roman"/>
          <w:color w:val="000000" w:themeColor="text1"/>
          <w:kern w:val="0"/>
          <w14:ligatures w14:val="none"/>
        </w:rPr>
        <w:t>.</w:t>
      </w:r>
    </w:p>
    <w:p w:rsidRPr="00391600" w:rsidR="00A76F4A" w:rsidP="003147DD" w:rsidRDefault="00A76F4A" w14:paraId="711BBA7A" w14:textId="77777777">
      <w:pPr>
        <w:spacing w:after="0" w:line="276" w:lineRule="auto"/>
        <w:rPr>
          <w:rFonts w:ascii="Palatino Linotype" w:hAnsi="Palatino Linotype" w:eastAsia="Palatino Linotype" w:cs="Times New Roman"/>
          <w:kern w:val="0"/>
          <w:sz w:val="10"/>
          <w:szCs w:val="10"/>
          <w14:ligatures w14:val="none"/>
        </w:rPr>
      </w:pPr>
    </w:p>
    <w:p w:rsidRPr="00391600" w:rsidR="00A76F4A" w:rsidP="003147DD" w:rsidRDefault="00A76F4A" w14:paraId="4FCDC265"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SAFETY CONSIDERATIONS:</w:t>
      </w:r>
    </w:p>
    <w:p w:rsidRPr="00391600" w:rsidR="00A76F4A" w:rsidP="00A556C9" w:rsidRDefault="008F11A4" w14:paraId="5760DCB3" w14:textId="771CE4E3">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t>This Resolution approves</w:t>
      </w:r>
      <w:r w:rsidRPr="00391600" w:rsidR="00C230F3">
        <w:rPr>
          <w:rFonts w:ascii="Palatino Linotype" w:hAnsi="Palatino Linotype" w:eastAsia="Times New Roman" w:cs="Times New Roman"/>
          <w:color w:val="000000" w:themeColor="text1"/>
          <w:kern w:val="0"/>
          <w14:ligatures w14:val="none"/>
        </w:rPr>
        <w:t xml:space="preserve"> safety-related</w:t>
      </w:r>
      <w:r w:rsidRPr="00391600">
        <w:rPr>
          <w:rFonts w:ascii="Palatino Linotype" w:hAnsi="Palatino Linotype" w:eastAsia="Times New Roman" w:cs="Times New Roman"/>
          <w:color w:val="000000" w:themeColor="text1"/>
          <w:kern w:val="0"/>
          <w14:ligatures w14:val="none"/>
        </w:rPr>
        <w:t xml:space="preserve"> </w:t>
      </w:r>
      <w:r w:rsidRPr="00391600" w:rsidR="003C5718">
        <w:rPr>
          <w:rFonts w:ascii="Palatino Linotype" w:hAnsi="Palatino Linotype" w:eastAsia="Times New Roman" w:cs="Times New Roman"/>
          <w:color w:val="000000" w:themeColor="text1"/>
          <w:kern w:val="0"/>
          <w14:ligatures w14:val="none"/>
        </w:rPr>
        <w:t>RD&amp;D funding.</w:t>
      </w:r>
    </w:p>
    <w:p w:rsidRPr="00391600" w:rsidR="00A76F4A" w:rsidP="003147DD" w:rsidRDefault="00A76F4A" w14:paraId="64A6B8D1" w14:textId="77777777">
      <w:pPr>
        <w:spacing w:after="0" w:line="276" w:lineRule="auto"/>
        <w:ind w:left="720" w:right="720"/>
        <w:rPr>
          <w:rFonts w:ascii="Palatino Linotype" w:hAnsi="Palatino Linotype" w:eastAsia="Palatino Linotype" w:cs="Times New Roman"/>
          <w:color w:val="000000" w:themeColor="text1"/>
          <w:kern w:val="0"/>
          <w:sz w:val="16"/>
          <w:szCs w:val="16"/>
          <w14:ligatures w14:val="none"/>
        </w:rPr>
      </w:pPr>
    </w:p>
    <w:p w:rsidRPr="00391600" w:rsidR="00A76F4A" w:rsidP="003147DD" w:rsidRDefault="00A76F4A" w14:paraId="6B0D0B8E" w14:textId="77777777">
      <w:pPr>
        <w:spacing w:after="0" w:line="276" w:lineRule="auto"/>
        <w:ind w:left="720" w:right="720"/>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ESTIMATED COST:  </w:t>
      </w:r>
    </w:p>
    <w:p w:rsidRPr="00391600" w:rsidR="00A76F4A" w:rsidP="00D86735" w:rsidRDefault="00210D1B" w14:paraId="0ADF6FD2" w14:textId="1EA2DED7">
      <w:pPr>
        <w:numPr>
          <w:ilvl w:val="0"/>
          <w:numId w:val="1"/>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t>Approves</w:t>
      </w:r>
      <w:r w:rsidRPr="00391600" w:rsidR="3683125F">
        <w:rPr>
          <w:rFonts w:ascii="Palatino Linotype" w:hAnsi="Palatino Linotype" w:eastAsia="Times New Roman" w:cs="Times New Roman"/>
          <w:color w:val="000000" w:themeColor="text1"/>
        </w:rPr>
        <w:t xml:space="preserve"> CEC</w:t>
      </w:r>
      <w:r w:rsidRPr="00391600">
        <w:rPr>
          <w:rFonts w:ascii="Palatino Linotype" w:hAnsi="Palatino Linotype" w:eastAsia="Times New Roman" w:cs="Times New Roman"/>
          <w:color w:val="000000" w:themeColor="text1"/>
        </w:rPr>
        <w:t xml:space="preserve"> </w:t>
      </w:r>
      <w:r w:rsidRPr="00391600" w:rsidR="3E8C39F7">
        <w:rPr>
          <w:rFonts w:ascii="Palatino Linotype" w:hAnsi="Palatino Linotype" w:eastAsia="Times New Roman" w:cs="Times New Roman"/>
          <w:color w:val="000000" w:themeColor="text1"/>
        </w:rPr>
        <w:t>utilization of</w:t>
      </w:r>
      <w:r w:rsidRPr="00391600">
        <w:rPr>
          <w:rFonts w:ascii="Palatino Linotype" w:hAnsi="Palatino Linotype" w:eastAsia="Times New Roman" w:cs="Times New Roman"/>
          <w:color w:val="000000" w:themeColor="text1"/>
        </w:rPr>
        <w:t xml:space="preserve"> </w:t>
      </w:r>
      <w:r w:rsidRPr="00391600" w:rsidR="003D6579">
        <w:rPr>
          <w:rFonts w:ascii="Palatino Linotype" w:hAnsi="Palatino Linotype" w:eastAsia="Times New Roman" w:cs="Times New Roman"/>
          <w:color w:val="000000" w:themeColor="text1"/>
        </w:rPr>
        <w:t>$</w:t>
      </w:r>
      <w:r w:rsidRPr="00391600" w:rsidR="006167E2">
        <w:rPr>
          <w:rFonts w:ascii="Palatino Linotype" w:hAnsi="Palatino Linotype" w:eastAsia="Times New Roman" w:cs="Times New Roman"/>
          <w:color w:val="000000" w:themeColor="text1"/>
        </w:rPr>
        <w:t>21.6M</w:t>
      </w:r>
      <w:r w:rsidRPr="00391600" w:rsidR="00D86735">
        <w:rPr>
          <w:rFonts w:ascii="Palatino Linotype" w:hAnsi="Palatino Linotype" w:eastAsia="Times New Roman" w:cs="Times New Roman"/>
          <w:color w:val="000000" w:themeColor="text1"/>
        </w:rPr>
        <w:t xml:space="preserve"> and $9,476,69</w:t>
      </w:r>
      <w:r w:rsidRPr="00391600" w:rsidR="001D12E0">
        <w:rPr>
          <w:rFonts w:ascii="Palatino Linotype" w:hAnsi="Palatino Linotype" w:eastAsia="Times New Roman" w:cs="Times New Roman"/>
          <w:color w:val="000000" w:themeColor="text1"/>
        </w:rPr>
        <w:t>0</w:t>
      </w:r>
      <w:r w:rsidRPr="00391600" w:rsidR="003D6579">
        <w:rPr>
          <w:rFonts w:ascii="Palatino Linotype" w:hAnsi="Palatino Linotype" w:eastAsia="Times New Roman" w:cs="Times New Roman"/>
          <w:color w:val="000000" w:themeColor="text1"/>
        </w:rPr>
        <w:t xml:space="preserve"> </w:t>
      </w:r>
      <w:r w:rsidRPr="00391600">
        <w:rPr>
          <w:rFonts w:ascii="Palatino Linotype" w:hAnsi="Palatino Linotype" w:eastAsia="Times New Roman" w:cs="Times New Roman"/>
          <w:color w:val="000000" w:themeColor="text1"/>
        </w:rPr>
        <w:t xml:space="preserve">in </w:t>
      </w:r>
      <w:r w:rsidRPr="00391600" w:rsidR="006167E2">
        <w:rPr>
          <w:rFonts w:ascii="Palatino Linotype" w:hAnsi="Palatino Linotype" w:eastAsia="Times New Roman" w:cs="Times New Roman"/>
          <w:color w:val="000000" w:themeColor="text1"/>
        </w:rPr>
        <w:t xml:space="preserve">previously </w:t>
      </w:r>
      <w:r w:rsidRPr="00391600" w:rsidR="00CE71FF">
        <w:rPr>
          <w:rFonts w:ascii="Palatino Linotype" w:hAnsi="Palatino Linotype" w:eastAsia="Times New Roman" w:cs="Times New Roman"/>
          <w:color w:val="000000" w:themeColor="text1"/>
        </w:rPr>
        <w:t>collected</w:t>
      </w:r>
      <w:r w:rsidRPr="00391600" w:rsidR="006167E2">
        <w:rPr>
          <w:rFonts w:ascii="Palatino Linotype" w:hAnsi="Palatino Linotype" w:eastAsia="Times New Roman" w:cs="Times New Roman"/>
          <w:color w:val="000000" w:themeColor="text1"/>
        </w:rPr>
        <w:t xml:space="preserve"> </w:t>
      </w:r>
      <w:r w:rsidRPr="00391600" w:rsidR="00485248">
        <w:rPr>
          <w:rFonts w:ascii="Palatino Linotype" w:hAnsi="Palatino Linotype" w:eastAsia="Times New Roman" w:cs="Times New Roman"/>
          <w:color w:val="000000" w:themeColor="text1"/>
        </w:rPr>
        <w:t xml:space="preserve">unspent </w:t>
      </w:r>
      <w:r w:rsidRPr="00391600">
        <w:rPr>
          <w:rFonts w:ascii="Palatino Linotype" w:hAnsi="Palatino Linotype" w:eastAsia="Times New Roman" w:cs="Times New Roman"/>
          <w:color w:val="000000" w:themeColor="text1"/>
        </w:rPr>
        <w:t xml:space="preserve">ratepayer </w:t>
      </w:r>
      <w:r w:rsidRPr="00391600" w:rsidR="006167E2">
        <w:rPr>
          <w:rFonts w:ascii="Palatino Linotype" w:hAnsi="Palatino Linotype" w:eastAsia="Times New Roman" w:cs="Times New Roman"/>
          <w:color w:val="000000" w:themeColor="text1"/>
        </w:rPr>
        <w:t>funds</w:t>
      </w:r>
      <w:r w:rsidRPr="00391600" w:rsidDel="007413C2" w:rsidR="006167E2">
        <w:rPr>
          <w:rFonts w:ascii="Palatino Linotype" w:hAnsi="Palatino Linotype" w:eastAsia="Times New Roman" w:cs="Times New Roman"/>
          <w:color w:val="000000" w:themeColor="text1"/>
        </w:rPr>
        <w:t xml:space="preserve"> </w:t>
      </w:r>
      <w:r w:rsidRPr="00391600" w:rsidR="00604C73">
        <w:rPr>
          <w:rFonts w:ascii="Palatino Linotype" w:hAnsi="Palatino Linotype" w:eastAsia="Times New Roman" w:cs="Times New Roman"/>
          <w:color w:val="000000" w:themeColor="text1"/>
        </w:rPr>
        <w:t>to be used first</w:t>
      </w:r>
      <w:r w:rsidRPr="00391600" w:rsidR="00485248">
        <w:rPr>
          <w:rFonts w:ascii="Palatino Linotype" w:hAnsi="Palatino Linotype" w:eastAsia="Times New Roman" w:cs="Times New Roman"/>
          <w:color w:val="000000" w:themeColor="text1"/>
        </w:rPr>
        <w:t xml:space="preserve"> </w:t>
      </w:r>
      <w:r w:rsidRPr="00391600" w:rsidR="002B3892">
        <w:rPr>
          <w:rFonts w:ascii="Palatino Linotype" w:hAnsi="Palatino Linotype" w:eastAsia="Times New Roman" w:cs="Times New Roman"/>
          <w:color w:val="000000" w:themeColor="text1"/>
        </w:rPr>
        <w:t xml:space="preserve">for </w:t>
      </w:r>
      <w:r w:rsidRPr="00391600" w:rsidR="00BF004D">
        <w:rPr>
          <w:rFonts w:ascii="Palatino Linotype" w:hAnsi="Palatino Linotype" w:eastAsia="Times New Roman" w:cs="Times New Roman"/>
          <w:color w:val="000000" w:themeColor="text1"/>
        </w:rPr>
        <w:t>each Plan</w:t>
      </w:r>
      <w:r w:rsidRPr="00391600" w:rsidR="005A5A07">
        <w:rPr>
          <w:rFonts w:ascii="Palatino Linotype" w:hAnsi="Palatino Linotype" w:eastAsia="Times New Roman" w:cs="Times New Roman"/>
          <w:color w:val="000000" w:themeColor="text1"/>
        </w:rPr>
        <w:t>,</w:t>
      </w:r>
      <w:r w:rsidRPr="00391600" w:rsidR="00F51BB4">
        <w:rPr>
          <w:rFonts w:ascii="Palatino Linotype" w:hAnsi="Palatino Linotype" w:eastAsia="Times New Roman" w:cs="Times New Roman"/>
          <w:color w:val="000000" w:themeColor="text1"/>
        </w:rPr>
        <w:t xml:space="preserve"> </w:t>
      </w:r>
      <w:r w:rsidRPr="00391600" w:rsidR="00D86735">
        <w:rPr>
          <w:rFonts w:ascii="Palatino Linotype" w:hAnsi="Palatino Linotype" w:eastAsia="Times New Roman" w:cs="Times New Roman"/>
          <w:color w:val="000000" w:themeColor="text1"/>
        </w:rPr>
        <w:t xml:space="preserve">respectively. </w:t>
      </w:r>
      <w:r w:rsidRPr="00391600" w:rsidR="00CA336C">
        <w:rPr>
          <w:rFonts w:ascii="Palatino Linotype" w:hAnsi="Palatino Linotype" w:eastAsia="Times New Roman" w:cs="Times New Roman"/>
          <w:color w:val="000000" w:themeColor="text1"/>
        </w:rPr>
        <w:t xml:space="preserve">Total </w:t>
      </w:r>
      <w:r w:rsidRPr="00391600" w:rsidR="00CE71FF">
        <w:rPr>
          <w:rFonts w:ascii="Palatino Linotype" w:hAnsi="Palatino Linotype" w:eastAsia="Times New Roman" w:cs="Times New Roman"/>
          <w:color w:val="000000" w:themeColor="text1"/>
        </w:rPr>
        <w:t xml:space="preserve">additional </w:t>
      </w:r>
      <w:r w:rsidRPr="00391600" w:rsidR="00CA336C">
        <w:rPr>
          <w:rFonts w:ascii="Palatino Linotype" w:hAnsi="Palatino Linotype" w:eastAsia="Times New Roman" w:cs="Times New Roman"/>
          <w:color w:val="000000" w:themeColor="text1"/>
        </w:rPr>
        <w:t xml:space="preserve">Ratepayer Cost is </w:t>
      </w:r>
      <w:r w:rsidRPr="00391600" w:rsidR="5C6DA740">
        <w:rPr>
          <w:rFonts w:ascii="Palatino Linotype" w:hAnsi="Palatino Linotype" w:eastAsia="Times New Roman" w:cs="Times New Roman"/>
          <w:color w:val="000000" w:themeColor="text1"/>
        </w:rPr>
        <w:t xml:space="preserve">expected to be </w:t>
      </w:r>
      <w:r w:rsidRPr="00391600" w:rsidR="000D1B00">
        <w:rPr>
          <w:rFonts w:ascii="Palatino Linotype" w:hAnsi="Palatino Linotype"/>
          <w:color w:val="000000" w:themeColor="text1"/>
        </w:rPr>
        <w:t>$</w:t>
      </w:r>
      <w:r w:rsidRPr="00391600" w:rsidR="00A41197">
        <w:rPr>
          <w:rFonts w:ascii="Palatino Linotype" w:hAnsi="Palatino Linotype"/>
          <w:color w:val="000000" w:themeColor="text1"/>
        </w:rPr>
        <w:t>16,923,310</w:t>
      </w:r>
      <w:r w:rsidRPr="00391600" w:rsidR="11808205">
        <w:rPr>
          <w:rFonts w:ascii="Palatino Linotype" w:hAnsi="Palatino Linotype"/>
          <w:color w:val="000000" w:themeColor="text1"/>
        </w:rPr>
        <w:t xml:space="preserve"> but </w:t>
      </w:r>
      <w:r w:rsidRPr="00391600" w:rsidR="00F809E9">
        <w:rPr>
          <w:rFonts w:ascii="Palatino Linotype" w:hAnsi="Palatino Linotype"/>
          <w:color w:val="000000" w:themeColor="text1"/>
        </w:rPr>
        <w:t>may</w:t>
      </w:r>
      <w:r w:rsidRPr="00391600" w:rsidR="11808205">
        <w:rPr>
          <w:rFonts w:ascii="Palatino Linotype" w:hAnsi="Palatino Linotype"/>
          <w:color w:val="000000" w:themeColor="text1"/>
        </w:rPr>
        <w:t xml:space="preserve"> be modified as described herein</w:t>
      </w:r>
      <w:r w:rsidRPr="00391600" w:rsidR="00D86735">
        <w:rPr>
          <w:rFonts w:ascii="Palatino Linotype" w:hAnsi="Palatino Linotype" w:eastAsia="Times New Roman" w:cs="Times New Roman"/>
          <w:color w:val="000000" w:themeColor="text1"/>
        </w:rPr>
        <w:t>.</w:t>
      </w:r>
    </w:p>
    <w:p w:rsidRPr="00391600" w:rsidR="00A76F4A" w:rsidP="003147DD" w:rsidRDefault="00A76F4A" w14:paraId="38D179E5" w14:textId="77777777">
      <w:pPr>
        <w:spacing w:after="0" w:line="276" w:lineRule="auto"/>
        <w:ind w:left="720" w:right="720"/>
        <w:rPr>
          <w:rFonts w:ascii="Palatino Linotype" w:hAnsi="Palatino Linotype" w:eastAsia="Palatino Linotype" w:cs="Times New Roman"/>
          <w:kern w:val="0"/>
          <w:sz w:val="10"/>
          <w:szCs w:val="10"/>
          <w14:ligatures w14:val="none"/>
        </w:rPr>
      </w:pPr>
    </w:p>
    <w:p w:rsidRPr="00391600" w:rsidR="00A76F4A" w:rsidP="003147DD" w:rsidRDefault="00A76F4A" w14:paraId="573E1F48" w14:textId="7EB29AAE">
      <w:pPr>
        <w:spacing w:after="0" w:line="276" w:lineRule="auto"/>
        <w:ind w:left="720" w:right="720"/>
        <w:rPr>
          <w:rFonts w:ascii="Palatino Linotype" w:hAnsi="Palatino Linotype" w:eastAsia="Palatino Linotype" w:cs="Times New Roman"/>
          <w:kern w:val="0"/>
          <w14:ligatures w14:val="none"/>
        </w:rPr>
      </w:pPr>
      <w:r w:rsidRPr="00391600">
        <w:rPr>
          <w:rFonts w:ascii="Palatino Linotype" w:hAnsi="Palatino Linotype" w:eastAsia="Palatino Linotype" w:cs="Times New Roman"/>
          <w:kern w:val="0"/>
          <w14:ligatures w14:val="none"/>
        </w:rPr>
        <w:t xml:space="preserve">By </w:t>
      </w:r>
      <w:r w:rsidRPr="00391600" w:rsidR="00A529A5">
        <w:rPr>
          <w:rFonts w:ascii="Palatino Linotype" w:hAnsi="Palatino Linotype" w:eastAsia="Palatino Linotype" w:cs="Times New Roman"/>
          <w:kern w:val="0"/>
          <w14:ligatures w14:val="none"/>
        </w:rPr>
        <w:t xml:space="preserve">CEC </w:t>
      </w:r>
      <w:r w:rsidRPr="00391600">
        <w:rPr>
          <w:rFonts w:ascii="Palatino Linotype" w:hAnsi="Palatino Linotype" w:eastAsia="Palatino Linotype" w:cs="Times New Roman"/>
          <w:kern w:val="0"/>
          <w14:ligatures w14:val="none"/>
        </w:rPr>
        <w:t xml:space="preserve">Advice Letter </w:t>
      </w:r>
      <w:r w:rsidRPr="00391600" w:rsidR="004E78BD">
        <w:rPr>
          <w:rFonts w:ascii="Palatino Linotype" w:hAnsi="Palatino Linotype" w:eastAsia="Palatino Linotype" w:cs="Times New Roman"/>
          <w:kern w:val="0"/>
          <w14:ligatures w14:val="none"/>
        </w:rPr>
        <w:t>12</w:t>
      </w:r>
      <w:r w:rsidRPr="00391600" w:rsidR="00DD7332">
        <w:rPr>
          <w:rFonts w:ascii="Palatino Linotype" w:hAnsi="Palatino Linotype" w:eastAsia="Palatino Linotype" w:cs="Times New Roman"/>
          <w:kern w:val="0"/>
          <w14:ligatures w14:val="none"/>
        </w:rPr>
        <w:t>-G</w:t>
      </w:r>
      <w:r w:rsidRPr="00391600" w:rsidR="00E876E5">
        <w:rPr>
          <w:rFonts w:ascii="Palatino Linotype" w:hAnsi="Palatino Linotype" w:eastAsia="Palatino Linotype" w:cs="Times New Roman"/>
          <w:kern w:val="0"/>
          <w14:ligatures w14:val="none"/>
        </w:rPr>
        <w:t xml:space="preserve"> for </w:t>
      </w:r>
      <w:r w:rsidRPr="00391600" w:rsidR="004B742B">
        <w:rPr>
          <w:rFonts w:ascii="Palatino Linotype" w:hAnsi="Palatino Linotype" w:eastAsia="Palatino Linotype" w:cs="Times New Roman"/>
          <w:kern w:val="0"/>
          <w14:ligatures w14:val="none"/>
        </w:rPr>
        <w:t>FY</w:t>
      </w:r>
      <w:r w:rsidRPr="00391600" w:rsidR="00E876E5">
        <w:rPr>
          <w:rFonts w:ascii="Palatino Linotype" w:hAnsi="Palatino Linotype" w:eastAsia="Palatino Linotype" w:cs="Times New Roman"/>
          <w:kern w:val="0"/>
          <w14:ligatures w14:val="none"/>
        </w:rPr>
        <w:t xml:space="preserve"> 2024-2025</w:t>
      </w:r>
      <w:r w:rsidRPr="00391600">
        <w:rPr>
          <w:rFonts w:ascii="Palatino Linotype" w:hAnsi="Palatino Linotype" w:eastAsia="Palatino Linotype" w:cs="Times New Roman"/>
          <w:kern w:val="0"/>
          <w14:ligatures w14:val="none"/>
        </w:rPr>
        <w:t xml:space="preserve">, </w:t>
      </w:r>
      <w:r w:rsidRPr="00391600" w:rsidR="00271CAA">
        <w:rPr>
          <w:rFonts w:ascii="Palatino Linotype" w:hAnsi="Palatino Linotype" w:eastAsia="Palatino Linotype" w:cs="Times New Roman"/>
          <w:kern w:val="0"/>
          <w14:ligatures w14:val="none"/>
        </w:rPr>
        <w:t>F</w:t>
      </w:r>
      <w:r w:rsidRPr="00391600">
        <w:rPr>
          <w:rFonts w:ascii="Palatino Linotype" w:hAnsi="Palatino Linotype" w:eastAsia="Palatino Linotype" w:cs="Times New Roman"/>
          <w:kern w:val="0"/>
          <w14:ligatures w14:val="none"/>
        </w:rPr>
        <w:t xml:space="preserve">iled on </w:t>
      </w:r>
      <w:r w:rsidRPr="00391600" w:rsidR="00754435">
        <w:rPr>
          <w:rFonts w:ascii="Palatino Linotype" w:hAnsi="Palatino Linotype" w:eastAsia="Palatino Linotype" w:cs="Times New Roman"/>
          <w:kern w:val="0"/>
          <w14:ligatures w14:val="none"/>
        </w:rPr>
        <w:t>August 8</w:t>
      </w:r>
      <w:r w:rsidRPr="00391600" w:rsidR="004B742B">
        <w:rPr>
          <w:rFonts w:ascii="Palatino Linotype" w:hAnsi="Palatino Linotype" w:eastAsia="Palatino Linotype" w:cs="Times New Roman"/>
          <w:kern w:val="0"/>
          <w14:ligatures w14:val="none"/>
        </w:rPr>
        <w:t>, 2025</w:t>
      </w:r>
      <w:r w:rsidRPr="00391600" w:rsidR="00E876E5">
        <w:rPr>
          <w:rFonts w:ascii="Palatino Linotype" w:hAnsi="Palatino Linotype" w:eastAsia="Palatino Linotype" w:cs="Times New Roman"/>
          <w:kern w:val="0"/>
          <w14:ligatures w14:val="none"/>
        </w:rPr>
        <w:t>,</w:t>
      </w:r>
      <w:r w:rsidRPr="00391600" w:rsidR="00C5347D">
        <w:rPr>
          <w:rFonts w:ascii="Palatino Linotype" w:hAnsi="Palatino Linotype" w:eastAsia="Palatino Linotype" w:cs="Times New Roman"/>
          <w:kern w:val="0"/>
          <w14:ligatures w14:val="none"/>
        </w:rPr>
        <w:t xml:space="preserve"> and </w:t>
      </w:r>
      <w:r w:rsidRPr="00391600" w:rsidR="00A529A5">
        <w:rPr>
          <w:rFonts w:ascii="Palatino Linotype" w:hAnsi="Palatino Linotype" w:eastAsia="Palatino Linotype" w:cs="Times New Roman"/>
          <w:kern w:val="0"/>
          <w14:ligatures w14:val="none"/>
        </w:rPr>
        <w:t>CEC</w:t>
      </w:r>
      <w:r w:rsidRPr="00391600" w:rsidR="002F1723">
        <w:rPr>
          <w:rFonts w:ascii="Palatino Linotype" w:hAnsi="Palatino Linotype" w:eastAsia="Palatino Linotype" w:cs="Times New Roman"/>
          <w:kern w:val="0"/>
          <w14:ligatures w14:val="none"/>
        </w:rPr>
        <w:t xml:space="preserve"> Advice Letter </w:t>
      </w:r>
      <w:r w:rsidRPr="00391600" w:rsidR="004E78BD">
        <w:rPr>
          <w:rFonts w:ascii="Palatino Linotype" w:hAnsi="Palatino Linotype" w:eastAsia="Palatino Linotype" w:cs="Times New Roman"/>
          <w:kern w:val="0"/>
          <w14:ligatures w14:val="none"/>
        </w:rPr>
        <w:t>10</w:t>
      </w:r>
      <w:r w:rsidRPr="00391600" w:rsidR="002F1723">
        <w:rPr>
          <w:rFonts w:ascii="Palatino Linotype" w:hAnsi="Palatino Linotype" w:eastAsia="Palatino Linotype" w:cs="Times New Roman"/>
          <w:kern w:val="0"/>
          <w14:ligatures w14:val="none"/>
        </w:rPr>
        <w:t>-G</w:t>
      </w:r>
      <w:r w:rsidRPr="00391600" w:rsidR="00C5347D">
        <w:rPr>
          <w:rFonts w:ascii="Palatino Linotype" w:hAnsi="Palatino Linotype" w:eastAsia="Palatino Linotype" w:cs="Times New Roman"/>
          <w:kern w:val="0"/>
          <w14:ligatures w14:val="none"/>
        </w:rPr>
        <w:t xml:space="preserve">, 10-G-A </w:t>
      </w:r>
      <w:r w:rsidRPr="00391600" w:rsidR="00E876E5">
        <w:rPr>
          <w:rFonts w:ascii="Palatino Linotype" w:hAnsi="Palatino Linotype" w:eastAsia="Palatino Linotype" w:cs="Times New Roman"/>
          <w:kern w:val="0"/>
          <w14:ligatures w14:val="none"/>
        </w:rPr>
        <w:t xml:space="preserve">for </w:t>
      </w:r>
      <w:r w:rsidRPr="00391600" w:rsidR="004B742B">
        <w:rPr>
          <w:rFonts w:ascii="Palatino Linotype" w:hAnsi="Palatino Linotype" w:eastAsia="Palatino Linotype" w:cs="Times New Roman"/>
          <w:kern w:val="0"/>
          <w14:ligatures w14:val="none"/>
        </w:rPr>
        <w:t>FY</w:t>
      </w:r>
      <w:r w:rsidRPr="00391600" w:rsidR="00E876E5">
        <w:rPr>
          <w:rFonts w:ascii="Palatino Linotype" w:hAnsi="Palatino Linotype" w:eastAsia="Palatino Linotype" w:cs="Times New Roman"/>
          <w:kern w:val="0"/>
          <w14:ligatures w14:val="none"/>
        </w:rPr>
        <w:t xml:space="preserve"> 2025-2026</w:t>
      </w:r>
      <w:r w:rsidRPr="00391600" w:rsidR="002F1723">
        <w:rPr>
          <w:rFonts w:ascii="Palatino Linotype" w:hAnsi="Palatino Linotype" w:eastAsia="Palatino Linotype" w:cs="Times New Roman"/>
          <w:kern w:val="0"/>
          <w14:ligatures w14:val="none"/>
        </w:rPr>
        <w:t>, Filed on</w:t>
      </w:r>
      <w:r w:rsidRPr="00391600" w:rsidR="00C5347D">
        <w:rPr>
          <w:rFonts w:ascii="Palatino Linotype" w:hAnsi="Palatino Linotype" w:eastAsia="Palatino Linotype" w:cs="Times New Roman"/>
          <w:kern w:val="0"/>
          <w14:ligatures w14:val="none"/>
        </w:rPr>
        <w:t xml:space="preserve"> </w:t>
      </w:r>
      <w:r w:rsidR="006D0A69">
        <w:rPr>
          <w:rFonts w:ascii="Palatino Linotype" w:hAnsi="Palatino Linotype" w:eastAsia="Palatino Linotype" w:cs="Times New Roman"/>
          <w:kern w:val="0"/>
          <w14:ligatures w14:val="none"/>
        </w:rPr>
        <w:br/>
      </w:r>
      <w:r w:rsidRPr="00391600" w:rsidR="00C5347D">
        <w:rPr>
          <w:rFonts w:ascii="Palatino Linotype" w:hAnsi="Palatino Linotype" w:eastAsia="Palatino Linotype" w:cs="Times New Roman"/>
          <w:kern w:val="0"/>
          <w14:ligatures w14:val="none"/>
        </w:rPr>
        <w:t>March 28, 2025</w:t>
      </w:r>
      <w:r w:rsidRPr="00391600" w:rsidR="007C4B5B">
        <w:rPr>
          <w:rFonts w:ascii="Palatino Linotype" w:hAnsi="Palatino Linotype" w:eastAsia="Palatino Linotype" w:cs="Times New Roman"/>
          <w:kern w:val="0"/>
          <w14:ligatures w14:val="none"/>
        </w:rPr>
        <w:t>,</w:t>
      </w:r>
      <w:r w:rsidRPr="00391600" w:rsidR="002F1723">
        <w:rPr>
          <w:rFonts w:ascii="Palatino Linotype" w:hAnsi="Palatino Linotype" w:eastAsia="Palatino Linotype" w:cs="Times New Roman"/>
          <w:kern w:val="0"/>
          <w14:ligatures w14:val="none"/>
        </w:rPr>
        <w:t xml:space="preserve"> </w:t>
      </w:r>
      <w:r w:rsidRPr="00391600" w:rsidR="00271CAA">
        <w:rPr>
          <w:rFonts w:ascii="Palatino Linotype" w:hAnsi="Palatino Linotype" w:eastAsia="Palatino Linotype" w:cs="Times New Roman"/>
          <w:kern w:val="0"/>
          <w14:ligatures w14:val="none"/>
        </w:rPr>
        <w:t xml:space="preserve">October 3, </w:t>
      </w:r>
      <w:r w:rsidRPr="00391600" w:rsidR="0011768B">
        <w:rPr>
          <w:rFonts w:ascii="Palatino Linotype" w:hAnsi="Palatino Linotype" w:eastAsia="Palatino Linotype" w:cs="Times New Roman"/>
          <w:kern w:val="0"/>
          <w14:ligatures w14:val="none"/>
        </w:rPr>
        <w:t>2025</w:t>
      </w:r>
      <w:r w:rsidRPr="00391600" w:rsidR="00541938">
        <w:rPr>
          <w:rFonts w:ascii="Palatino Linotype" w:hAnsi="Palatino Linotype" w:eastAsia="Palatino Linotype" w:cs="Times New Roman"/>
          <w:kern w:val="0"/>
          <w14:ligatures w14:val="none"/>
        </w:rPr>
        <w:t>.</w:t>
      </w:r>
      <w:r w:rsidRPr="00391600" w:rsidR="00C5347D">
        <w:rPr>
          <w:rFonts w:ascii="Palatino Linotype" w:hAnsi="Palatino Linotype" w:eastAsia="Palatino Linotype" w:cs="Times New Roman"/>
          <w:kern w:val="0"/>
          <w14:ligatures w14:val="none"/>
        </w:rPr>
        <w:t xml:space="preserve"> </w:t>
      </w:r>
    </w:p>
    <w:p w:rsidRPr="00391600" w:rsidR="00A76F4A" w:rsidP="003147DD" w:rsidRDefault="00A76F4A" w14:paraId="0542E5E0" w14:textId="77777777">
      <w:pPr>
        <w:spacing w:after="0" w:line="276" w:lineRule="auto"/>
        <w:jc w:val="center"/>
        <w:rPr>
          <w:rFonts w:ascii="Palatino Linotype" w:hAnsi="Palatino Linotype" w:eastAsia="Palatino Linotype" w:cs="Times New Roman"/>
          <w:kern w:val="0"/>
          <w14:ligatures w14:val="none"/>
        </w:rPr>
      </w:pPr>
      <w:r w:rsidRPr="00391600">
        <w:rPr>
          <w:rFonts w:ascii="Palatino Linotype" w:hAnsi="Palatino Linotype" w:eastAsia="Palatino Linotype" w:cs="Times New Roman"/>
          <w:kern w:val="0"/>
          <w14:ligatures w14:val="none"/>
        </w:rPr>
        <w:t>__________________________________________________________</w:t>
      </w:r>
    </w:p>
    <w:p w:rsidRPr="00391600" w:rsidR="00A76F4A" w:rsidP="00A95DB0" w:rsidRDefault="00A76F4A" w14:paraId="3906F9BB" w14:textId="4F8A9DEC">
      <w:pPr>
        <w:keepNext/>
        <w:spacing w:before="120" w:after="240" w:line="276" w:lineRule="auto"/>
        <w:outlineLvl w:val="0"/>
        <w:rPr>
          <w:rFonts w:ascii="Palatino Linotype" w:hAnsi="Palatino Linotype" w:eastAsia="Palatino Linotype" w:cs="Times New Roman"/>
          <w:b/>
          <w:caps/>
          <w:kern w:val="28"/>
          <w:u w:val="single"/>
          <w14:ligatures w14:val="none"/>
        </w:rPr>
      </w:pPr>
      <w:r w:rsidRPr="00391600">
        <w:rPr>
          <w:rFonts w:ascii="Palatino Linotype" w:hAnsi="Palatino Linotype" w:eastAsia="Palatino Linotype" w:cs="Times New Roman"/>
          <w:b/>
          <w:caps/>
          <w:kern w:val="28"/>
          <w:u w:val="single"/>
          <w14:ligatures w14:val="none"/>
        </w:rPr>
        <w:lastRenderedPageBreak/>
        <w:t>Summary</w:t>
      </w:r>
      <w:bookmarkEnd w:id="0"/>
    </w:p>
    <w:p w:rsidRPr="00391600" w:rsidR="00540DB4" w:rsidP="00537703" w:rsidRDefault="007D1510" w14:paraId="35B634F1" w14:textId="77777777">
      <w:pPr>
        <w:spacing w:line="276" w:lineRule="auto"/>
        <w:rPr>
          <w:rFonts w:ascii="Palatino Linotype" w:hAnsi="Palatino Linotype"/>
        </w:rPr>
      </w:pPr>
      <w:r w:rsidRPr="00391600">
        <w:rPr>
          <w:rFonts w:ascii="Palatino Linotype" w:hAnsi="Palatino Linotype" w:eastAsia="Palatino Linotype" w:cs="Times New Roman"/>
          <w:color w:val="000000" w:themeColor="text1"/>
          <w:kern w:val="0"/>
          <w14:ligatures w14:val="none"/>
        </w:rPr>
        <w:t xml:space="preserve">This Resolution approves in part </w:t>
      </w:r>
      <w:r w:rsidRPr="00391600" w:rsidR="006E68DE">
        <w:rPr>
          <w:rFonts w:ascii="Palatino Linotype" w:hAnsi="Palatino Linotype" w:eastAsia="Palatino Linotype" w:cs="Times New Roman"/>
          <w:color w:val="000000" w:themeColor="text1"/>
          <w:kern w:val="0"/>
          <w14:ligatures w14:val="none"/>
        </w:rPr>
        <w:t xml:space="preserve">and modifies in part </w:t>
      </w:r>
      <w:r w:rsidRPr="00391600">
        <w:rPr>
          <w:rFonts w:ascii="Palatino Linotype" w:hAnsi="Palatino Linotype" w:eastAsia="Palatino Linotype" w:cs="Times New Roman"/>
          <w:color w:val="000000" w:themeColor="text1"/>
          <w:kern w:val="0"/>
          <w14:ligatures w14:val="none"/>
        </w:rPr>
        <w:t xml:space="preserve">the California Energy Commission’s (CEC’s) </w:t>
      </w:r>
      <w:r w:rsidRPr="00391600" w:rsidR="005E272E">
        <w:rPr>
          <w:rFonts w:ascii="Palatino Linotype" w:hAnsi="Palatino Linotype" w:eastAsia="Palatino Linotype" w:cs="Times New Roman"/>
          <w:color w:val="000000" w:themeColor="text1"/>
          <w:kern w:val="0"/>
          <w14:ligatures w14:val="none"/>
        </w:rPr>
        <w:t>Advi</w:t>
      </w:r>
      <w:r w:rsidRPr="00391600" w:rsidR="001A4830">
        <w:rPr>
          <w:rFonts w:ascii="Palatino Linotype" w:hAnsi="Palatino Linotype" w:eastAsia="Palatino Linotype" w:cs="Times New Roman"/>
          <w:color w:val="000000" w:themeColor="text1"/>
          <w:kern w:val="0"/>
          <w14:ligatures w14:val="none"/>
        </w:rPr>
        <w:t>c</w:t>
      </w:r>
      <w:r w:rsidRPr="00391600" w:rsidR="005E272E">
        <w:rPr>
          <w:rFonts w:ascii="Palatino Linotype" w:hAnsi="Palatino Linotype" w:eastAsia="Palatino Linotype" w:cs="Times New Roman"/>
          <w:color w:val="000000" w:themeColor="text1"/>
          <w:kern w:val="0"/>
          <w14:ligatures w14:val="none"/>
        </w:rPr>
        <w:t xml:space="preserve">e Letters </w:t>
      </w:r>
      <w:r w:rsidRPr="00391600" w:rsidR="00B94045">
        <w:rPr>
          <w:rFonts w:ascii="Palatino Linotype" w:hAnsi="Palatino Linotype" w:eastAsia="Palatino Linotype" w:cs="Times New Roman"/>
          <w:color w:val="000000" w:themeColor="text1"/>
          <w:kern w:val="0"/>
          <w14:ligatures w14:val="none"/>
        </w:rPr>
        <w:t xml:space="preserve">(ALs) </w:t>
      </w:r>
      <w:r w:rsidRPr="00391600" w:rsidR="005E272E">
        <w:rPr>
          <w:rFonts w:ascii="Palatino Linotype" w:hAnsi="Palatino Linotype" w:eastAsia="Palatino Linotype" w:cs="Times New Roman"/>
          <w:color w:val="000000" w:themeColor="text1"/>
          <w:kern w:val="0"/>
          <w14:ligatures w14:val="none"/>
        </w:rPr>
        <w:t xml:space="preserve">12-G and 10-G-A </w:t>
      </w:r>
      <w:r w:rsidRPr="00391600" w:rsidR="00A923A4">
        <w:rPr>
          <w:rFonts w:ascii="Palatino Linotype" w:hAnsi="Palatino Linotype" w:eastAsia="Palatino Linotype" w:cs="Times New Roman"/>
          <w:color w:val="000000" w:themeColor="text1"/>
          <w:kern w:val="0"/>
          <w14:ligatures w14:val="none"/>
        </w:rPr>
        <w:t xml:space="preserve">filed on August 8, 2025, and October 3, 2025, respectively. These ALs contain </w:t>
      </w:r>
      <w:r w:rsidRPr="00391600" w:rsidR="00425E49">
        <w:rPr>
          <w:rFonts w:ascii="Palatino Linotype" w:hAnsi="Palatino Linotype" w:eastAsia="Palatino Linotype" w:cs="Times New Roman"/>
          <w:color w:val="000000" w:themeColor="text1"/>
          <w:kern w:val="0"/>
          <w14:ligatures w14:val="none"/>
        </w:rPr>
        <w:t xml:space="preserve">proposed </w:t>
      </w:r>
      <w:r w:rsidRPr="00391600">
        <w:rPr>
          <w:rFonts w:ascii="Palatino Linotype" w:hAnsi="Palatino Linotype" w:eastAsia="Palatino Linotype" w:cs="Times New Roman"/>
          <w:color w:val="000000" w:themeColor="text1"/>
          <w:kern w:val="0"/>
          <w14:ligatures w14:val="none"/>
        </w:rPr>
        <w:t>Gas Research, Development, and Demonstration</w:t>
      </w:r>
      <w:r w:rsidRPr="00391600" w:rsidR="0029010A">
        <w:rPr>
          <w:rFonts w:ascii="Palatino Linotype" w:hAnsi="Palatino Linotype" w:eastAsia="Palatino Linotype" w:cs="Times New Roman"/>
          <w:color w:val="000000" w:themeColor="text1"/>
          <w:kern w:val="0"/>
          <w14:ligatures w14:val="none"/>
        </w:rPr>
        <w:t xml:space="preserve"> (RD&amp;D)</w:t>
      </w:r>
      <w:r w:rsidRPr="00391600">
        <w:rPr>
          <w:rFonts w:ascii="Palatino Linotype" w:hAnsi="Palatino Linotype" w:eastAsia="Palatino Linotype" w:cs="Times New Roman"/>
          <w:color w:val="000000" w:themeColor="text1"/>
          <w:kern w:val="0"/>
          <w14:ligatures w14:val="none"/>
        </w:rPr>
        <w:t xml:space="preserve"> </w:t>
      </w:r>
      <w:r w:rsidRPr="00391600" w:rsidR="0029010A">
        <w:rPr>
          <w:rFonts w:ascii="Palatino Linotype" w:hAnsi="Palatino Linotype" w:eastAsia="Palatino Linotype" w:cs="Times New Roman"/>
          <w:color w:val="000000" w:themeColor="text1"/>
          <w:kern w:val="0"/>
          <w14:ligatures w14:val="none"/>
        </w:rPr>
        <w:t xml:space="preserve">Investment Plans </w:t>
      </w:r>
      <w:r w:rsidRPr="00391600" w:rsidR="00425E49">
        <w:rPr>
          <w:rFonts w:ascii="Palatino Linotype" w:hAnsi="Palatino Linotype" w:eastAsia="Palatino Linotype" w:cs="Times New Roman"/>
          <w:color w:val="000000" w:themeColor="text1"/>
          <w:kern w:val="0"/>
          <w14:ligatures w14:val="none"/>
        </w:rPr>
        <w:t xml:space="preserve">(Gas RD&amp;D Plans or Plans) </w:t>
      </w:r>
      <w:r w:rsidRPr="00391600" w:rsidR="0029010A">
        <w:rPr>
          <w:rFonts w:ascii="Palatino Linotype" w:hAnsi="Palatino Linotype" w:eastAsia="Palatino Linotype" w:cs="Times New Roman"/>
          <w:color w:val="000000" w:themeColor="text1"/>
          <w:kern w:val="0"/>
          <w14:ligatures w14:val="none"/>
        </w:rPr>
        <w:t xml:space="preserve">for </w:t>
      </w:r>
      <w:r w:rsidRPr="00391600">
        <w:rPr>
          <w:rFonts w:ascii="Palatino Linotype" w:hAnsi="Palatino Linotype" w:eastAsia="Palatino Linotype" w:cs="Times New Roman"/>
          <w:color w:val="000000" w:themeColor="text1"/>
          <w:kern w:val="0"/>
          <w14:ligatures w14:val="none"/>
        </w:rPr>
        <w:t>Fiscal Year</w:t>
      </w:r>
      <w:r w:rsidRPr="00391600" w:rsidR="0029010A">
        <w:rPr>
          <w:rFonts w:ascii="Palatino Linotype" w:hAnsi="Palatino Linotype" w:eastAsia="Palatino Linotype" w:cs="Times New Roman"/>
          <w:color w:val="000000" w:themeColor="text1"/>
          <w:kern w:val="0"/>
          <w14:ligatures w14:val="none"/>
        </w:rPr>
        <w:t>s</w:t>
      </w:r>
      <w:r w:rsidRPr="00391600">
        <w:rPr>
          <w:rFonts w:ascii="Palatino Linotype" w:hAnsi="Palatino Linotype" w:eastAsia="Palatino Linotype" w:cs="Times New Roman"/>
          <w:color w:val="000000" w:themeColor="text1"/>
          <w:kern w:val="0"/>
          <w14:ligatures w14:val="none"/>
        </w:rPr>
        <w:t xml:space="preserve"> </w:t>
      </w:r>
      <w:r w:rsidRPr="00391600" w:rsidR="004569E6">
        <w:rPr>
          <w:rFonts w:ascii="Palatino Linotype" w:hAnsi="Palatino Linotype" w:eastAsia="Palatino Linotype" w:cs="Times New Roman"/>
          <w:color w:val="000000" w:themeColor="text1"/>
          <w:kern w:val="0"/>
          <w14:ligatures w14:val="none"/>
        </w:rPr>
        <w:t xml:space="preserve">(FYs) </w:t>
      </w:r>
      <w:r w:rsidRPr="00391600">
        <w:rPr>
          <w:rFonts w:ascii="Palatino Linotype" w:hAnsi="Palatino Linotype" w:eastAsia="Palatino Linotype" w:cs="Times New Roman"/>
          <w:color w:val="000000" w:themeColor="text1"/>
          <w:kern w:val="0"/>
          <w14:ligatures w14:val="none"/>
        </w:rPr>
        <w:t>202</w:t>
      </w:r>
      <w:r w:rsidRPr="00391600" w:rsidR="0029010A">
        <w:rPr>
          <w:rFonts w:ascii="Palatino Linotype" w:hAnsi="Palatino Linotype" w:eastAsia="Palatino Linotype" w:cs="Times New Roman"/>
          <w:color w:val="000000" w:themeColor="text1"/>
          <w:kern w:val="0"/>
          <w14:ligatures w14:val="none"/>
        </w:rPr>
        <w:t>4</w:t>
      </w:r>
      <w:r w:rsidRPr="00391600">
        <w:rPr>
          <w:rFonts w:ascii="Palatino Linotype" w:hAnsi="Palatino Linotype" w:eastAsia="Palatino Linotype" w:cs="Times New Roman"/>
          <w:color w:val="000000" w:themeColor="text1"/>
          <w:kern w:val="0"/>
          <w14:ligatures w14:val="none"/>
        </w:rPr>
        <w:t>-202</w:t>
      </w:r>
      <w:r w:rsidRPr="00391600" w:rsidR="0029010A">
        <w:rPr>
          <w:rFonts w:ascii="Palatino Linotype" w:hAnsi="Palatino Linotype" w:eastAsia="Palatino Linotype" w:cs="Times New Roman"/>
          <w:color w:val="000000" w:themeColor="text1"/>
          <w:kern w:val="0"/>
          <w14:ligatures w14:val="none"/>
        </w:rPr>
        <w:t>5</w:t>
      </w:r>
      <w:r w:rsidRPr="00391600">
        <w:rPr>
          <w:rFonts w:ascii="Palatino Linotype" w:hAnsi="Palatino Linotype" w:eastAsia="Palatino Linotype" w:cs="Times New Roman"/>
          <w:color w:val="000000" w:themeColor="text1"/>
          <w:kern w:val="0"/>
          <w14:ligatures w14:val="none"/>
        </w:rPr>
        <w:t xml:space="preserve"> (the 202</w:t>
      </w:r>
      <w:r w:rsidRPr="00391600" w:rsidR="006A57AD">
        <w:rPr>
          <w:rFonts w:ascii="Palatino Linotype" w:hAnsi="Palatino Linotype" w:eastAsia="Palatino Linotype" w:cs="Times New Roman"/>
          <w:color w:val="000000" w:themeColor="text1"/>
          <w:kern w:val="0"/>
          <w14:ligatures w14:val="none"/>
        </w:rPr>
        <w:t>4</w:t>
      </w:r>
      <w:r w:rsidRPr="00391600">
        <w:rPr>
          <w:rFonts w:ascii="Palatino Linotype" w:hAnsi="Palatino Linotype" w:eastAsia="Palatino Linotype" w:cs="Times New Roman"/>
          <w:color w:val="000000" w:themeColor="text1"/>
          <w:kern w:val="0"/>
          <w14:ligatures w14:val="none"/>
        </w:rPr>
        <w:t xml:space="preserve"> Plan)</w:t>
      </w:r>
      <w:r w:rsidRPr="00391600" w:rsidR="006A57AD">
        <w:rPr>
          <w:rFonts w:ascii="Palatino Linotype" w:hAnsi="Palatino Linotype" w:eastAsia="Palatino Linotype" w:cs="Times New Roman"/>
          <w:color w:val="000000" w:themeColor="text1"/>
          <w:kern w:val="0"/>
          <w14:ligatures w14:val="none"/>
        </w:rPr>
        <w:t xml:space="preserve"> and 2025-2026 (the 2025 Plan)</w:t>
      </w:r>
      <w:r w:rsidRPr="00391600">
        <w:rPr>
          <w:rFonts w:ascii="Palatino Linotype" w:hAnsi="Palatino Linotype" w:eastAsia="Palatino Linotype" w:cs="Times New Roman"/>
          <w:color w:val="000000" w:themeColor="text1"/>
          <w:kern w:val="0"/>
          <w14:ligatures w14:val="none"/>
        </w:rPr>
        <w:t>.</w:t>
      </w:r>
    </w:p>
    <w:p w:rsidRPr="00391600" w:rsidR="00540DB4" w:rsidP="00537703" w:rsidRDefault="007D1510" w14:paraId="45447310" w14:textId="743BD062">
      <w:pPr>
        <w:spacing w:line="276" w:lineRule="auto"/>
        <w:rPr>
          <w:rFonts w:ascii="Palatino Linotype" w:hAnsi="Palatino Linotype"/>
        </w:rPr>
      </w:pPr>
      <w:r w:rsidRPr="00391600">
        <w:rPr>
          <w:rFonts w:ascii="Palatino Linotype" w:hAnsi="Palatino Linotype" w:eastAsia="Palatino Linotype" w:cs="Times New Roman"/>
          <w:color w:val="000000" w:themeColor="text1"/>
        </w:rPr>
        <w:t>Th</w:t>
      </w:r>
      <w:r w:rsidRPr="00391600" w:rsidR="00381925">
        <w:rPr>
          <w:rFonts w:ascii="Palatino Linotype" w:hAnsi="Palatino Linotype" w:eastAsia="Palatino Linotype" w:cs="Times New Roman"/>
          <w:color w:val="000000" w:themeColor="text1"/>
        </w:rPr>
        <w:t>is Resolution approves</w:t>
      </w:r>
      <w:r w:rsidRPr="00391600" w:rsidR="00D874CE">
        <w:rPr>
          <w:rFonts w:ascii="Palatino Linotype" w:hAnsi="Palatino Linotype" w:eastAsia="Palatino Linotype" w:cs="Times New Roman"/>
          <w:color w:val="000000" w:themeColor="text1"/>
        </w:rPr>
        <w:t>,</w:t>
      </w:r>
      <w:r w:rsidRPr="00391600" w:rsidR="00B506F1">
        <w:rPr>
          <w:rFonts w:ascii="Palatino Linotype" w:hAnsi="Palatino Linotype" w:eastAsia="Palatino Linotype" w:cs="Times New Roman"/>
          <w:color w:val="000000" w:themeColor="text1"/>
        </w:rPr>
        <w:t xml:space="preserve"> in part,</w:t>
      </w:r>
      <w:r w:rsidRPr="00391600">
        <w:rPr>
          <w:rFonts w:ascii="Palatino Linotype" w:hAnsi="Palatino Linotype" w:eastAsia="Palatino Linotype" w:cs="Times New Roman"/>
          <w:color w:val="000000" w:themeColor="text1"/>
        </w:rPr>
        <w:t xml:space="preserve"> the CEC’s</w:t>
      </w:r>
      <w:r w:rsidRPr="00391600" w:rsidR="003866D9">
        <w:rPr>
          <w:rFonts w:ascii="Palatino Linotype" w:hAnsi="Palatino Linotype" w:eastAsia="Palatino Linotype" w:cs="Times New Roman"/>
          <w:color w:val="000000" w:themeColor="text1"/>
        </w:rPr>
        <w:t xml:space="preserve"> Gas RD&amp;D Plans with</w:t>
      </w:r>
      <w:r w:rsidRPr="00391600">
        <w:rPr>
          <w:rFonts w:ascii="Palatino Linotype" w:hAnsi="Palatino Linotype" w:eastAsia="Palatino Linotype" w:cs="Times New Roman"/>
          <w:color w:val="000000" w:themeColor="text1"/>
        </w:rPr>
        <w:t xml:space="preserve"> proposed </w:t>
      </w:r>
      <w:r w:rsidRPr="00391600" w:rsidR="003866D9">
        <w:rPr>
          <w:rFonts w:ascii="Palatino Linotype" w:hAnsi="Palatino Linotype" w:eastAsia="Palatino Linotype" w:cs="Times New Roman"/>
          <w:color w:val="000000" w:themeColor="text1"/>
        </w:rPr>
        <w:t xml:space="preserve">budgets of </w:t>
      </w:r>
      <w:r w:rsidRPr="00391600">
        <w:rPr>
          <w:rFonts w:ascii="Palatino Linotype" w:hAnsi="Palatino Linotype" w:eastAsia="Palatino Linotype" w:cs="Times New Roman"/>
          <w:color w:val="000000" w:themeColor="text1"/>
        </w:rPr>
        <w:t>$24</w:t>
      </w:r>
      <w:r w:rsidRPr="00391600" w:rsidR="008F11A4">
        <w:rPr>
          <w:rFonts w:ascii="Palatino Linotype" w:hAnsi="Palatino Linotype" w:eastAsia="Palatino Linotype" w:cs="Times New Roman"/>
          <w:color w:val="000000" w:themeColor="text1"/>
        </w:rPr>
        <w:t xml:space="preserve"> million</w:t>
      </w:r>
      <w:r w:rsidRPr="00391600">
        <w:rPr>
          <w:rFonts w:ascii="Palatino Linotype" w:hAnsi="Palatino Linotype" w:eastAsia="Palatino Linotype" w:cs="Times New Roman"/>
          <w:color w:val="000000" w:themeColor="text1"/>
        </w:rPr>
        <w:t xml:space="preserve"> </w:t>
      </w:r>
      <w:r w:rsidRPr="00391600" w:rsidR="008A0F1B">
        <w:rPr>
          <w:rFonts w:ascii="Palatino Linotype" w:hAnsi="Palatino Linotype" w:eastAsia="Palatino Linotype" w:cs="Times New Roman"/>
          <w:color w:val="000000" w:themeColor="text1"/>
        </w:rPr>
        <w:t xml:space="preserve">each </w:t>
      </w:r>
      <w:r w:rsidRPr="00391600" w:rsidR="001E30F3">
        <w:rPr>
          <w:rFonts w:ascii="Palatino Linotype" w:hAnsi="Palatino Linotype" w:eastAsia="Palatino Linotype" w:cs="Times New Roman"/>
          <w:color w:val="000000" w:themeColor="text1"/>
        </w:rPr>
        <w:t xml:space="preserve">for </w:t>
      </w:r>
      <w:r w:rsidRPr="00391600" w:rsidR="0084442B">
        <w:rPr>
          <w:rFonts w:ascii="Palatino Linotype" w:hAnsi="Palatino Linotype" w:eastAsia="Palatino Linotype" w:cs="Times New Roman"/>
          <w:color w:val="000000" w:themeColor="text1"/>
        </w:rPr>
        <w:t>its</w:t>
      </w:r>
      <w:r w:rsidRPr="00391600" w:rsidR="003866D9">
        <w:rPr>
          <w:rFonts w:ascii="Palatino Linotype" w:hAnsi="Palatino Linotype" w:eastAsia="Palatino Linotype" w:cs="Times New Roman"/>
          <w:color w:val="000000" w:themeColor="text1"/>
        </w:rPr>
        <w:t xml:space="preserve"> 2024</w:t>
      </w:r>
      <w:r w:rsidRPr="00391600" w:rsidR="0084442B">
        <w:rPr>
          <w:rFonts w:ascii="Palatino Linotype" w:hAnsi="Palatino Linotype" w:eastAsia="Palatino Linotype" w:cs="Times New Roman"/>
          <w:color w:val="000000" w:themeColor="text1"/>
        </w:rPr>
        <w:t xml:space="preserve"> </w:t>
      </w:r>
      <w:r w:rsidRPr="00391600" w:rsidR="00C46FB6">
        <w:rPr>
          <w:rFonts w:ascii="Palatino Linotype" w:hAnsi="Palatino Linotype" w:eastAsia="Palatino Linotype" w:cs="Times New Roman"/>
          <w:color w:val="000000" w:themeColor="text1"/>
        </w:rPr>
        <w:t xml:space="preserve">Plan </w:t>
      </w:r>
      <w:r w:rsidRPr="00391600" w:rsidR="0084442B">
        <w:rPr>
          <w:rFonts w:ascii="Palatino Linotype" w:hAnsi="Palatino Linotype" w:eastAsia="Palatino Linotype" w:cs="Times New Roman"/>
          <w:color w:val="000000" w:themeColor="text1"/>
        </w:rPr>
        <w:t xml:space="preserve">and </w:t>
      </w:r>
      <w:r w:rsidRPr="00391600" w:rsidR="00C46FB6">
        <w:rPr>
          <w:rFonts w:ascii="Palatino Linotype" w:hAnsi="Palatino Linotype" w:eastAsia="Palatino Linotype" w:cs="Times New Roman"/>
          <w:color w:val="000000" w:themeColor="text1"/>
        </w:rPr>
        <w:t xml:space="preserve">its </w:t>
      </w:r>
      <w:r w:rsidRPr="00391600" w:rsidR="003866D9">
        <w:rPr>
          <w:rFonts w:ascii="Palatino Linotype" w:hAnsi="Palatino Linotype" w:eastAsia="Palatino Linotype" w:cs="Times New Roman"/>
          <w:color w:val="000000" w:themeColor="text1"/>
        </w:rPr>
        <w:t xml:space="preserve">2025 </w:t>
      </w:r>
      <w:r w:rsidRPr="00391600" w:rsidR="002D69B1">
        <w:rPr>
          <w:rFonts w:ascii="Palatino Linotype" w:hAnsi="Palatino Linotype" w:eastAsia="Palatino Linotype" w:cs="Times New Roman"/>
          <w:color w:val="000000" w:themeColor="text1"/>
        </w:rPr>
        <w:t>Plan</w:t>
      </w:r>
      <w:r w:rsidRPr="00391600" w:rsidR="001E30F3">
        <w:rPr>
          <w:rFonts w:ascii="Palatino Linotype" w:hAnsi="Palatino Linotype" w:eastAsia="Palatino Linotype" w:cs="Times New Roman"/>
          <w:color w:val="000000" w:themeColor="text1"/>
        </w:rPr>
        <w:t>, totaling $48</w:t>
      </w:r>
      <w:r w:rsidRPr="00391600" w:rsidR="008F11A4">
        <w:rPr>
          <w:rFonts w:ascii="Palatino Linotype" w:hAnsi="Palatino Linotype" w:eastAsia="Palatino Linotype" w:cs="Times New Roman"/>
          <w:color w:val="000000" w:themeColor="text1"/>
        </w:rPr>
        <w:t xml:space="preserve"> million.</w:t>
      </w:r>
      <w:r w:rsidRPr="00391600">
        <w:rPr>
          <w:rFonts w:ascii="Palatino Linotype" w:hAnsi="Palatino Linotype" w:eastAsia="Palatino Linotype" w:cs="Times New Roman"/>
          <w:color w:val="000000" w:themeColor="text1"/>
        </w:rPr>
        <w:t xml:space="preserve"> </w:t>
      </w:r>
      <w:r w:rsidRPr="00391600" w:rsidR="009A485A">
        <w:rPr>
          <w:rFonts w:ascii="Palatino Linotype" w:hAnsi="Palatino Linotype" w:eastAsia="Times New Roman" w:cs="Times New Roman"/>
          <w:color w:val="000000" w:themeColor="text1"/>
        </w:rPr>
        <w:t xml:space="preserve">This Resolution reviews the CEC’s 2024 and 2025 Plans against a list of consolidated requirements from prior decisions and resolutions. </w:t>
      </w:r>
      <w:r w:rsidRPr="00391600" w:rsidDel="00236214" w:rsidR="0031639E">
        <w:rPr>
          <w:rFonts w:ascii="Palatino Linotype" w:hAnsi="Palatino Linotype" w:eastAsia="Times New Roman" w:cs="Times New Roman"/>
          <w:color w:val="000000" w:themeColor="text1"/>
        </w:rPr>
        <w:t xml:space="preserve">This Resolution </w:t>
      </w:r>
      <w:r w:rsidRPr="00391600" w:rsidR="0031639E">
        <w:rPr>
          <w:rFonts w:ascii="Palatino Linotype" w:hAnsi="Palatino Linotype" w:eastAsia="Times New Roman" w:cs="Times New Roman"/>
          <w:color w:val="000000" w:themeColor="text1"/>
        </w:rPr>
        <w:t xml:space="preserve">finds that CEC </w:t>
      </w:r>
      <w:r w:rsidRPr="00391600" w:rsidR="00A171B0">
        <w:rPr>
          <w:rFonts w:ascii="Palatino Linotype" w:hAnsi="Palatino Linotype" w:eastAsia="Times New Roman" w:cs="Times New Roman"/>
          <w:color w:val="000000" w:themeColor="text1"/>
        </w:rPr>
        <w:t>P</w:t>
      </w:r>
      <w:r w:rsidRPr="00391600" w:rsidR="0031639E">
        <w:rPr>
          <w:rFonts w:ascii="Palatino Linotype" w:hAnsi="Palatino Linotype" w:eastAsia="Times New Roman" w:cs="Times New Roman"/>
          <w:color w:val="000000" w:themeColor="text1"/>
        </w:rPr>
        <w:t xml:space="preserve">lan omissions can be remedied with additional information and </w:t>
      </w:r>
      <w:r w:rsidRPr="00391600" w:rsidDel="00236214" w:rsidR="0031639E">
        <w:rPr>
          <w:rFonts w:ascii="Palatino Linotype" w:hAnsi="Palatino Linotype" w:eastAsia="Times New Roman" w:cs="Times New Roman"/>
          <w:color w:val="000000" w:themeColor="text1"/>
        </w:rPr>
        <w:t xml:space="preserve">directs the CEC to submit </w:t>
      </w:r>
      <w:r w:rsidRPr="00391600" w:rsidR="0031639E">
        <w:rPr>
          <w:rFonts w:ascii="Palatino Linotype" w:hAnsi="Palatino Linotype" w:eastAsia="Times New Roman" w:cs="Times New Roman"/>
          <w:color w:val="000000" w:themeColor="text1"/>
        </w:rPr>
        <w:t xml:space="preserve">its </w:t>
      </w:r>
      <w:r w:rsidRPr="00391600" w:rsidDel="00236214" w:rsidR="0031639E">
        <w:rPr>
          <w:rFonts w:ascii="Palatino Linotype" w:hAnsi="Palatino Linotype" w:eastAsia="Times New Roman" w:cs="Times New Roman"/>
          <w:color w:val="000000" w:themeColor="text1"/>
        </w:rPr>
        <w:t xml:space="preserve">revised 2024 and 2025 Gas RD&amp;D Plans via Tier 2 </w:t>
      </w:r>
      <w:r w:rsidRPr="00391600" w:rsidR="00942AB0">
        <w:rPr>
          <w:rFonts w:ascii="Palatino Linotype" w:hAnsi="Palatino Linotype" w:eastAsia="Times New Roman" w:cs="Times New Roman"/>
          <w:color w:val="000000" w:themeColor="text1"/>
        </w:rPr>
        <w:t>ALs</w:t>
      </w:r>
      <w:r w:rsidRPr="00391600" w:rsidDel="00236214" w:rsidR="0031639E">
        <w:rPr>
          <w:rFonts w:ascii="Palatino Linotype" w:hAnsi="Palatino Linotype" w:eastAsia="Times New Roman" w:cs="Times New Roman"/>
          <w:color w:val="000000" w:themeColor="text1"/>
        </w:rPr>
        <w:t xml:space="preserve"> </w:t>
      </w:r>
      <w:r w:rsidRPr="00391600" w:rsidR="0031639E">
        <w:rPr>
          <w:rFonts w:ascii="Palatino Linotype" w:hAnsi="Palatino Linotype" w:eastAsia="Times New Roman" w:cs="Times New Roman"/>
          <w:color w:val="000000" w:themeColor="text1"/>
        </w:rPr>
        <w:t xml:space="preserve">within </w:t>
      </w:r>
      <w:r w:rsidRPr="00391600" w:rsidR="008D74E3">
        <w:rPr>
          <w:rFonts w:ascii="Palatino Linotype" w:hAnsi="Palatino Linotype" w:eastAsia="Times New Roman" w:cs="Times New Roman"/>
          <w:color w:val="000000" w:themeColor="text1"/>
        </w:rPr>
        <w:t>6</w:t>
      </w:r>
      <w:r w:rsidRPr="00391600" w:rsidR="0031639E">
        <w:rPr>
          <w:rFonts w:ascii="Palatino Linotype" w:hAnsi="Palatino Linotype" w:eastAsia="Times New Roman" w:cs="Times New Roman"/>
          <w:color w:val="000000" w:themeColor="text1"/>
        </w:rPr>
        <w:t xml:space="preserve">0 days </w:t>
      </w:r>
      <w:r w:rsidRPr="00391600" w:rsidDel="00236214" w:rsidR="0031639E">
        <w:rPr>
          <w:rFonts w:ascii="Palatino Linotype" w:hAnsi="Palatino Linotype" w:eastAsia="Times New Roman" w:cs="Times New Roman"/>
          <w:color w:val="000000" w:themeColor="text1"/>
        </w:rPr>
        <w:t>with modifications as described below</w:t>
      </w:r>
      <w:r w:rsidRPr="00391600" w:rsidR="0031639E">
        <w:rPr>
          <w:rFonts w:ascii="Palatino Linotype" w:hAnsi="Palatino Linotype" w:eastAsia="Times New Roman" w:cs="Times New Roman"/>
          <w:color w:val="000000" w:themeColor="text1"/>
        </w:rPr>
        <w:t xml:space="preserve">. </w:t>
      </w:r>
    </w:p>
    <w:p w:rsidRPr="00391600" w:rsidR="00DB4A4B" w:rsidP="281B4A3F" w:rsidRDefault="1832B34C" w14:paraId="2750FB8B" w14:textId="39D9C3A0">
      <w:pPr>
        <w:spacing w:before="240" w:after="0" w:line="276" w:lineRule="auto"/>
        <w:rPr>
          <w:rFonts w:ascii="Palatino Linotype" w:hAnsi="Palatino Linotype" w:eastAsia="Palatino Linotype"/>
          <w:color w:val="000000" w:themeColor="text1"/>
        </w:rPr>
      </w:pPr>
      <w:r w:rsidRPr="00391600">
        <w:rPr>
          <w:rFonts w:ascii="Palatino Linotype" w:hAnsi="Palatino Linotype" w:eastAsia="Times New Roman" w:cs="Times New Roman"/>
          <w:color w:val="000000" w:themeColor="text1"/>
          <w:kern w:val="0"/>
          <w14:ligatures w14:val="none"/>
        </w:rPr>
        <w:t>This</w:t>
      </w:r>
      <w:r w:rsidRPr="00391600" w:rsidR="43D9CEAF">
        <w:rPr>
          <w:rFonts w:ascii="Palatino Linotype" w:hAnsi="Palatino Linotype" w:eastAsia="Times New Roman" w:cs="Times New Roman"/>
          <w:color w:val="000000" w:themeColor="text1"/>
          <w:kern w:val="0"/>
          <w14:ligatures w14:val="none"/>
        </w:rPr>
        <w:t xml:space="preserve"> Resolution </w:t>
      </w:r>
      <w:r w:rsidRPr="00391600" w:rsidR="4FA73FEA">
        <w:rPr>
          <w:rFonts w:ascii="Palatino Linotype" w:hAnsi="Palatino Linotype" w:eastAsia="Times New Roman" w:cs="Times New Roman"/>
          <w:color w:val="000000" w:themeColor="text1"/>
        </w:rPr>
        <w:t xml:space="preserve">relies on staff </w:t>
      </w:r>
      <w:r w:rsidRPr="00391600" w:rsidR="5458DD93">
        <w:rPr>
          <w:rFonts w:ascii="Palatino Linotype" w:hAnsi="Palatino Linotype" w:eastAsia="Times New Roman" w:cs="Times New Roman"/>
          <w:color w:val="000000" w:themeColor="text1"/>
        </w:rPr>
        <w:t>review</w:t>
      </w:r>
      <w:r w:rsidRPr="00391600" w:rsidR="7BAEB7B1">
        <w:rPr>
          <w:rFonts w:ascii="Palatino Linotype" w:hAnsi="Palatino Linotype" w:eastAsia="Times New Roman" w:cs="Times New Roman"/>
          <w:color w:val="000000" w:themeColor="text1"/>
        </w:rPr>
        <w:t xml:space="preserve"> of</w:t>
      </w:r>
      <w:r w:rsidRPr="00391600" w:rsidR="43D9CEAF">
        <w:rPr>
          <w:rFonts w:ascii="Palatino Linotype" w:hAnsi="Palatino Linotype" w:eastAsia="Times New Roman" w:cs="Times New Roman"/>
          <w:color w:val="000000" w:themeColor="text1"/>
        </w:rPr>
        <w:t xml:space="preserve"> the </w:t>
      </w:r>
      <w:r w:rsidRPr="00391600" w:rsidR="5428DA94">
        <w:rPr>
          <w:rFonts w:ascii="Palatino Linotype" w:hAnsi="Palatino Linotype" w:eastAsia="Times New Roman" w:cs="Times New Roman"/>
          <w:color w:val="000000" w:themeColor="text1"/>
        </w:rPr>
        <w:t xml:space="preserve">CEC’s response to </w:t>
      </w:r>
      <w:r w:rsidRPr="00391600" w:rsidR="43D9CEAF">
        <w:rPr>
          <w:rFonts w:ascii="Palatino Linotype" w:hAnsi="Palatino Linotype" w:eastAsia="Times New Roman" w:cs="Times New Roman"/>
          <w:color w:val="000000" w:themeColor="text1"/>
        </w:rPr>
        <w:t xml:space="preserve">Energy Division’s </w:t>
      </w:r>
      <w:r w:rsidRPr="00391600" w:rsidR="19C2C2FD">
        <w:rPr>
          <w:rFonts w:ascii="Palatino Linotype" w:hAnsi="Palatino Linotype" w:eastAsia="Times New Roman" w:cs="Times New Roman"/>
          <w:color w:val="000000" w:themeColor="text1"/>
        </w:rPr>
        <w:t>d</w:t>
      </w:r>
      <w:r w:rsidRPr="00391600" w:rsidR="43D9CEAF">
        <w:rPr>
          <w:rFonts w:ascii="Palatino Linotype" w:hAnsi="Palatino Linotype" w:eastAsia="Times New Roman" w:cs="Times New Roman"/>
          <w:color w:val="000000" w:themeColor="text1"/>
        </w:rPr>
        <w:t xml:space="preserve">ata </w:t>
      </w:r>
      <w:r w:rsidRPr="00391600" w:rsidR="19C2C2FD">
        <w:rPr>
          <w:rFonts w:ascii="Palatino Linotype" w:hAnsi="Palatino Linotype" w:eastAsia="Times New Roman" w:cs="Times New Roman"/>
          <w:color w:val="000000" w:themeColor="text1"/>
        </w:rPr>
        <w:t>r</w:t>
      </w:r>
      <w:r w:rsidRPr="00391600" w:rsidR="43D9CEAF">
        <w:rPr>
          <w:rFonts w:ascii="Palatino Linotype" w:hAnsi="Palatino Linotype" w:eastAsia="Times New Roman" w:cs="Times New Roman"/>
          <w:color w:val="000000" w:themeColor="text1"/>
        </w:rPr>
        <w:t xml:space="preserve">equest for detailed information on </w:t>
      </w:r>
      <w:r w:rsidRPr="00391600" w:rsidR="4A064D4D">
        <w:rPr>
          <w:rFonts w:ascii="Palatino Linotype" w:hAnsi="Palatino Linotype" w:eastAsia="Times New Roman" w:cs="Times New Roman"/>
          <w:color w:val="000000" w:themeColor="text1"/>
        </w:rPr>
        <w:t xml:space="preserve">balances </w:t>
      </w:r>
      <w:r w:rsidRPr="00391600" w:rsidR="7F001B29">
        <w:rPr>
          <w:rFonts w:ascii="Palatino Linotype" w:hAnsi="Palatino Linotype" w:eastAsia="Times New Roman" w:cs="Times New Roman"/>
          <w:color w:val="000000" w:themeColor="text1"/>
        </w:rPr>
        <w:t>of</w:t>
      </w:r>
      <w:r w:rsidRPr="00391600" w:rsidR="4A064D4D">
        <w:rPr>
          <w:rFonts w:ascii="Palatino Linotype" w:hAnsi="Palatino Linotype" w:eastAsia="Times New Roman" w:cs="Times New Roman"/>
          <w:color w:val="000000" w:themeColor="text1"/>
        </w:rPr>
        <w:t xml:space="preserve"> previously authorized </w:t>
      </w:r>
      <w:r w:rsidRPr="00391600" w:rsidR="00DA5C39">
        <w:rPr>
          <w:rFonts w:ascii="Palatino Linotype" w:hAnsi="Palatino Linotype" w:eastAsia="Times New Roman" w:cs="Times New Roman"/>
          <w:color w:val="000000" w:themeColor="text1"/>
        </w:rPr>
        <w:t xml:space="preserve">unencumbered and </w:t>
      </w:r>
      <w:r w:rsidRPr="00391600" w:rsidR="4A064D4D">
        <w:rPr>
          <w:rFonts w:ascii="Palatino Linotype" w:hAnsi="Palatino Linotype" w:eastAsia="Times New Roman" w:cs="Times New Roman"/>
          <w:color w:val="000000" w:themeColor="text1"/>
        </w:rPr>
        <w:t>unspent funding</w:t>
      </w:r>
      <w:r w:rsidRPr="00391600" w:rsidR="727859B2">
        <w:rPr>
          <w:rFonts w:ascii="Palatino Linotype" w:hAnsi="Palatino Linotype" w:eastAsia="Times New Roman" w:cs="Times New Roman"/>
          <w:color w:val="000000" w:themeColor="text1"/>
        </w:rPr>
        <w:t xml:space="preserve">.  This Resolution </w:t>
      </w:r>
      <w:r w:rsidRPr="00391600" w:rsidR="43D9CEAF">
        <w:rPr>
          <w:rFonts w:ascii="Palatino Linotype" w:hAnsi="Palatino Linotype" w:eastAsia="Times New Roman" w:cs="Times New Roman"/>
          <w:color w:val="000000" w:themeColor="text1"/>
        </w:rPr>
        <w:t xml:space="preserve">establishes how the CEC </w:t>
      </w:r>
      <w:r w:rsidRPr="00391600" w:rsidR="70D7FA6E">
        <w:rPr>
          <w:rFonts w:ascii="Palatino Linotype" w:hAnsi="Palatino Linotype" w:eastAsia="Times New Roman" w:cs="Times New Roman"/>
          <w:color w:val="000000" w:themeColor="text1"/>
        </w:rPr>
        <w:t>shall</w:t>
      </w:r>
      <w:r w:rsidRPr="00391600" w:rsidR="43D9CEAF">
        <w:rPr>
          <w:rFonts w:ascii="Palatino Linotype" w:hAnsi="Palatino Linotype" w:eastAsia="Times New Roman" w:cs="Times New Roman"/>
          <w:color w:val="000000" w:themeColor="text1"/>
        </w:rPr>
        <w:t xml:space="preserve"> use </w:t>
      </w:r>
      <w:r w:rsidRPr="00391600" w:rsidR="00DA5C39">
        <w:rPr>
          <w:rFonts w:ascii="Palatino Linotype" w:hAnsi="Palatino Linotype" w:eastAsia="Times New Roman" w:cs="Times New Roman"/>
          <w:color w:val="000000" w:themeColor="text1"/>
        </w:rPr>
        <w:t xml:space="preserve">these </w:t>
      </w:r>
      <w:r w:rsidRPr="00391600" w:rsidR="3B6CE9B5">
        <w:rPr>
          <w:rFonts w:ascii="Palatino Linotype" w:hAnsi="Palatino Linotype" w:eastAsia="Times New Roman" w:cs="Times New Roman"/>
          <w:color w:val="000000" w:themeColor="text1"/>
        </w:rPr>
        <w:t xml:space="preserve">funds </w:t>
      </w:r>
      <w:r w:rsidRPr="00391600" w:rsidR="43D9CEAF">
        <w:rPr>
          <w:rFonts w:ascii="Palatino Linotype" w:hAnsi="Palatino Linotype" w:eastAsia="Times New Roman" w:cs="Times New Roman"/>
          <w:color w:val="000000" w:themeColor="text1"/>
        </w:rPr>
        <w:t>to minimize new additional costs to ratepayers</w:t>
      </w:r>
      <w:r w:rsidRPr="00391600" w:rsidR="690D1F9B">
        <w:rPr>
          <w:rFonts w:ascii="Palatino Linotype" w:hAnsi="Palatino Linotype" w:eastAsia="Times New Roman" w:cs="Times New Roman"/>
          <w:color w:val="000000" w:themeColor="text1"/>
        </w:rPr>
        <w:t xml:space="preserve"> to fund the 2024 and 2025 Plans</w:t>
      </w:r>
      <w:r w:rsidRPr="00391600" w:rsidR="004B1434">
        <w:rPr>
          <w:rFonts w:ascii="Palatino Linotype" w:hAnsi="Palatino Linotype" w:eastAsia="Times New Roman" w:cs="Times New Roman"/>
          <w:color w:val="000000" w:themeColor="text1"/>
        </w:rPr>
        <w:t>.</w:t>
      </w:r>
      <w:r w:rsidRPr="00391600">
        <w:rPr>
          <w:rFonts w:ascii="Palatino Linotype" w:hAnsi="Palatino Linotype"/>
          <w:color w:val="000000" w:themeColor="text1"/>
        </w:rPr>
        <w:t xml:space="preserve"> </w:t>
      </w:r>
      <w:r w:rsidRPr="00391600" w:rsidR="004B1434">
        <w:rPr>
          <w:rFonts w:ascii="Palatino Linotype" w:hAnsi="Palatino Linotype"/>
          <w:color w:val="000000" w:themeColor="text1"/>
        </w:rPr>
        <w:t xml:space="preserve">This process </w:t>
      </w:r>
      <w:r w:rsidRPr="00391600" w:rsidR="102007DC">
        <w:rPr>
          <w:rFonts w:ascii="Palatino Linotype" w:hAnsi="Palatino Linotype" w:eastAsia="Times New Roman" w:cs="Times New Roman"/>
          <w:color w:val="000000" w:themeColor="text1"/>
        </w:rPr>
        <w:t>ensure</w:t>
      </w:r>
      <w:r w:rsidRPr="00391600" w:rsidR="07DDC97F">
        <w:rPr>
          <w:rFonts w:ascii="Palatino Linotype" w:hAnsi="Palatino Linotype" w:eastAsia="Times New Roman" w:cs="Times New Roman"/>
          <w:color w:val="000000" w:themeColor="text1"/>
        </w:rPr>
        <w:t>s</w:t>
      </w:r>
      <w:r w:rsidRPr="00391600" w:rsidR="66FD419F">
        <w:rPr>
          <w:rFonts w:ascii="Palatino Linotype" w:hAnsi="Palatino Linotype" w:eastAsia="Times New Roman" w:cs="Times New Roman"/>
          <w:color w:val="000000" w:themeColor="text1"/>
        </w:rPr>
        <w:t xml:space="preserve"> gas ratepayer funds already collected are spent to further </w:t>
      </w:r>
      <w:r w:rsidRPr="00391600" w:rsidR="154C03BA">
        <w:rPr>
          <w:rFonts w:ascii="Palatino Linotype" w:hAnsi="Palatino Linotype"/>
          <w:color w:val="000000" w:themeColor="text1"/>
        </w:rPr>
        <w:t xml:space="preserve">evolving State energy policy pertaining to </w:t>
      </w:r>
      <w:r w:rsidRPr="00391600" w:rsidR="026861B5">
        <w:rPr>
          <w:rFonts w:ascii="Palatino Linotype" w:hAnsi="Palatino Linotype"/>
          <w:color w:val="000000" w:themeColor="text1"/>
        </w:rPr>
        <w:t xml:space="preserve">current </w:t>
      </w:r>
      <w:r w:rsidRPr="00391600" w:rsidR="154C03BA">
        <w:rPr>
          <w:rFonts w:ascii="Palatino Linotype" w:hAnsi="Palatino Linotype"/>
          <w:color w:val="000000" w:themeColor="text1"/>
        </w:rPr>
        <w:t>climate and affordability goals</w:t>
      </w:r>
      <w:r w:rsidRPr="00391600" w:rsidR="43D9CEAF">
        <w:rPr>
          <w:rFonts w:ascii="Palatino Linotype" w:hAnsi="Palatino Linotype" w:eastAsia="Times New Roman" w:cs="Times New Roman"/>
          <w:color w:val="000000" w:themeColor="text1"/>
        </w:rPr>
        <w:t xml:space="preserve">. </w:t>
      </w:r>
      <w:r w:rsidRPr="00391600" w:rsidR="2E4DFF79">
        <w:rPr>
          <w:rFonts w:ascii="Palatino Linotype" w:hAnsi="Palatino Linotype" w:eastAsia="Palatino Linotype" w:cs="Times New Roman"/>
          <w:color w:val="000000" w:themeColor="text1"/>
        </w:rPr>
        <w:t xml:space="preserve">This Resolution explains why the CEC </w:t>
      </w:r>
      <w:r w:rsidRPr="00391600" w:rsidR="7DE17ED0">
        <w:rPr>
          <w:rFonts w:ascii="Palatino Linotype" w:hAnsi="Palatino Linotype" w:eastAsia="Times New Roman" w:cs="Times New Roman"/>
          <w:color w:val="000000" w:themeColor="text1"/>
        </w:rPr>
        <w:t xml:space="preserve">is directed to </w:t>
      </w:r>
      <w:r w:rsidRPr="00391600" w:rsidR="2E4DFF79">
        <w:rPr>
          <w:rFonts w:ascii="Palatino Linotype" w:hAnsi="Palatino Linotype" w:eastAsia="Palatino Linotype" w:cs="Times New Roman"/>
          <w:color w:val="000000" w:themeColor="text1"/>
        </w:rPr>
        <w:t xml:space="preserve">use </w:t>
      </w:r>
      <w:r w:rsidRPr="00391600" w:rsidR="0067334E">
        <w:rPr>
          <w:rFonts w:ascii="Palatino Linotype" w:hAnsi="Palatino Linotype" w:eastAsia="Palatino Linotype" w:cs="Times New Roman"/>
          <w:color w:val="000000" w:themeColor="text1"/>
        </w:rPr>
        <w:t xml:space="preserve">a portion of its </w:t>
      </w:r>
      <w:r w:rsidRPr="00391600" w:rsidR="2E4DFF79">
        <w:rPr>
          <w:rFonts w:ascii="Palatino Linotype" w:hAnsi="Palatino Linotype" w:eastAsia="Palatino Linotype" w:cs="Times New Roman"/>
          <w:color w:val="000000" w:themeColor="text1"/>
        </w:rPr>
        <w:t>previously authorized funds</w:t>
      </w:r>
      <w:r w:rsidRPr="00391600" w:rsidR="376B74C4">
        <w:rPr>
          <w:rFonts w:ascii="Palatino Linotype" w:hAnsi="Palatino Linotype" w:eastAsia="Palatino Linotype" w:cs="Times New Roman"/>
          <w:color w:val="000000" w:themeColor="text1"/>
        </w:rPr>
        <w:t xml:space="preserve"> on the </w:t>
      </w:r>
      <w:r w:rsidRPr="00391600" w:rsidR="00EB6096">
        <w:rPr>
          <w:rFonts w:ascii="Palatino Linotype" w:hAnsi="Palatino Linotype" w:eastAsia="Palatino Linotype" w:cs="Times New Roman"/>
          <w:color w:val="000000" w:themeColor="text1"/>
        </w:rPr>
        <w:t>I</w:t>
      </w:r>
      <w:r w:rsidRPr="00391600" w:rsidR="376B74C4">
        <w:rPr>
          <w:rFonts w:ascii="Palatino Linotype" w:hAnsi="Palatino Linotype" w:eastAsia="Palatino Linotype" w:cs="Times New Roman"/>
          <w:color w:val="000000" w:themeColor="text1"/>
        </w:rPr>
        <w:t xml:space="preserve">nitiatives identified in the 2024 and 2025 Plans rather than continue </w:t>
      </w:r>
      <w:r w:rsidRPr="00391600" w:rsidR="7C3C94DD">
        <w:rPr>
          <w:rFonts w:ascii="Palatino Linotype" w:hAnsi="Palatino Linotype" w:eastAsia="Palatino Linotype" w:cs="Times New Roman"/>
          <w:color w:val="000000" w:themeColor="text1"/>
        </w:rPr>
        <w:t xml:space="preserve">administrative efforts </w:t>
      </w:r>
      <w:r w:rsidRPr="00391600" w:rsidR="376B74C4">
        <w:rPr>
          <w:rFonts w:ascii="Palatino Linotype" w:hAnsi="Palatino Linotype" w:eastAsia="Palatino Linotype" w:cs="Times New Roman"/>
          <w:color w:val="000000" w:themeColor="text1"/>
        </w:rPr>
        <w:t xml:space="preserve">to </w:t>
      </w:r>
      <w:r w:rsidRPr="00391600" w:rsidR="30B81FEB">
        <w:rPr>
          <w:rFonts w:ascii="Palatino Linotype" w:hAnsi="Palatino Linotype" w:eastAsia="Palatino Linotype" w:cs="Times New Roman"/>
          <w:color w:val="000000" w:themeColor="text1"/>
        </w:rPr>
        <w:t>attempt to</w:t>
      </w:r>
      <w:r w:rsidRPr="00391600" w:rsidR="00402C7F">
        <w:rPr>
          <w:rFonts w:ascii="Palatino Linotype" w:hAnsi="Palatino Linotype" w:eastAsia="Palatino Linotype" w:cs="Times New Roman"/>
          <w:color w:val="000000" w:themeColor="text1"/>
        </w:rPr>
        <w:t xml:space="preserve"> encumber and spend</w:t>
      </w:r>
      <w:r w:rsidRPr="00391600" w:rsidR="376B74C4">
        <w:rPr>
          <w:rFonts w:ascii="Palatino Linotype" w:hAnsi="Palatino Linotype" w:eastAsia="Palatino Linotype" w:cs="Times New Roman"/>
          <w:color w:val="000000" w:themeColor="text1"/>
        </w:rPr>
        <w:t xml:space="preserve"> </w:t>
      </w:r>
      <w:r w:rsidRPr="00391600" w:rsidR="52C932F2">
        <w:rPr>
          <w:rFonts w:ascii="Palatino Linotype" w:hAnsi="Palatino Linotype" w:eastAsia="Times New Roman" w:cs="Times New Roman"/>
          <w:color w:val="000000" w:themeColor="text1"/>
        </w:rPr>
        <w:t>previously collect</w:t>
      </w:r>
      <w:r w:rsidRPr="00391600" w:rsidR="00402C7F">
        <w:rPr>
          <w:rFonts w:ascii="Palatino Linotype" w:hAnsi="Palatino Linotype" w:eastAsia="Times New Roman" w:cs="Times New Roman"/>
          <w:color w:val="000000" w:themeColor="text1"/>
        </w:rPr>
        <w:t>ed</w:t>
      </w:r>
      <w:r w:rsidRPr="00391600" w:rsidR="52C932F2">
        <w:rPr>
          <w:rFonts w:ascii="Palatino Linotype" w:hAnsi="Palatino Linotype" w:eastAsia="Times New Roman" w:cs="Times New Roman"/>
          <w:color w:val="000000" w:themeColor="text1"/>
        </w:rPr>
        <w:t xml:space="preserve"> </w:t>
      </w:r>
      <w:r w:rsidRPr="00391600" w:rsidR="376B74C4">
        <w:rPr>
          <w:rFonts w:ascii="Palatino Linotype" w:hAnsi="Palatino Linotype" w:eastAsia="Palatino Linotype" w:cs="Times New Roman"/>
          <w:color w:val="000000" w:themeColor="text1"/>
        </w:rPr>
        <w:t xml:space="preserve">funds in support of </w:t>
      </w:r>
      <w:r w:rsidRPr="00391600" w:rsidR="4FC015FC">
        <w:rPr>
          <w:rFonts w:ascii="Palatino Linotype" w:hAnsi="Palatino Linotype" w:eastAsia="Palatino Linotype" w:cs="Times New Roman"/>
          <w:color w:val="000000" w:themeColor="text1"/>
        </w:rPr>
        <w:t>Plan</w:t>
      </w:r>
      <w:r w:rsidRPr="00391600" w:rsidR="48B5EBFA">
        <w:rPr>
          <w:rFonts w:ascii="Palatino Linotype" w:hAnsi="Palatino Linotype" w:eastAsia="Palatino Linotype" w:cs="Times New Roman"/>
          <w:color w:val="000000" w:themeColor="text1"/>
        </w:rPr>
        <w:t xml:space="preserve"> </w:t>
      </w:r>
      <w:r w:rsidRPr="00391600" w:rsidR="48B5EBFA">
        <w:rPr>
          <w:rFonts w:ascii="Palatino Linotype" w:hAnsi="Palatino Linotype" w:eastAsia="Times New Roman" w:cs="Times New Roman"/>
          <w:color w:val="000000" w:themeColor="text1"/>
        </w:rPr>
        <w:t xml:space="preserve">Initiatives </w:t>
      </w:r>
      <w:r w:rsidRPr="00391600" w:rsidR="4FC015FC">
        <w:rPr>
          <w:rFonts w:ascii="Palatino Linotype" w:hAnsi="Palatino Linotype" w:eastAsia="Palatino Linotype" w:cs="Times New Roman"/>
          <w:color w:val="000000" w:themeColor="text1"/>
        </w:rPr>
        <w:t xml:space="preserve">from </w:t>
      </w:r>
      <w:r w:rsidRPr="00391600" w:rsidR="7D5D5A29">
        <w:rPr>
          <w:rFonts w:ascii="Palatino Linotype" w:hAnsi="Palatino Linotype" w:eastAsia="Palatino Linotype" w:cs="Times New Roman"/>
          <w:color w:val="000000" w:themeColor="text1"/>
        </w:rPr>
        <w:t>distant years in the past</w:t>
      </w:r>
      <w:r w:rsidRPr="00391600" w:rsidR="44365780">
        <w:rPr>
          <w:rFonts w:ascii="Palatino Linotype" w:hAnsi="Palatino Linotype" w:eastAsia="Palatino Linotype" w:cs="Times New Roman"/>
          <w:color w:val="000000" w:themeColor="text1"/>
        </w:rPr>
        <w:t xml:space="preserve">. This Resolution details how use of previously </w:t>
      </w:r>
      <w:r w:rsidRPr="00391600" w:rsidR="1F97AD61">
        <w:rPr>
          <w:rFonts w:ascii="Palatino Linotype" w:hAnsi="Palatino Linotype" w:eastAsia="Times New Roman" w:cs="Times New Roman"/>
          <w:color w:val="000000" w:themeColor="text1"/>
        </w:rPr>
        <w:t xml:space="preserve">collected </w:t>
      </w:r>
      <w:r w:rsidRPr="00391600" w:rsidR="44365780">
        <w:rPr>
          <w:rFonts w:ascii="Palatino Linotype" w:hAnsi="Palatino Linotype" w:eastAsia="Palatino Linotype" w:cs="Times New Roman"/>
          <w:color w:val="000000" w:themeColor="text1"/>
        </w:rPr>
        <w:t xml:space="preserve">funds for the 2024 and 2025 Plans will reduce ratepayer collections since the </w:t>
      </w:r>
      <w:r w:rsidRPr="00391600" w:rsidR="2E4DFF79">
        <w:rPr>
          <w:rFonts w:ascii="Palatino Linotype" w:hAnsi="Palatino Linotype" w:eastAsia="Palatino Linotype" w:cs="Times New Roman"/>
          <w:color w:val="000000" w:themeColor="text1"/>
        </w:rPr>
        <w:t xml:space="preserve">CEC </w:t>
      </w:r>
      <w:r w:rsidRPr="00391600" w:rsidR="06CCFFA3">
        <w:rPr>
          <w:rFonts w:ascii="Palatino Linotype" w:hAnsi="Palatino Linotype" w:eastAsia="Times New Roman" w:cs="Times New Roman"/>
          <w:color w:val="000000" w:themeColor="text1"/>
        </w:rPr>
        <w:t xml:space="preserve">will only need to </w:t>
      </w:r>
      <w:r w:rsidRPr="00391600" w:rsidR="2E4DFF79">
        <w:rPr>
          <w:rFonts w:ascii="Palatino Linotype" w:hAnsi="Palatino Linotype" w:eastAsia="Palatino Linotype" w:cs="Times New Roman"/>
          <w:color w:val="000000" w:themeColor="text1"/>
        </w:rPr>
        <w:t xml:space="preserve">collect a portion of </w:t>
      </w:r>
      <w:r w:rsidRPr="00391600" w:rsidR="0071507E">
        <w:rPr>
          <w:rFonts w:ascii="Palatino Linotype" w:hAnsi="Palatino Linotype" w:eastAsia="Palatino Linotype" w:cs="Times New Roman"/>
          <w:color w:val="000000" w:themeColor="text1"/>
        </w:rPr>
        <w:t xml:space="preserve">the </w:t>
      </w:r>
      <w:r w:rsidRPr="00391600" w:rsidR="1F741516">
        <w:rPr>
          <w:rFonts w:ascii="Palatino Linotype" w:hAnsi="Palatino Linotype" w:eastAsia="Palatino Linotype" w:cs="Times New Roman"/>
          <w:color w:val="000000" w:themeColor="text1"/>
        </w:rPr>
        <w:t xml:space="preserve">total </w:t>
      </w:r>
      <w:r w:rsidRPr="00391600" w:rsidR="0071507E">
        <w:rPr>
          <w:rFonts w:ascii="Palatino Linotype" w:hAnsi="Palatino Linotype" w:eastAsia="Palatino Linotype" w:cs="Times New Roman"/>
          <w:color w:val="000000" w:themeColor="text1"/>
        </w:rPr>
        <w:t>budgets</w:t>
      </w:r>
      <w:r w:rsidRPr="00391600" w:rsidR="1F741516">
        <w:rPr>
          <w:rFonts w:ascii="Palatino Linotype" w:hAnsi="Palatino Linotype" w:eastAsia="Palatino Linotype" w:cs="Times New Roman"/>
          <w:color w:val="000000" w:themeColor="text1"/>
        </w:rPr>
        <w:t xml:space="preserve"> </w:t>
      </w:r>
      <w:r w:rsidRPr="00391600" w:rsidR="1E9B169E">
        <w:rPr>
          <w:rFonts w:ascii="Palatino Linotype" w:hAnsi="Palatino Linotype" w:eastAsia="Palatino Linotype" w:cs="Times New Roman"/>
          <w:color w:val="000000" w:themeColor="text1"/>
        </w:rPr>
        <w:t xml:space="preserve">required to execute on </w:t>
      </w:r>
      <w:r w:rsidRPr="00391600" w:rsidR="1F741516">
        <w:rPr>
          <w:rFonts w:ascii="Palatino Linotype" w:hAnsi="Palatino Linotype" w:eastAsia="Palatino Linotype" w:cs="Times New Roman"/>
          <w:color w:val="000000" w:themeColor="text1"/>
        </w:rPr>
        <w:t xml:space="preserve">the </w:t>
      </w:r>
      <w:r w:rsidRPr="00391600" w:rsidR="2C8A75A2">
        <w:rPr>
          <w:rFonts w:ascii="Palatino Linotype" w:hAnsi="Palatino Linotype" w:eastAsia="Times New Roman" w:cs="Times New Roman"/>
          <w:color w:val="000000" w:themeColor="text1"/>
        </w:rPr>
        <w:t>2024 and 2025 Plan</w:t>
      </w:r>
      <w:r w:rsidRPr="00391600" w:rsidR="1FD417B6">
        <w:rPr>
          <w:rFonts w:ascii="Palatino Linotype" w:hAnsi="Palatino Linotype" w:eastAsia="Times New Roman" w:cs="Times New Roman"/>
          <w:color w:val="000000" w:themeColor="text1"/>
        </w:rPr>
        <w:t xml:space="preserve">s </w:t>
      </w:r>
      <w:r w:rsidRPr="00391600" w:rsidR="2E4DFF79">
        <w:rPr>
          <w:rFonts w:ascii="Palatino Linotype" w:hAnsi="Palatino Linotype" w:eastAsia="Palatino Linotype" w:cs="Times New Roman"/>
          <w:color w:val="000000" w:themeColor="text1"/>
        </w:rPr>
        <w:t>f</w:t>
      </w:r>
      <w:r w:rsidRPr="00391600" w:rsidR="3009918F">
        <w:rPr>
          <w:rFonts w:ascii="Palatino Linotype" w:hAnsi="Palatino Linotype" w:eastAsia="Palatino Linotype" w:cs="Times New Roman"/>
          <w:color w:val="000000" w:themeColor="text1"/>
        </w:rPr>
        <w:t>rom</w:t>
      </w:r>
      <w:r w:rsidRPr="00391600" w:rsidR="2E4DFF79">
        <w:rPr>
          <w:rFonts w:ascii="Palatino Linotype" w:hAnsi="Palatino Linotype" w:eastAsia="Palatino Linotype" w:cs="Times New Roman"/>
          <w:color w:val="000000" w:themeColor="text1"/>
        </w:rPr>
        <w:t xml:space="preserve"> the </w:t>
      </w:r>
      <w:r w:rsidRPr="00391600" w:rsidR="343DD508">
        <w:rPr>
          <w:rFonts w:ascii="Palatino Linotype" w:hAnsi="Palatino Linotype" w:eastAsia="Palatino Linotype" w:cs="Times New Roman"/>
          <w:color w:val="000000" w:themeColor="text1"/>
        </w:rPr>
        <w:t xml:space="preserve">gas </w:t>
      </w:r>
      <w:r w:rsidRPr="00391600" w:rsidR="00B7594D">
        <w:rPr>
          <w:rFonts w:ascii="Palatino Linotype" w:hAnsi="Palatino Linotype" w:eastAsia="Palatino Linotype" w:cs="Times New Roman"/>
          <w:color w:val="000000" w:themeColor="text1"/>
        </w:rPr>
        <w:t xml:space="preserve">ratepayer </w:t>
      </w:r>
      <w:r w:rsidRPr="00391600" w:rsidR="2E4DFF79">
        <w:rPr>
          <w:rFonts w:ascii="Palatino Linotype" w:hAnsi="Palatino Linotype" w:eastAsia="Palatino Linotype" w:cs="Times New Roman"/>
          <w:color w:val="000000" w:themeColor="text1"/>
        </w:rPr>
        <w:t>surcharge</w:t>
      </w:r>
      <w:r w:rsidRPr="00391600" w:rsidR="59D93870">
        <w:rPr>
          <w:rFonts w:ascii="Palatino Linotype" w:hAnsi="Palatino Linotype" w:eastAsia="Palatino Linotype" w:cs="Times New Roman"/>
          <w:color w:val="000000" w:themeColor="text1"/>
        </w:rPr>
        <w:t xml:space="preserve">. The Resolution </w:t>
      </w:r>
      <w:r w:rsidRPr="00391600" w:rsidR="2C5C012E">
        <w:rPr>
          <w:rFonts w:ascii="Palatino Linotype" w:hAnsi="Palatino Linotype" w:eastAsia="Times New Roman" w:cs="Times New Roman"/>
          <w:color w:val="000000" w:themeColor="text1"/>
        </w:rPr>
        <w:t xml:space="preserve">provides a mechanism </w:t>
      </w:r>
      <w:r w:rsidRPr="00391600" w:rsidR="4DC123E2">
        <w:rPr>
          <w:rFonts w:ascii="Palatino Linotype" w:hAnsi="Palatino Linotype" w:eastAsia="Palatino Linotype" w:cs="Times New Roman"/>
          <w:color w:val="000000" w:themeColor="text1"/>
        </w:rPr>
        <w:t xml:space="preserve">for the CEC </w:t>
      </w:r>
      <w:r w:rsidRPr="00391600" w:rsidR="2E4DFF79">
        <w:rPr>
          <w:rFonts w:ascii="Palatino Linotype" w:hAnsi="Palatino Linotype" w:eastAsia="Palatino Linotype" w:cs="Times New Roman"/>
          <w:color w:val="000000" w:themeColor="text1"/>
        </w:rPr>
        <w:t xml:space="preserve">to update the CPUC on the exact </w:t>
      </w:r>
      <w:r w:rsidRPr="00391600" w:rsidR="00FA05ED">
        <w:rPr>
          <w:rFonts w:ascii="Palatino Linotype" w:hAnsi="Palatino Linotype" w:eastAsia="Palatino Linotype" w:cs="Times New Roman"/>
          <w:color w:val="000000" w:themeColor="text1"/>
        </w:rPr>
        <w:t xml:space="preserve">approved </w:t>
      </w:r>
      <w:r w:rsidRPr="00391600" w:rsidR="2E4DFF79">
        <w:rPr>
          <w:rFonts w:ascii="Palatino Linotype" w:hAnsi="Palatino Linotype" w:eastAsia="Palatino Linotype" w:cs="Times New Roman"/>
          <w:color w:val="000000" w:themeColor="text1"/>
        </w:rPr>
        <w:t>fund balances</w:t>
      </w:r>
      <w:r w:rsidRPr="00391600" w:rsidR="6DBA142E">
        <w:rPr>
          <w:rFonts w:ascii="Palatino Linotype" w:hAnsi="Palatino Linotype" w:eastAsia="Palatino Linotype" w:cs="Times New Roman"/>
          <w:color w:val="000000" w:themeColor="text1"/>
        </w:rPr>
        <w:t xml:space="preserve"> updated since April 2026 and allows for ratepayer collections to be modified accordingly</w:t>
      </w:r>
      <w:r w:rsidRPr="00391600" w:rsidR="2E4DFF79">
        <w:rPr>
          <w:rFonts w:ascii="Palatino Linotype" w:hAnsi="Palatino Linotype" w:eastAsia="Palatino Linotype" w:cs="Times New Roman"/>
          <w:color w:val="000000" w:themeColor="text1"/>
        </w:rPr>
        <w:t>.</w:t>
      </w:r>
      <w:r w:rsidRPr="00391600" w:rsidR="4D34C30B">
        <w:rPr>
          <w:rFonts w:ascii="Palatino Linotype" w:hAnsi="Palatino Linotype" w:eastAsia="Palatino Linotype" w:cs="Times New Roman"/>
          <w:color w:val="000000" w:themeColor="text1"/>
        </w:rPr>
        <w:t xml:space="preserve"> </w:t>
      </w:r>
      <w:r w:rsidRPr="00391600" w:rsidR="50F08573">
        <w:rPr>
          <w:rFonts w:ascii="Palatino Linotype" w:hAnsi="Palatino Linotype" w:eastAsia="Palatino Linotype" w:cs="Palatino Linotype"/>
          <w:color w:val="000000" w:themeColor="text1"/>
        </w:rPr>
        <w:t xml:space="preserve"> </w:t>
      </w:r>
    </w:p>
    <w:p w:rsidRPr="00391600" w:rsidR="005416A7" w:rsidP="005416A7" w:rsidRDefault="006F6D39" w14:paraId="285A824F" w14:textId="6160248B">
      <w:pPr>
        <w:spacing w:before="240" w:after="0" w:line="276" w:lineRule="auto"/>
        <w:rPr>
          <w:rFonts w:ascii="Palatino Linotype" w:hAnsi="Palatino Linotype" w:eastAsia="Palatino Linotype"/>
          <w:color w:val="000000" w:themeColor="text1"/>
        </w:rPr>
      </w:pPr>
      <w:r w:rsidRPr="00391600">
        <w:rPr>
          <w:rFonts w:ascii="Palatino Linotype" w:hAnsi="Palatino Linotype" w:eastAsia="Palatino Linotype" w:cs="Times New Roman"/>
          <w:color w:val="000000" w:themeColor="text1"/>
        </w:rPr>
        <w:t xml:space="preserve">The CEC shall continue to </w:t>
      </w:r>
      <w:r w:rsidRPr="00391600" w:rsidR="00572D74">
        <w:rPr>
          <w:rFonts w:ascii="Palatino Linotype" w:hAnsi="Palatino Linotype" w:eastAsia="Palatino Linotype" w:cs="Times New Roman"/>
          <w:color w:val="000000" w:themeColor="text1"/>
        </w:rPr>
        <w:t xml:space="preserve">encumber funds </w:t>
      </w:r>
      <w:r w:rsidRPr="00391600" w:rsidR="07551D5A">
        <w:rPr>
          <w:rFonts w:ascii="Palatino Linotype" w:hAnsi="Palatino Linotype" w:eastAsia="Palatino Linotype" w:cs="Times New Roman"/>
          <w:color w:val="000000" w:themeColor="text1"/>
        </w:rPr>
        <w:t xml:space="preserve">for grants </w:t>
      </w:r>
      <w:r w:rsidRPr="00391600" w:rsidR="00572D74">
        <w:rPr>
          <w:rFonts w:ascii="Palatino Linotype" w:hAnsi="Palatino Linotype" w:eastAsia="Palatino Linotype" w:cs="Times New Roman"/>
          <w:color w:val="000000" w:themeColor="text1"/>
        </w:rPr>
        <w:t xml:space="preserve">from </w:t>
      </w:r>
      <w:r w:rsidRPr="00391600" w:rsidR="5F4CBD43">
        <w:rPr>
          <w:rFonts w:ascii="Palatino Linotype" w:hAnsi="Palatino Linotype" w:eastAsia="Palatino Linotype" w:cs="Times New Roman"/>
          <w:color w:val="000000" w:themeColor="text1"/>
        </w:rPr>
        <w:t xml:space="preserve">approved </w:t>
      </w:r>
      <w:r w:rsidRPr="00391600" w:rsidR="00E04010">
        <w:rPr>
          <w:rFonts w:ascii="Palatino Linotype" w:hAnsi="Palatino Linotype" w:eastAsia="Palatino Linotype" w:cs="Times New Roman"/>
          <w:color w:val="000000" w:themeColor="text1"/>
        </w:rPr>
        <w:t>G</w:t>
      </w:r>
      <w:r w:rsidRPr="00391600" w:rsidR="5F4CBD43">
        <w:rPr>
          <w:rFonts w:ascii="Palatino Linotype" w:hAnsi="Palatino Linotype" w:eastAsia="Palatino Linotype" w:cs="Times New Roman"/>
          <w:color w:val="000000" w:themeColor="text1"/>
        </w:rPr>
        <w:t xml:space="preserve">as RD&amp;D </w:t>
      </w:r>
      <w:r w:rsidRPr="00391600" w:rsidR="00572D74">
        <w:rPr>
          <w:rFonts w:ascii="Palatino Linotype" w:hAnsi="Palatino Linotype" w:eastAsia="Palatino Linotype" w:cs="Times New Roman"/>
          <w:color w:val="000000" w:themeColor="text1"/>
        </w:rPr>
        <w:t xml:space="preserve">Plans for which less than two years have passed since Commission </w:t>
      </w:r>
      <w:r w:rsidRPr="00391600" w:rsidR="1161CAD9">
        <w:rPr>
          <w:rFonts w:ascii="Palatino Linotype" w:hAnsi="Palatino Linotype" w:eastAsia="Palatino Linotype" w:cs="Times New Roman"/>
          <w:color w:val="000000" w:themeColor="text1"/>
        </w:rPr>
        <w:t xml:space="preserve">Plan </w:t>
      </w:r>
      <w:r w:rsidRPr="00391600" w:rsidR="00572D74">
        <w:rPr>
          <w:rFonts w:ascii="Palatino Linotype" w:hAnsi="Palatino Linotype" w:eastAsia="Palatino Linotype" w:cs="Times New Roman"/>
          <w:color w:val="000000" w:themeColor="text1"/>
        </w:rPr>
        <w:t xml:space="preserve">approval and spend </w:t>
      </w:r>
      <w:r w:rsidRPr="00391600" w:rsidR="00572D74">
        <w:rPr>
          <w:rFonts w:ascii="Palatino Linotype" w:hAnsi="Palatino Linotype" w:eastAsia="Palatino Linotype" w:cs="Times New Roman"/>
          <w:color w:val="000000" w:themeColor="text1"/>
        </w:rPr>
        <w:lastRenderedPageBreak/>
        <w:t xml:space="preserve">funds for which less than four years have passed since encumbrance, </w:t>
      </w:r>
      <w:r w:rsidRPr="00391600" w:rsidR="00B07848">
        <w:rPr>
          <w:rFonts w:ascii="Palatino Linotype" w:hAnsi="Palatino Linotype" w:eastAsia="Palatino Linotype" w:cs="Times New Roman"/>
          <w:color w:val="000000" w:themeColor="text1"/>
        </w:rPr>
        <w:t xml:space="preserve">amounting to $53,603,242 </w:t>
      </w:r>
      <w:r w:rsidRPr="00391600" w:rsidR="00BB498D">
        <w:rPr>
          <w:rFonts w:ascii="Palatino Linotype" w:hAnsi="Palatino Linotype" w:eastAsia="Palatino Linotype" w:cs="Times New Roman"/>
          <w:color w:val="000000" w:themeColor="text1"/>
        </w:rPr>
        <w:t>as reported by the CEC as of April 2026</w:t>
      </w:r>
      <w:r w:rsidRPr="00391600" w:rsidR="00B07848">
        <w:rPr>
          <w:rFonts w:ascii="Palatino Linotype" w:hAnsi="Palatino Linotype" w:eastAsia="Palatino Linotype"/>
          <w:color w:val="000000" w:themeColor="text1"/>
        </w:rPr>
        <w:t>.</w:t>
      </w:r>
      <w:r w:rsidRPr="00391600" w:rsidR="00B07848">
        <w:rPr>
          <w:rFonts w:ascii="Palatino Linotype" w:hAnsi="Palatino Linotype" w:eastAsia="Palatino Linotype" w:cs="Times New Roman"/>
          <w:color w:val="000000" w:themeColor="text1"/>
        </w:rPr>
        <w:t xml:space="preserve"> </w:t>
      </w:r>
      <w:r w:rsidRPr="00391600" w:rsidR="4EC4AAA8">
        <w:rPr>
          <w:rFonts w:ascii="Palatino Linotype" w:hAnsi="Palatino Linotype" w:eastAsia="Palatino Linotype" w:cs="Times New Roman"/>
          <w:color w:val="000000" w:themeColor="text1"/>
        </w:rPr>
        <w:t xml:space="preserve">However, based on reporting in April 2026, the </w:t>
      </w:r>
      <w:r w:rsidRPr="00391600" w:rsidR="00003805">
        <w:rPr>
          <w:rFonts w:ascii="Palatino Linotype" w:hAnsi="Palatino Linotype" w:eastAsia="Times New Roman" w:cs="Times New Roman"/>
          <w:color w:val="000000" w:themeColor="text1"/>
        </w:rPr>
        <w:t xml:space="preserve">CEC </w:t>
      </w:r>
      <w:r w:rsidRPr="00391600" w:rsidR="042EDF43">
        <w:rPr>
          <w:rFonts w:ascii="Palatino Linotype" w:hAnsi="Palatino Linotype" w:eastAsia="Times New Roman" w:cs="Times New Roman"/>
          <w:color w:val="000000" w:themeColor="text1"/>
        </w:rPr>
        <w:t xml:space="preserve">has identified and </w:t>
      </w:r>
      <w:r w:rsidRPr="00391600" w:rsidR="00755F24">
        <w:rPr>
          <w:rFonts w:ascii="Palatino Linotype" w:hAnsi="Palatino Linotype" w:eastAsia="Times New Roman" w:cs="Times New Roman"/>
          <w:color w:val="000000" w:themeColor="text1"/>
        </w:rPr>
        <w:t>shall</w:t>
      </w:r>
      <w:r w:rsidRPr="00391600" w:rsidR="00236214">
        <w:rPr>
          <w:rFonts w:ascii="Palatino Linotype" w:hAnsi="Palatino Linotype" w:eastAsia="Times New Roman" w:cs="Times New Roman"/>
          <w:color w:val="000000" w:themeColor="text1"/>
        </w:rPr>
        <w:t xml:space="preserve"> </w:t>
      </w:r>
      <w:r w:rsidRPr="00391600" w:rsidR="00003805">
        <w:rPr>
          <w:rFonts w:ascii="Palatino Linotype" w:hAnsi="Palatino Linotype" w:eastAsia="Times New Roman" w:cs="Times New Roman"/>
          <w:color w:val="000000" w:themeColor="text1"/>
        </w:rPr>
        <w:t xml:space="preserve">utilize </w:t>
      </w:r>
      <w:r w:rsidRPr="00391600" w:rsidR="00755F24">
        <w:rPr>
          <w:rFonts w:ascii="Palatino Linotype" w:hAnsi="Palatino Linotype" w:eastAsia="Times New Roman" w:cs="Times New Roman"/>
          <w:color w:val="000000" w:themeColor="text1"/>
        </w:rPr>
        <w:t>the identified</w:t>
      </w:r>
      <w:r w:rsidRPr="00391600" w:rsidR="3BFC3F9C">
        <w:rPr>
          <w:rFonts w:ascii="Palatino Linotype" w:hAnsi="Palatino Linotype" w:eastAsia="Times New Roman" w:cs="Times New Roman"/>
          <w:color w:val="000000" w:themeColor="text1"/>
        </w:rPr>
        <w:t xml:space="preserve"> </w:t>
      </w:r>
      <w:r w:rsidRPr="00391600" w:rsidR="00F07FB2">
        <w:rPr>
          <w:rFonts w:ascii="Palatino Linotype" w:hAnsi="Palatino Linotype" w:eastAsia="Palatino Linotype"/>
          <w:color w:val="000000" w:themeColor="text1"/>
        </w:rPr>
        <w:t>$31,076,69</w:t>
      </w:r>
      <w:r w:rsidRPr="00391600" w:rsidR="00125B38">
        <w:rPr>
          <w:rFonts w:ascii="Palatino Linotype" w:hAnsi="Palatino Linotype" w:eastAsia="Palatino Linotype"/>
          <w:color w:val="000000" w:themeColor="text1"/>
        </w:rPr>
        <w:t>0</w:t>
      </w:r>
      <w:r w:rsidRPr="00391600" w:rsidR="00003805">
        <w:rPr>
          <w:rFonts w:ascii="Palatino Linotype" w:hAnsi="Palatino Linotype" w:eastAsia="Palatino Linotype"/>
          <w:color w:val="000000" w:themeColor="text1"/>
        </w:rPr>
        <w:t xml:space="preserve"> balance of unspent</w:t>
      </w:r>
      <w:r w:rsidRPr="00391600" w:rsidR="00755F24">
        <w:rPr>
          <w:rFonts w:ascii="Palatino Linotype" w:hAnsi="Palatino Linotype" w:eastAsia="Palatino Linotype"/>
          <w:b/>
          <w:bCs/>
          <w:color w:val="000000" w:themeColor="text1"/>
        </w:rPr>
        <w:t xml:space="preserve"> </w:t>
      </w:r>
      <w:r w:rsidRPr="00391600" w:rsidR="00755F24">
        <w:rPr>
          <w:rFonts w:ascii="Palatino Linotype" w:hAnsi="Palatino Linotype" w:eastAsia="Palatino Linotype"/>
          <w:color w:val="000000" w:themeColor="text1"/>
        </w:rPr>
        <w:t xml:space="preserve">and unencumbered </w:t>
      </w:r>
      <w:r w:rsidRPr="00391600" w:rsidR="00003805">
        <w:rPr>
          <w:rFonts w:ascii="Palatino Linotype" w:hAnsi="Palatino Linotype" w:eastAsia="Palatino Linotype"/>
          <w:color w:val="000000" w:themeColor="text1"/>
        </w:rPr>
        <w:t xml:space="preserve">funds from previously approved </w:t>
      </w:r>
      <w:r w:rsidRPr="00391600" w:rsidR="00DE7311">
        <w:rPr>
          <w:rFonts w:ascii="Palatino Linotype" w:hAnsi="Palatino Linotype" w:eastAsia="Palatino Linotype"/>
          <w:color w:val="000000" w:themeColor="text1"/>
        </w:rPr>
        <w:t xml:space="preserve">Gas RD&amp;D </w:t>
      </w:r>
      <w:r w:rsidRPr="00391600" w:rsidR="00003805">
        <w:rPr>
          <w:rFonts w:ascii="Palatino Linotype" w:hAnsi="Palatino Linotype" w:eastAsia="Palatino Linotype"/>
          <w:color w:val="000000" w:themeColor="text1"/>
        </w:rPr>
        <w:t>Plans</w:t>
      </w:r>
      <w:r w:rsidRPr="00391600" w:rsidR="00F51583">
        <w:rPr>
          <w:rFonts w:ascii="Palatino Linotype" w:hAnsi="Palatino Linotype" w:eastAsia="Palatino Linotype"/>
          <w:color w:val="000000" w:themeColor="text1"/>
        </w:rPr>
        <w:t xml:space="preserve"> </w:t>
      </w:r>
      <w:r w:rsidRPr="00391600" w:rsidR="00B724E8">
        <w:rPr>
          <w:rFonts w:ascii="Palatino Linotype" w:hAnsi="Palatino Linotype" w:eastAsia="Palatino Linotype"/>
          <w:color w:val="000000" w:themeColor="text1"/>
        </w:rPr>
        <w:t>prior to accessing additional ratepayer funds</w:t>
      </w:r>
      <w:r w:rsidRPr="00391600" w:rsidR="009C2723">
        <w:rPr>
          <w:rFonts w:ascii="Palatino Linotype" w:hAnsi="Palatino Linotype" w:eastAsia="Palatino Linotype"/>
          <w:color w:val="000000" w:themeColor="text1"/>
        </w:rPr>
        <w:t>. These</w:t>
      </w:r>
      <w:r w:rsidRPr="00391600" w:rsidR="00003805">
        <w:rPr>
          <w:rFonts w:ascii="Palatino Linotype" w:hAnsi="Palatino Linotype" w:eastAsia="Palatino Linotype"/>
          <w:color w:val="000000" w:themeColor="text1"/>
        </w:rPr>
        <w:t xml:space="preserve"> </w:t>
      </w:r>
      <w:r w:rsidRPr="00391600" w:rsidR="7D2D05E5">
        <w:rPr>
          <w:rFonts w:ascii="Palatino Linotype" w:hAnsi="Palatino Linotype" w:eastAsia="Palatino Linotype"/>
          <w:color w:val="000000" w:themeColor="text1"/>
        </w:rPr>
        <w:t xml:space="preserve">funds </w:t>
      </w:r>
      <w:r w:rsidRPr="00391600" w:rsidR="002F0C83">
        <w:rPr>
          <w:rFonts w:ascii="Palatino Linotype" w:hAnsi="Palatino Linotype" w:eastAsia="Palatino Linotype"/>
          <w:color w:val="000000" w:themeColor="text1"/>
        </w:rPr>
        <w:t xml:space="preserve">are </w:t>
      </w:r>
      <w:r w:rsidRPr="00391600" w:rsidR="00CE30EE">
        <w:rPr>
          <w:rFonts w:ascii="Palatino Linotype" w:hAnsi="Palatino Linotype" w:eastAsia="Palatino Linotype"/>
          <w:color w:val="000000" w:themeColor="text1"/>
        </w:rPr>
        <w:t>comprised of</w:t>
      </w:r>
      <w:r w:rsidRPr="00391600" w:rsidR="7AB50D1A">
        <w:rPr>
          <w:rFonts w:ascii="Palatino Linotype" w:hAnsi="Palatino Linotype" w:eastAsia="Palatino Linotype"/>
          <w:color w:val="000000" w:themeColor="text1"/>
        </w:rPr>
        <w:t xml:space="preserve"> $7.7M in</w:t>
      </w:r>
      <w:r w:rsidRPr="00391600" w:rsidR="00003805">
        <w:rPr>
          <w:rFonts w:ascii="Palatino Linotype" w:hAnsi="Palatino Linotype" w:eastAsia="Palatino Linotype"/>
          <w:color w:val="000000" w:themeColor="text1"/>
        </w:rPr>
        <w:t xml:space="preserve"> </w:t>
      </w:r>
      <w:r w:rsidRPr="00391600" w:rsidR="009C2723">
        <w:rPr>
          <w:rFonts w:ascii="Palatino Linotype" w:hAnsi="Palatino Linotype" w:eastAsia="Palatino Linotype"/>
          <w:color w:val="000000" w:themeColor="text1"/>
        </w:rPr>
        <w:t xml:space="preserve">unspent </w:t>
      </w:r>
      <w:r w:rsidRPr="00391600" w:rsidR="000B1717">
        <w:rPr>
          <w:rFonts w:ascii="Palatino Linotype" w:hAnsi="Palatino Linotype" w:eastAsia="Palatino Linotype"/>
          <w:color w:val="000000" w:themeColor="text1"/>
        </w:rPr>
        <w:t xml:space="preserve">encumbered </w:t>
      </w:r>
      <w:r w:rsidRPr="00391600" w:rsidR="009C2723">
        <w:rPr>
          <w:rFonts w:ascii="Palatino Linotype" w:hAnsi="Palatino Linotype" w:eastAsia="Palatino Linotype"/>
          <w:color w:val="000000" w:themeColor="text1"/>
        </w:rPr>
        <w:t xml:space="preserve">funds from </w:t>
      </w:r>
      <w:r w:rsidRPr="00391600" w:rsidR="314F96C5">
        <w:rPr>
          <w:rFonts w:ascii="Palatino Linotype" w:hAnsi="Palatino Linotype" w:eastAsia="Palatino Linotype"/>
          <w:color w:val="000000" w:themeColor="text1"/>
        </w:rPr>
        <w:t>CEC’s</w:t>
      </w:r>
      <w:r w:rsidRPr="00391600" w:rsidR="00514877">
        <w:rPr>
          <w:rFonts w:ascii="Palatino Linotype" w:hAnsi="Palatino Linotype" w:eastAsia="Palatino Linotype"/>
          <w:color w:val="000000" w:themeColor="text1"/>
        </w:rPr>
        <w:t xml:space="preserve"> </w:t>
      </w:r>
      <w:r w:rsidRPr="00391600" w:rsidR="00003805">
        <w:rPr>
          <w:rFonts w:ascii="Palatino Linotype" w:hAnsi="Palatino Linotype" w:eastAsia="Palatino Linotype"/>
          <w:color w:val="000000" w:themeColor="text1"/>
        </w:rPr>
        <w:t>FY 2015-2016 Plan</w:t>
      </w:r>
      <w:r w:rsidRPr="00391600" w:rsidR="00EC68A5">
        <w:rPr>
          <w:rFonts w:ascii="Palatino Linotype" w:hAnsi="Palatino Linotype" w:eastAsia="Palatino Linotype"/>
          <w:color w:val="000000" w:themeColor="text1"/>
        </w:rPr>
        <w:t xml:space="preserve"> approved in June 20</w:t>
      </w:r>
      <w:r w:rsidRPr="00391600" w:rsidR="002D1B75">
        <w:rPr>
          <w:rFonts w:ascii="Palatino Linotype" w:hAnsi="Palatino Linotype" w:eastAsia="Palatino Linotype"/>
          <w:color w:val="000000" w:themeColor="text1"/>
        </w:rPr>
        <w:t>1</w:t>
      </w:r>
      <w:r w:rsidRPr="00391600" w:rsidR="00EC68A5">
        <w:rPr>
          <w:rFonts w:ascii="Palatino Linotype" w:hAnsi="Palatino Linotype" w:eastAsia="Palatino Linotype"/>
          <w:color w:val="000000" w:themeColor="text1"/>
        </w:rPr>
        <w:t xml:space="preserve">5 through its </w:t>
      </w:r>
      <w:r w:rsidR="00FE6981">
        <w:rPr>
          <w:rFonts w:ascii="Palatino Linotype" w:hAnsi="Palatino Linotype" w:eastAsia="Palatino Linotype"/>
          <w:color w:val="000000" w:themeColor="text1"/>
        </w:rPr>
        <w:br/>
      </w:r>
      <w:r w:rsidRPr="00391600" w:rsidR="006520EA">
        <w:rPr>
          <w:rFonts w:ascii="Palatino Linotype" w:hAnsi="Palatino Linotype" w:eastAsia="Palatino Linotype"/>
          <w:color w:val="000000" w:themeColor="text1"/>
        </w:rPr>
        <w:t>FY 2019-202</w:t>
      </w:r>
      <w:r w:rsidRPr="00391600" w:rsidR="00C226F8">
        <w:rPr>
          <w:rFonts w:ascii="Palatino Linotype" w:hAnsi="Palatino Linotype" w:eastAsia="Palatino Linotype"/>
          <w:color w:val="000000" w:themeColor="text1"/>
        </w:rPr>
        <w:t>0</w:t>
      </w:r>
      <w:r w:rsidRPr="00391600" w:rsidR="006520EA">
        <w:rPr>
          <w:rFonts w:ascii="Palatino Linotype" w:hAnsi="Palatino Linotype" w:eastAsia="Palatino Linotype"/>
          <w:color w:val="000000" w:themeColor="text1"/>
        </w:rPr>
        <w:t xml:space="preserve"> Plan approved in August 2019.</w:t>
      </w:r>
      <w:r w:rsidRPr="00391600" w:rsidR="4D644707">
        <w:rPr>
          <w:rFonts w:ascii="Palatino Linotype" w:hAnsi="Palatino Linotype" w:eastAsia="Palatino Linotype"/>
          <w:color w:val="000000" w:themeColor="text1"/>
        </w:rPr>
        <w:t xml:space="preserve"> These funds are further comprised of </w:t>
      </w:r>
      <w:proofErr w:type="gramStart"/>
      <w:r w:rsidRPr="00391600" w:rsidR="4D644707">
        <w:rPr>
          <w:rFonts w:ascii="Palatino Linotype" w:hAnsi="Palatino Linotype" w:eastAsia="Palatino Linotype"/>
          <w:color w:val="000000" w:themeColor="text1"/>
        </w:rPr>
        <w:t>an</w:t>
      </w:r>
      <w:proofErr w:type="gramEnd"/>
      <w:r w:rsidRPr="00391600" w:rsidR="4D644707">
        <w:rPr>
          <w:rFonts w:ascii="Palatino Linotype" w:hAnsi="Palatino Linotype" w:eastAsia="Palatino Linotype"/>
          <w:color w:val="000000" w:themeColor="text1"/>
        </w:rPr>
        <w:t xml:space="preserve"> additional $16M in </w:t>
      </w:r>
      <w:r w:rsidRPr="00391600" w:rsidR="00C75E3D">
        <w:rPr>
          <w:rFonts w:ascii="Palatino Linotype" w:hAnsi="Palatino Linotype" w:eastAsia="Palatino Linotype"/>
          <w:color w:val="000000" w:themeColor="text1"/>
        </w:rPr>
        <w:t>unencumbered</w:t>
      </w:r>
      <w:r w:rsidRPr="00391600" w:rsidR="4D644707">
        <w:rPr>
          <w:rFonts w:ascii="Palatino Linotype" w:hAnsi="Palatino Linotype" w:eastAsia="Palatino Linotype"/>
          <w:color w:val="000000" w:themeColor="text1"/>
        </w:rPr>
        <w:t xml:space="preserve"> funds that </w:t>
      </w:r>
      <w:r w:rsidRPr="00391600" w:rsidR="4D644707">
        <w:rPr>
          <w:rFonts w:ascii="Palatino Linotype" w:hAnsi="Palatino Linotype"/>
          <w:color w:val="000000" w:themeColor="text1"/>
        </w:rPr>
        <w:t xml:space="preserve">have not been allocated and do not currently have an anticipated solicitation release as </w:t>
      </w:r>
      <w:r w:rsidRPr="00391600" w:rsidR="66048AFA">
        <w:rPr>
          <w:rFonts w:ascii="Palatino Linotype" w:hAnsi="Palatino Linotype"/>
          <w:color w:val="000000" w:themeColor="text1"/>
        </w:rPr>
        <w:t>of April 2026</w:t>
      </w:r>
      <w:r w:rsidRPr="00391600" w:rsidR="36B6D9A3">
        <w:rPr>
          <w:rFonts w:ascii="Palatino Linotype" w:hAnsi="Palatino Linotype"/>
          <w:color w:val="000000" w:themeColor="text1"/>
        </w:rPr>
        <w:t xml:space="preserve">, including funds from </w:t>
      </w:r>
      <w:r w:rsidRPr="00391600" w:rsidR="00360056">
        <w:rPr>
          <w:rFonts w:ascii="Palatino Linotype" w:hAnsi="Palatino Linotype"/>
          <w:color w:val="000000" w:themeColor="text1"/>
        </w:rPr>
        <w:t xml:space="preserve">the CEC’s </w:t>
      </w:r>
      <w:r w:rsidRPr="00391600" w:rsidR="36B6D9A3">
        <w:rPr>
          <w:rFonts w:ascii="Palatino Linotype" w:hAnsi="Palatino Linotype"/>
          <w:color w:val="000000" w:themeColor="text1"/>
        </w:rPr>
        <w:t>FY 2016-2017 Plan</w:t>
      </w:r>
      <w:r w:rsidRPr="00391600" w:rsidR="00360056">
        <w:rPr>
          <w:rFonts w:ascii="Palatino Linotype" w:hAnsi="Palatino Linotype"/>
          <w:color w:val="000000" w:themeColor="text1"/>
        </w:rPr>
        <w:t xml:space="preserve"> approved in April 2017 through its FY 2023-2024 Plan approved in May 2024.</w:t>
      </w:r>
      <w:r w:rsidRPr="00391600" w:rsidR="16B22C29">
        <w:rPr>
          <w:rFonts w:ascii="Palatino Linotype" w:hAnsi="Palatino Linotype"/>
          <w:color w:val="000000" w:themeColor="text1"/>
        </w:rPr>
        <w:t xml:space="preserve"> </w:t>
      </w:r>
      <w:r w:rsidRPr="00391600" w:rsidR="00981250">
        <w:rPr>
          <w:rFonts w:ascii="Palatino Linotype" w:hAnsi="Palatino Linotype" w:eastAsia="Palatino Linotype"/>
          <w:color w:val="000000" w:themeColor="text1"/>
        </w:rPr>
        <w:t xml:space="preserve">The CPUC will true-up the </w:t>
      </w:r>
      <w:r w:rsidRPr="00391600" w:rsidR="0051587B">
        <w:rPr>
          <w:rFonts w:ascii="Palatino Linotype" w:hAnsi="Palatino Linotype" w:eastAsia="Palatino Linotype"/>
          <w:color w:val="000000" w:themeColor="text1"/>
        </w:rPr>
        <w:t>balance of un</w:t>
      </w:r>
      <w:r w:rsidRPr="00391600" w:rsidR="00DF027E">
        <w:rPr>
          <w:rFonts w:ascii="Palatino Linotype" w:hAnsi="Palatino Linotype" w:eastAsia="Palatino Linotype"/>
          <w:color w:val="000000" w:themeColor="text1"/>
        </w:rPr>
        <w:t>s</w:t>
      </w:r>
      <w:r w:rsidRPr="00391600" w:rsidR="0051587B">
        <w:rPr>
          <w:rFonts w:ascii="Palatino Linotype" w:hAnsi="Palatino Linotype" w:eastAsia="Palatino Linotype"/>
          <w:color w:val="000000" w:themeColor="text1"/>
        </w:rPr>
        <w:t xml:space="preserve">pent funds </w:t>
      </w:r>
      <w:r w:rsidRPr="00391600" w:rsidR="00B1241F">
        <w:rPr>
          <w:rFonts w:ascii="Palatino Linotype" w:hAnsi="Palatino Linotype" w:eastAsia="Palatino Linotype"/>
          <w:color w:val="000000" w:themeColor="text1"/>
        </w:rPr>
        <w:t xml:space="preserve">which may </w:t>
      </w:r>
      <w:r w:rsidRPr="00391600" w:rsidR="00A4049B">
        <w:rPr>
          <w:rFonts w:ascii="Palatino Linotype" w:hAnsi="Palatino Linotype" w:eastAsia="Palatino Linotype"/>
          <w:color w:val="000000" w:themeColor="text1"/>
        </w:rPr>
        <w:t xml:space="preserve">have been </w:t>
      </w:r>
      <w:r w:rsidRPr="00391600" w:rsidR="00B1241F">
        <w:rPr>
          <w:rFonts w:ascii="Palatino Linotype" w:hAnsi="Palatino Linotype" w:eastAsia="Palatino Linotype"/>
          <w:color w:val="000000" w:themeColor="text1"/>
        </w:rPr>
        <w:t xml:space="preserve">spent or </w:t>
      </w:r>
      <w:r w:rsidRPr="00391600" w:rsidR="00D07C81">
        <w:rPr>
          <w:rFonts w:ascii="Palatino Linotype" w:hAnsi="Palatino Linotype" w:eastAsia="Palatino Linotype"/>
          <w:color w:val="000000" w:themeColor="text1"/>
        </w:rPr>
        <w:t>encumbered since April 30, 2026</w:t>
      </w:r>
      <w:r w:rsidRPr="00391600" w:rsidR="00B1241F">
        <w:rPr>
          <w:rFonts w:ascii="Palatino Linotype" w:hAnsi="Palatino Linotype" w:eastAsia="Palatino Linotype"/>
          <w:color w:val="000000" w:themeColor="text1"/>
        </w:rPr>
        <w:t>,</w:t>
      </w:r>
      <w:r w:rsidRPr="00391600" w:rsidR="00D07C81">
        <w:rPr>
          <w:rFonts w:ascii="Palatino Linotype" w:hAnsi="Palatino Linotype" w:eastAsia="Palatino Linotype"/>
          <w:color w:val="000000" w:themeColor="text1"/>
        </w:rPr>
        <w:t xml:space="preserve"> pursuant to </w:t>
      </w:r>
      <w:r w:rsidRPr="00391600" w:rsidR="005D25EF">
        <w:rPr>
          <w:rFonts w:ascii="Palatino Linotype" w:hAnsi="Palatino Linotype" w:eastAsia="Palatino Linotype"/>
          <w:color w:val="000000" w:themeColor="text1"/>
        </w:rPr>
        <w:t>updated information the</w:t>
      </w:r>
      <w:r w:rsidRPr="00391600" w:rsidR="00E42B5B">
        <w:rPr>
          <w:rFonts w:ascii="Palatino Linotype" w:hAnsi="Palatino Linotype" w:eastAsia="Palatino Linotype"/>
          <w:color w:val="000000" w:themeColor="text1"/>
        </w:rPr>
        <w:t xml:space="preserve"> CEC provides in its Tier 2 AL</w:t>
      </w:r>
      <w:r w:rsidRPr="00391600" w:rsidR="00AC2752">
        <w:rPr>
          <w:rFonts w:ascii="Palatino Linotype" w:hAnsi="Palatino Linotype" w:eastAsia="Palatino Linotype"/>
          <w:color w:val="000000" w:themeColor="text1"/>
        </w:rPr>
        <w:t>s</w:t>
      </w:r>
      <w:r w:rsidRPr="00391600" w:rsidR="00E42B5B">
        <w:rPr>
          <w:rFonts w:ascii="Palatino Linotype" w:hAnsi="Palatino Linotype" w:eastAsia="Palatino Linotype"/>
          <w:color w:val="000000" w:themeColor="text1"/>
        </w:rPr>
        <w:t xml:space="preserve">, as described in this Resolution. </w:t>
      </w:r>
    </w:p>
    <w:p w:rsidRPr="00391600" w:rsidR="008364C2" w:rsidP="00503AF5" w:rsidRDefault="007615B2" w14:paraId="08AACAB7" w14:textId="7060779B">
      <w:pPr>
        <w:spacing w:before="240"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t xml:space="preserve">Upon Commission approval of </w:t>
      </w:r>
      <w:r w:rsidRPr="00391600" w:rsidR="00AE583F">
        <w:rPr>
          <w:rFonts w:ascii="Palatino Linotype" w:hAnsi="Palatino Linotype" w:eastAsia="Times New Roman" w:cs="Times New Roman"/>
          <w:color w:val="000000" w:themeColor="text1"/>
          <w:kern w:val="0"/>
          <w14:ligatures w14:val="none"/>
        </w:rPr>
        <w:t xml:space="preserve">the </w:t>
      </w:r>
      <w:r w:rsidRPr="00391600">
        <w:rPr>
          <w:rFonts w:ascii="Palatino Linotype" w:hAnsi="Palatino Linotype" w:eastAsia="Times New Roman" w:cs="Times New Roman"/>
          <w:color w:val="000000" w:themeColor="text1"/>
          <w:kern w:val="0"/>
          <w14:ligatures w14:val="none"/>
        </w:rPr>
        <w:t>CEC’s 2024 and 2025 Plans</w:t>
      </w:r>
      <w:r w:rsidRPr="00391600" w:rsidR="00F510EC">
        <w:rPr>
          <w:rFonts w:ascii="Palatino Linotype" w:hAnsi="Palatino Linotype" w:eastAsia="Times New Roman" w:cs="Times New Roman"/>
          <w:color w:val="000000" w:themeColor="text1"/>
          <w:kern w:val="0"/>
          <w14:ligatures w14:val="none"/>
        </w:rPr>
        <w:t xml:space="preserve"> via Tier 2 AL</w:t>
      </w:r>
      <w:r w:rsidRPr="00391600">
        <w:rPr>
          <w:rFonts w:ascii="Palatino Linotype" w:hAnsi="Palatino Linotype" w:eastAsia="Times New Roman" w:cs="Times New Roman"/>
          <w:color w:val="000000" w:themeColor="text1"/>
          <w:kern w:val="0"/>
          <w14:ligatures w14:val="none"/>
        </w:rPr>
        <w:t xml:space="preserve">, </w:t>
      </w:r>
      <w:r w:rsidRPr="00391600" w:rsidR="00B73A09">
        <w:rPr>
          <w:rFonts w:ascii="Palatino Linotype" w:hAnsi="Palatino Linotype" w:eastAsia="Times New Roman" w:cs="Times New Roman"/>
          <w:color w:val="000000" w:themeColor="text1"/>
          <w:kern w:val="0"/>
          <w14:ligatures w14:val="none"/>
        </w:rPr>
        <w:t xml:space="preserve">the </w:t>
      </w:r>
      <w:r w:rsidRPr="00391600">
        <w:rPr>
          <w:rFonts w:ascii="Palatino Linotype" w:hAnsi="Palatino Linotype" w:eastAsia="Times New Roman" w:cs="Times New Roman"/>
          <w:color w:val="000000" w:themeColor="text1"/>
          <w:kern w:val="0"/>
          <w14:ligatures w14:val="none"/>
        </w:rPr>
        <w:t xml:space="preserve">CEC </w:t>
      </w:r>
      <w:r w:rsidRPr="00391600" w:rsidR="00E17A5E">
        <w:rPr>
          <w:rFonts w:ascii="Palatino Linotype" w:hAnsi="Palatino Linotype" w:eastAsia="Times New Roman" w:cs="Times New Roman"/>
          <w:color w:val="000000" w:themeColor="text1"/>
          <w:kern w:val="0"/>
          <w14:ligatures w14:val="none"/>
        </w:rPr>
        <w:t>is authorized to</w:t>
      </w:r>
      <w:r w:rsidRPr="00391600" w:rsidR="00E17A5E">
        <w:rPr>
          <w:rFonts w:ascii="Palatino Linotype" w:hAnsi="Palatino Linotype" w:eastAsia="Times New Roman" w:cs="Times New Roman"/>
          <w:color w:val="000000" w:themeColor="text1"/>
        </w:rPr>
        <w:t xml:space="preserve"> request</w:t>
      </w:r>
      <w:r w:rsidRPr="00391600" w:rsidR="00724AF5">
        <w:rPr>
          <w:rFonts w:ascii="Palatino Linotype" w:hAnsi="Palatino Linotype" w:eastAsia="Times New Roman" w:cs="Times New Roman"/>
          <w:color w:val="000000" w:themeColor="text1"/>
          <w:kern w:val="0"/>
          <w14:ligatures w14:val="none"/>
        </w:rPr>
        <w:t xml:space="preserve"> a total of</w:t>
      </w:r>
      <w:r w:rsidRPr="00391600" w:rsidR="0CC27A29">
        <w:rPr>
          <w:rFonts w:ascii="Palatino Linotype" w:hAnsi="Palatino Linotype" w:eastAsia="Times New Roman" w:cs="Times New Roman"/>
          <w:color w:val="000000" w:themeColor="text1"/>
        </w:rPr>
        <w:t xml:space="preserve"> </w:t>
      </w:r>
      <w:r w:rsidRPr="00391600" w:rsidR="61B9BD64">
        <w:rPr>
          <w:rFonts w:ascii="Palatino Linotype" w:hAnsi="Palatino Linotype" w:eastAsia="Times New Roman" w:cs="Times New Roman"/>
          <w:color w:val="000000" w:themeColor="text1"/>
        </w:rPr>
        <w:t xml:space="preserve">approximately </w:t>
      </w:r>
      <w:r w:rsidRPr="00391600">
        <w:rPr>
          <w:rFonts w:ascii="Palatino Linotype" w:hAnsi="Palatino Linotype"/>
          <w:color w:val="000000" w:themeColor="text1"/>
        </w:rPr>
        <w:t>$</w:t>
      </w:r>
      <w:r w:rsidRPr="00391600" w:rsidR="00B14DA6">
        <w:rPr>
          <w:rFonts w:ascii="Palatino Linotype" w:hAnsi="Palatino Linotype"/>
          <w:color w:val="000000" w:themeColor="text1"/>
        </w:rPr>
        <w:t>16,923,310</w:t>
      </w:r>
      <w:r w:rsidRPr="00391600" w:rsidR="00C63C60">
        <w:rPr>
          <w:rFonts w:ascii="Palatino Linotype" w:hAnsi="Palatino Linotype"/>
          <w:color w:val="000000" w:themeColor="text1"/>
        </w:rPr>
        <w:t xml:space="preserve"> </w:t>
      </w:r>
      <w:r w:rsidRPr="00391600" w:rsidR="00724AF5">
        <w:rPr>
          <w:rFonts w:ascii="Palatino Linotype" w:hAnsi="Palatino Linotype"/>
          <w:color w:val="000000" w:themeColor="text1"/>
        </w:rPr>
        <w:t xml:space="preserve">in new ratepayer funds </w:t>
      </w:r>
      <w:r w:rsidRPr="00391600">
        <w:rPr>
          <w:rFonts w:ascii="Palatino Linotype" w:hAnsi="Palatino Linotype"/>
          <w:color w:val="000000" w:themeColor="text1"/>
        </w:rPr>
        <w:t xml:space="preserve">from the </w:t>
      </w:r>
      <w:r w:rsidRPr="00391600" w:rsidR="004B0D95">
        <w:rPr>
          <w:rFonts w:ascii="Palatino Linotype" w:hAnsi="Palatino Linotype"/>
          <w:color w:val="000000" w:themeColor="text1"/>
        </w:rPr>
        <w:t xml:space="preserve">CPUC’s </w:t>
      </w:r>
      <w:r w:rsidRPr="00391600" w:rsidR="001D01B3">
        <w:rPr>
          <w:rFonts w:ascii="Palatino Linotype" w:hAnsi="Palatino Linotype"/>
          <w:color w:val="000000" w:themeColor="text1"/>
        </w:rPr>
        <w:t xml:space="preserve">Gas Consumption Surcharge </w:t>
      </w:r>
      <w:r w:rsidRPr="00391600">
        <w:rPr>
          <w:rFonts w:ascii="Palatino Linotype" w:hAnsi="Palatino Linotype"/>
          <w:color w:val="000000" w:themeColor="text1"/>
        </w:rPr>
        <w:t>Fund</w:t>
      </w:r>
      <w:r w:rsidRPr="00391600" w:rsidR="009A6EA0">
        <w:rPr>
          <w:rFonts w:ascii="Palatino Linotype" w:hAnsi="Palatino Linotype"/>
          <w:color w:val="000000" w:themeColor="text1"/>
        </w:rPr>
        <w:t xml:space="preserve"> as follows:</w:t>
      </w:r>
    </w:p>
    <w:p w:rsidRPr="00391600" w:rsidR="00657CE3" w:rsidP="0008368A" w:rsidRDefault="00657CE3" w14:paraId="3F793DA3" w14:textId="77777777">
      <w:pPr>
        <w:spacing w:after="0" w:line="276" w:lineRule="auto"/>
        <w:rPr>
          <w:rFonts w:ascii="Palatino Linotype" w:hAnsi="Palatino Linotype" w:eastAsia="Palatino Linotype" w:cs="Times New Roman"/>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5148"/>
        <w:gridCol w:w="270"/>
        <w:gridCol w:w="90"/>
        <w:gridCol w:w="1890"/>
        <w:gridCol w:w="846"/>
        <w:gridCol w:w="1314"/>
      </w:tblGrid>
      <w:tr w:rsidRPr="00391600" w:rsidR="00F52736" w:rsidTr="008D2F6D" w14:paraId="4D20DCF3" w14:textId="77777777">
        <w:trPr>
          <w:cantSplit/>
        </w:trPr>
        <w:tc>
          <w:tcPr>
            <w:tcW w:w="9558" w:type="dxa"/>
            <w:gridSpan w:val="6"/>
          </w:tcPr>
          <w:p w:rsidRPr="00391600" w:rsidR="00F52736" w:rsidRDefault="00F52736" w14:paraId="0EA78EE0" w14:textId="77777777">
            <w:pPr>
              <w:jc w:val="center"/>
              <w:rPr>
                <w:rFonts w:ascii="Palatino Linotype" w:hAnsi="Palatino Linotype"/>
                <w:b/>
                <w:color w:val="000000" w:themeColor="text1"/>
                <w:sz w:val="20"/>
                <w:szCs w:val="20"/>
              </w:rPr>
            </w:pPr>
            <w:r w:rsidRPr="00391600">
              <w:rPr>
                <w:rFonts w:ascii="Palatino Linotype" w:hAnsi="Palatino Linotype"/>
                <w:b/>
                <w:color w:val="000000" w:themeColor="text1"/>
              </w:rPr>
              <w:t>Table 1: Calculations of CEC’s 2024 &amp; 2025 Gas RD&amp;D Plan Budgets</w:t>
            </w:r>
          </w:p>
        </w:tc>
      </w:tr>
      <w:tr w:rsidRPr="00391600" w:rsidR="00F52736" w:rsidTr="0013083F" w14:paraId="420C4A78" w14:textId="77777777">
        <w:trPr>
          <w:cantSplit/>
        </w:trPr>
        <w:tc>
          <w:tcPr>
            <w:tcW w:w="5148" w:type="dxa"/>
          </w:tcPr>
          <w:p w:rsidRPr="00391600" w:rsidR="00F52736" w:rsidRDefault="00F52736" w14:paraId="00C92B40" w14:textId="77777777">
            <w:pPr>
              <w:rPr>
                <w:rFonts w:ascii="Palatino Linotype" w:hAnsi="Palatino Linotype"/>
                <w:b/>
                <w:color w:val="000000" w:themeColor="text1"/>
                <w:sz w:val="20"/>
                <w:szCs w:val="20"/>
              </w:rPr>
            </w:pPr>
          </w:p>
        </w:tc>
        <w:tc>
          <w:tcPr>
            <w:tcW w:w="2250" w:type="dxa"/>
            <w:gridSpan w:val="3"/>
            <w:tcBorders>
              <w:bottom w:val="single" w:color="auto" w:sz="4" w:space="0"/>
            </w:tcBorders>
          </w:tcPr>
          <w:p w:rsidRPr="00391600" w:rsidR="00F52736" w:rsidRDefault="00F52736" w14:paraId="408CE8FA" w14:textId="77777777">
            <w:pPr>
              <w:jc w:val="cente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2024 Plan Budget</w:t>
            </w:r>
          </w:p>
        </w:tc>
        <w:tc>
          <w:tcPr>
            <w:tcW w:w="2160" w:type="dxa"/>
            <w:gridSpan w:val="2"/>
            <w:tcBorders>
              <w:bottom w:val="single" w:color="auto" w:sz="4" w:space="0"/>
            </w:tcBorders>
          </w:tcPr>
          <w:p w:rsidRPr="00391600" w:rsidR="00F52736" w:rsidRDefault="00F52736" w14:paraId="78D29789" w14:textId="77777777">
            <w:pPr>
              <w:jc w:val="cente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2025 Plan Budget</w:t>
            </w:r>
          </w:p>
        </w:tc>
      </w:tr>
      <w:tr w:rsidRPr="00391600" w:rsidR="00F52736" w:rsidTr="0013083F" w14:paraId="55E73076" w14:textId="77777777">
        <w:trPr>
          <w:cantSplit/>
        </w:trPr>
        <w:tc>
          <w:tcPr>
            <w:tcW w:w="5148" w:type="dxa"/>
            <w:tcBorders>
              <w:right w:val="single" w:color="auto" w:sz="4" w:space="0"/>
            </w:tcBorders>
          </w:tcPr>
          <w:p w:rsidRPr="00391600" w:rsidR="00F52736" w:rsidRDefault="00CD4C78" w14:paraId="6C91C66B" w14:textId="3D4015C9">
            <w:pPr>
              <w:rPr>
                <w:rFonts w:ascii="Palatino Linotype" w:hAnsi="Palatino Linotype"/>
                <w:color w:val="000000" w:themeColor="text1"/>
                <w:sz w:val="20"/>
                <w:szCs w:val="20"/>
              </w:rPr>
            </w:pPr>
            <w:r w:rsidRPr="00391600">
              <w:rPr>
                <w:rFonts w:ascii="Palatino Linotype" w:hAnsi="Palatino Linotype"/>
                <w:b/>
                <w:color w:val="000000" w:themeColor="text1"/>
                <w:sz w:val="20"/>
                <w:szCs w:val="20"/>
              </w:rPr>
              <w:t xml:space="preserve">Utilized </w:t>
            </w:r>
            <w:r w:rsidRPr="00391600" w:rsidR="00F52736">
              <w:rPr>
                <w:rFonts w:ascii="Palatino Linotype" w:hAnsi="Palatino Linotype"/>
                <w:b/>
                <w:color w:val="000000" w:themeColor="text1"/>
                <w:sz w:val="20"/>
                <w:szCs w:val="20"/>
              </w:rPr>
              <w:t>Unspent Funds</w:t>
            </w:r>
            <w:r w:rsidRPr="00391600" w:rsidR="000D1293">
              <w:rPr>
                <w:rFonts w:ascii="Palatino Linotype" w:hAnsi="Palatino Linotype"/>
                <w:b/>
                <w:color w:val="000000" w:themeColor="text1"/>
                <w:sz w:val="20"/>
                <w:szCs w:val="20"/>
              </w:rPr>
              <w:t xml:space="preserve"> for Initiatives</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2F75D522"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F52736" w14:paraId="567E404F" w14:textId="26095B14">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4475F110"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F52736" w14:paraId="7BADCEE5" w14:textId="4573C5F3">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9,476,69</w:t>
            </w:r>
            <w:r w:rsidRPr="00391600" w:rsidR="001D12E0">
              <w:rPr>
                <w:rFonts w:ascii="Palatino Linotype" w:hAnsi="Palatino Linotype"/>
                <w:color w:val="000000" w:themeColor="text1"/>
                <w:sz w:val="20"/>
                <w:szCs w:val="20"/>
              </w:rPr>
              <w:t>0</w:t>
            </w:r>
          </w:p>
        </w:tc>
      </w:tr>
      <w:tr w:rsidRPr="00391600" w:rsidR="00F52736" w:rsidTr="0013083F" w14:paraId="6DF62DB0" w14:textId="77777777">
        <w:trPr>
          <w:cantSplit/>
        </w:trPr>
        <w:tc>
          <w:tcPr>
            <w:tcW w:w="5148" w:type="dxa"/>
            <w:tcBorders>
              <w:right w:val="single" w:color="auto" w:sz="4" w:space="0"/>
            </w:tcBorders>
          </w:tcPr>
          <w:p w:rsidRPr="00391600" w:rsidR="00F52736" w:rsidRDefault="00F52736" w14:paraId="213AEFB8"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New Ratepayer Funds for Initiatives</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6D0B18F1"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F52736" w14:paraId="5DC8D11B" w14:textId="77777777">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7C0AE6E0"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F52736" w14:paraId="4948190F" w14:textId="1549A21C">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12,123,3</w:t>
            </w:r>
            <w:r w:rsidRPr="00391600" w:rsidR="0069714D">
              <w:rPr>
                <w:rFonts w:ascii="Palatino Linotype" w:hAnsi="Palatino Linotype"/>
                <w:color w:val="000000" w:themeColor="text1"/>
                <w:sz w:val="20"/>
                <w:szCs w:val="20"/>
              </w:rPr>
              <w:t>10</w:t>
            </w:r>
          </w:p>
        </w:tc>
      </w:tr>
      <w:tr w:rsidRPr="00391600" w:rsidR="00F52736" w:rsidTr="0013083F" w14:paraId="04142EE9" w14:textId="77777777">
        <w:trPr>
          <w:cantSplit/>
        </w:trPr>
        <w:tc>
          <w:tcPr>
            <w:tcW w:w="5148" w:type="dxa"/>
            <w:tcBorders>
              <w:right w:val="single" w:color="auto" w:sz="4" w:space="0"/>
            </w:tcBorders>
          </w:tcPr>
          <w:p w:rsidRPr="00391600" w:rsidR="00F52736" w:rsidRDefault="00F52736" w14:paraId="18439F98"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New Ratepayer Funds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754E37FF"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AA655C" w14:paraId="54C7312A" w14:textId="44DCD35B">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78B5F817"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475628" w14:paraId="77FB7068" w14:textId="50A5D144">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2,400,000</w:t>
            </w:r>
          </w:p>
        </w:tc>
      </w:tr>
      <w:tr w:rsidRPr="00391600" w:rsidR="00F52736" w:rsidTr="0013083F" w14:paraId="584C1B14" w14:textId="77777777">
        <w:trPr>
          <w:cantSplit/>
        </w:trPr>
        <w:tc>
          <w:tcPr>
            <w:tcW w:w="5148" w:type="dxa"/>
            <w:tcBorders>
              <w:right w:val="single" w:color="auto" w:sz="4" w:space="0"/>
            </w:tcBorders>
          </w:tcPr>
          <w:p w:rsidRPr="00391600" w:rsidR="00F52736" w:rsidRDefault="00F52736" w14:paraId="15584E21" w14:textId="77777777">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Total New Ratepayer Funds</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77BA0547"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927151" w14:paraId="366964F6" w14:textId="045A0615">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2,400,000</w:t>
            </w:r>
            <w:r w:rsidRPr="00391600" w:rsidR="00F52736">
              <w:rPr>
                <w:rFonts w:ascii="Palatino Linotype" w:hAnsi="Palatino Linotype"/>
                <w:color w:val="000000" w:themeColor="text1"/>
                <w:sz w:val="20"/>
                <w:szCs w:val="20"/>
              </w:rPr>
              <w:t xml:space="preserve">     </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04530810"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D3564D" w14:paraId="0069075D" w14:textId="0CA80815">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14,523,310</w:t>
            </w:r>
          </w:p>
        </w:tc>
      </w:tr>
      <w:tr w:rsidRPr="00391600" w:rsidR="00F52736" w:rsidTr="0013083F" w14:paraId="731D162F" w14:textId="77777777">
        <w:trPr>
          <w:cantSplit/>
        </w:trPr>
        <w:tc>
          <w:tcPr>
            <w:tcW w:w="5148" w:type="dxa"/>
            <w:tcBorders>
              <w:right w:val="single" w:color="auto" w:sz="4" w:space="0"/>
            </w:tcBorders>
          </w:tcPr>
          <w:p w:rsidRPr="00391600" w:rsidR="00F52736" w:rsidRDefault="00F52736" w14:paraId="7AB7B31E" w14:textId="4F03A138">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Total </w:t>
            </w:r>
            <w:r w:rsidRPr="00391600" w:rsidR="00985EF6">
              <w:rPr>
                <w:rFonts w:ascii="Palatino Linotype" w:hAnsi="Palatino Linotype"/>
                <w:b/>
                <w:color w:val="000000" w:themeColor="text1"/>
                <w:sz w:val="20"/>
                <w:szCs w:val="20"/>
              </w:rPr>
              <w:t xml:space="preserve">Authorized </w:t>
            </w:r>
            <w:r w:rsidRPr="00391600">
              <w:rPr>
                <w:rFonts w:ascii="Palatino Linotype" w:hAnsi="Palatino Linotype"/>
                <w:b/>
                <w:color w:val="000000" w:themeColor="text1"/>
                <w:sz w:val="20"/>
                <w:szCs w:val="20"/>
              </w:rPr>
              <w:t>Budget for Initiatives</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745F80DA"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F52736" w14:paraId="0EDF2E40" w14:textId="77777777">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21,600,000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22FDF4E4"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F52736" w14:paraId="03A885AE" w14:textId="77777777">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21,600,000</w:t>
            </w:r>
          </w:p>
        </w:tc>
      </w:tr>
      <w:tr w:rsidRPr="00391600" w:rsidR="00F52736" w:rsidTr="0013083F" w14:paraId="0AFC0416" w14:textId="77777777">
        <w:trPr>
          <w:cantSplit/>
        </w:trPr>
        <w:tc>
          <w:tcPr>
            <w:tcW w:w="5148" w:type="dxa"/>
            <w:tcBorders>
              <w:right w:val="single" w:color="auto" w:sz="4" w:space="0"/>
            </w:tcBorders>
          </w:tcPr>
          <w:p w:rsidRPr="00391600" w:rsidR="00F52736" w:rsidRDefault="00F52736" w14:paraId="3DE90F32" w14:textId="105F7EB6">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Total </w:t>
            </w:r>
            <w:r w:rsidRPr="00391600" w:rsidR="00985EF6">
              <w:rPr>
                <w:rFonts w:ascii="Palatino Linotype" w:hAnsi="Palatino Linotype"/>
                <w:b/>
                <w:color w:val="000000" w:themeColor="text1"/>
                <w:sz w:val="20"/>
                <w:szCs w:val="20"/>
              </w:rPr>
              <w:t xml:space="preserve">Authorized </w:t>
            </w:r>
            <w:r w:rsidRPr="00391600">
              <w:rPr>
                <w:rFonts w:ascii="Palatino Linotype" w:hAnsi="Palatino Linotype"/>
                <w:b/>
                <w:color w:val="000000" w:themeColor="text1"/>
                <w:sz w:val="20"/>
                <w:szCs w:val="20"/>
              </w:rPr>
              <w:t>Budget for Program Administration</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30F8D066"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0D1293" w14:paraId="545FADB9" w14:textId="7BAC154A">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2,400,000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759875C9" w14:textId="77777777">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0D1293" w14:paraId="74EB8937" w14:textId="2BB1D661">
            <w:pPr>
              <w:jc w:val="right"/>
              <w:rPr>
                <w:rFonts w:ascii="Palatino Linotype" w:hAnsi="Palatino Linotype"/>
                <w:color w:val="000000" w:themeColor="text1"/>
                <w:sz w:val="20"/>
                <w:szCs w:val="20"/>
              </w:rPr>
            </w:pPr>
            <w:r w:rsidRPr="00391600">
              <w:rPr>
                <w:rFonts w:ascii="Palatino Linotype" w:hAnsi="Palatino Linotype"/>
                <w:color w:val="000000" w:themeColor="text1"/>
                <w:sz w:val="20"/>
                <w:szCs w:val="20"/>
              </w:rPr>
              <w:t>2,400,000</w:t>
            </w:r>
          </w:p>
        </w:tc>
      </w:tr>
      <w:tr w:rsidRPr="00391600" w:rsidR="00F52736" w:rsidTr="0013083F" w14:paraId="6E71E9A5" w14:textId="77777777">
        <w:trPr>
          <w:cantSplit/>
        </w:trPr>
        <w:tc>
          <w:tcPr>
            <w:tcW w:w="5148" w:type="dxa"/>
            <w:tcBorders>
              <w:right w:val="single" w:color="auto" w:sz="4" w:space="0"/>
            </w:tcBorders>
          </w:tcPr>
          <w:p w:rsidRPr="00391600" w:rsidR="00F52736" w:rsidRDefault="00F52736" w14:paraId="01357246" w14:textId="3A8CB64D">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Total </w:t>
            </w:r>
            <w:r w:rsidRPr="00391600" w:rsidR="00985EF6">
              <w:rPr>
                <w:rFonts w:ascii="Palatino Linotype" w:hAnsi="Palatino Linotype"/>
                <w:b/>
                <w:color w:val="000000" w:themeColor="text1"/>
                <w:sz w:val="20"/>
                <w:szCs w:val="20"/>
              </w:rPr>
              <w:t xml:space="preserve">Authorized </w:t>
            </w:r>
            <w:r w:rsidRPr="00391600">
              <w:rPr>
                <w:rFonts w:ascii="Palatino Linotype" w:hAnsi="Palatino Linotype"/>
                <w:b/>
                <w:color w:val="000000" w:themeColor="text1"/>
                <w:sz w:val="20"/>
                <w:szCs w:val="20"/>
              </w:rPr>
              <w:t>Annual Budget</w:t>
            </w:r>
          </w:p>
        </w:tc>
        <w:tc>
          <w:tcPr>
            <w:tcW w:w="360" w:type="dxa"/>
            <w:gridSpan w:val="2"/>
            <w:tcBorders>
              <w:top w:val="single" w:color="auto" w:sz="4" w:space="0"/>
              <w:left w:val="single" w:color="auto" w:sz="4" w:space="0"/>
              <w:bottom w:val="single" w:color="auto" w:sz="4" w:space="0"/>
              <w:right w:val="nil"/>
            </w:tcBorders>
            <w:vAlign w:val="center"/>
          </w:tcPr>
          <w:p w:rsidRPr="00391600" w:rsidR="00F52736" w:rsidRDefault="00F52736" w14:paraId="7A6D9655" w14:textId="77777777">
            <w:pPr>
              <w:rPr>
                <w:rFonts w:ascii="Palatino Linotype" w:hAnsi="Palatino Linotype"/>
                <w:b/>
                <w:color w:val="000000" w:themeColor="text1"/>
                <w:sz w:val="20"/>
                <w:szCs w:val="20"/>
              </w:rPr>
            </w:pPr>
            <w:r w:rsidRPr="00391600">
              <w:rPr>
                <w:rFonts w:ascii="Palatino Linotype" w:hAnsi="Palatino Linotype"/>
                <w:color w:val="000000" w:themeColor="text1"/>
                <w:sz w:val="20"/>
                <w:szCs w:val="20"/>
              </w:rPr>
              <w:t>$</w:t>
            </w:r>
          </w:p>
        </w:tc>
        <w:tc>
          <w:tcPr>
            <w:tcW w:w="1890" w:type="dxa"/>
            <w:tcBorders>
              <w:top w:val="single" w:color="auto" w:sz="4" w:space="0"/>
              <w:left w:val="nil"/>
              <w:bottom w:val="single" w:color="auto" w:sz="4" w:space="0"/>
              <w:right w:val="single" w:color="auto" w:sz="4" w:space="0"/>
            </w:tcBorders>
            <w:vAlign w:val="center"/>
          </w:tcPr>
          <w:p w:rsidRPr="00391600" w:rsidR="00F52736" w:rsidRDefault="00F52736" w14:paraId="592D2FD8" w14:textId="387873B6">
            <w:pPr>
              <w:jc w:val="right"/>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2</w:t>
            </w:r>
            <w:r w:rsidRPr="00391600" w:rsidR="000D1293">
              <w:rPr>
                <w:rFonts w:ascii="Palatino Linotype" w:hAnsi="Palatino Linotype"/>
                <w:b/>
                <w:color w:val="000000" w:themeColor="text1"/>
                <w:sz w:val="20"/>
                <w:szCs w:val="20"/>
              </w:rPr>
              <w:t>4,000,000</w:t>
            </w:r>
          </w:p>
        </w:tc>
        <w:tc>
          <w:tcPr>
            <w:tcW w:w="846" w:type="dxa"/>
            <w:tcBorders>
              <w:top w:val="single" w:color="auto" w:sz="4" w:space="0"/>
              <w:left w:val="single" w:color="auto" w:sz="4" w:space="0"/>
              <w:bottom w:val="single" w:color="auto" w:sz="4" w:space="0"/>
              <w:right w:val="nil"/>
            </w:tcBorders>
            <w:vAlign w:val="center"/>
          </w:tcPr>
          <w:p w:rsidRPr="00391600" w:rsidR="00F52736" w:rsidRDefault="00F52736" w14:paraId="35914551" w14:textId="77777777">
            <w:pPr>
              <w:rPr>
                <w:rFonts w:ascii="Palatino Linotype" w:hAnsi="Palatino Linotype"/>
                <w:b/>
                <w:color w:val="000000" w:themeColor="text1"/>
                <w:sz w:val="20"/>
                <w:szCs w:val="20"/>
              </w:rPr>
            </w:pPr>
            <w:r w:rsidRPr="00391600">
              <w:rPr>
                <w:rFonts w:ascii="Palatino Linotype" w:hAnsi="Palatino Linotype"/>
                <w:color w:val="000000" w:themeColor="text1"/>
                <w:sz w:val="20"/>
                <w:szCs w:val="20"/>
              </w:rPr>
              <w:t>$</w:t>
            </w:r>
          </w:p>
        </w:tc>
        <w:tc>
          <w:tcPr>
            <w:tcW w:w="1314" w:type="dxa"/>
            <w:tcBorders>
              <w:top w:val="single" w:color="auto" w:sz="4" w:space="0"/>
              <w:left w:val="nil"/>
              <w:bottom w:val="single" w:color="auto" w:sz="4" w:space="0"/>
              <w:right w:val="single" w:color="auto" w:sz="4" w:space="0"/>
            </w:tcBorders>
          </w:tcPr>
          <w:p w:rsidRPr="00391600" w:rsidR="00F52736" w:rsidRDefault="00F52736" w14:paraId="211CF1B8" w14:textId="1AAFDB05">
            <w:pPr>
              <w:jc w:val="right"/>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2</w:t>
            </w:r>
            <w:r w:rsidRPr="00391600" w:rsidR="000D1293">
              <w:rPr>
                <w:rFonts w:ascii="Palatino Linotype" w:hAnsi="Palatino Linotype"/>
                <w:b/>
                <w:color w:val="000000" w:themeColor="text1"/>
                <w:sz w:val="20"/>
                <w:szCs w:val="20"/>
              </w:rPr>
              <w:t>4,000,000</w:t>
            </w:r>
          </w:p>
        </w:tc>
      </w:tr>
      <w:tr w:rsidRPr="00391600" w:rsidR="007A0AC8" w:rsidTr="00B05B21" w14:paraId="46E9C8A0" w14:textId="77777777">
        <w:trPr>
          <w:cantSplit/>
          <w:trHeight w:val="260"/>
        </w:trPr>
        <w:tc>
          <w:tcPr>
            <w:tcW w:w="5148" w:type="dxa"/>
            <w:tcBorders>
              <w:right w:val="single" w:color="auto" w:sz="4" w:space="0"/>
            </w:tcBorders>
          </w:tcPr>
          <w:p w:rsidRPr="00391600" w:rsidR="007A0AC8" w:rsidP="000C5F27" w:rsidRDefault="007A0AC8" w14:paraId="231D5BED" w14:textId="254AC6CD">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Total Utilized Unspent Funds</w:t>
            </w:r>
          </w:p>
        </w:tc>
        <w:tc>
          <w:tcPr>
            <w:tcW w:w="270" w:type="dxa"/>
            <w:tcBorders>
              <w:top w:val="single" w:color="auto" w:sz="4" w:space="0"/>
              <w:left w:val="single" w:color="auto" w:sz="4" w:space="0"/>
              <w:bottom w:val="single" w:color="auto" w:sz="4" w:space="0"/>
              <w:right w:val="nil"/>
            </w:tcBorders>
            <w:vAlign w:val="center"/>
          </w:tcPr>
          <w:p w:rsidRPr="00391600" w:rsidR="007A0AC8" w:rsidP="0013083F" w:rsidRDefault="007A0AC8" w14:paraId="14B988B9" w14:textId="77777777">
            <w:pPr>
              <w:rPr>
                <w:rFonts w:ascii="Palatino Linotype" w:hAnsi="Palatino Linotype"/>
                <w:b/>
                <w:color w:val="000000" w:themeColor="text1"/>
                <w:sz w:val="20"/>
                <w:szCs w:val="20"/>
              </w:rPr>
            </w:pP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18"/>
                <w:szCs w:val="18"/>
              </w:rPr>
              <w:t xml:space="preserve"> </w:t>
            </w:r>
            <w:r w:rsidRPr="00391600">
              <w:rPr>
                <w:rFonts w:ascii="Palatino Linotype" w:hAnsi="Palatino Linotype"/>
                <w:color w:val="000000" w:themeColor="text1"/>
                <w:sz w:val="20"/>
                <w:szCs w:val="20"/>
              </w:rPr>
              <w:t xml:space="preserve">  </w:t>
            </w:r>
          </w:p>
        </w:tc>
        <w:tc>
          <w:tcPr>
            <w:tcW w:w="4140" w:type="dxa"/>
            <w:gridSpan w:val="4"/>
            <w:tcBorders>
              <w:top w:val="single" w:color="auto" w:sz="4" w:space="0"/>
              <w:left w:val="nil"/>
              <w:bottom w:val="single" w:color="auto" w:sz="4" w:space="0"/>
              <w:right w:val="single" w:color="auto" w:sz="4" w:space="0"/>
            </w:tcBorders>
            <w:vAlign w:val="center"/>
          </w:tcPr>
          <w:p w:rsidRPr="00391600" w:rsidR="007A0AC8" w:rsidP="000C5F27" w:rsidRDefault="007A0AC8" w14:paraId="385C45AD" w14:textId="131F441E">
            <w:pPr>
              <w:jc w:val="center"/>
              <w:rPr>
                <w:rFonts w:ascii="Palatino Linotype" w:hAnsi="Palatino Linotype"/>
                <w:b/>
                <w:color w:val="000000" w:themeColor="text1"/>
                <w:sz w:val="20"/>
                <w:szCs w:val="20"/>
              </w:rPr>
            </w:pPr>
            <w:r w:rsidRPr="00391600">
              <w:rPr>
                <w:rFonts w:ascii="Palatino Linotype" w:hAnsi="Palatino Linotype"/>
                <w:b/>
                <w:bCs/>
                <w:color w:val="000000" w:themeColor="text1"/>
                <w:sz w:val="20"/>
                <w:szCs w:val="20"/>
              </w:rPr>
              <w:t>31,076,69</w:t>
            </w:r>
            <w:r w:rsidRPr="00391600" w:rsidR="00914F23">
              <w:rPr>
                <w:rFonts w:ascii="Palatino Linotype" w:hAnsi="Palatino Linotype"/>
                <w:b/>
                <w:bCs/>
                <w:color w:val="000000" w:themeColor="text1"/>
                <w:sz w:val="20"/>
                <w:szCs w:val="20"/>
              </w:rPr>
              <w:t>0</w:t>
            </w:r>
            <w:r w:rsidRPr="00391600">
              <w:rPr>
                <w:rFonts w:ascii="Palatino Linotype" w:hAnsi="Palatino Linotype"/>
                <w:b/>
                <w:bCs/>
                <w:color w:val="000000" w:themeColor="text1"/>
                <w:sz w:val="20"/>
                <w:szCs w:val="20"/>
              </w:rPr>
              <w:t xml:space="preserve">        </w:t>
            </w:r>
          </w:p>
        </w:tc>
      </w:tr>
      <w:tr w:rsidRPr="00391600" w:rsidR="00F8374A" w:rsidTr="0013083F" w14:paraId="1ED4DC32" w14:textId="77777777">
        <w:trPr>
          <w:cantSplit/>
        </w:trPr>
        <w:tc>
          <w:tcPr>
            <w:tcW w:w="5148" w:type="dxa"/>
            <w:tcBorders>
              <w:right w:val="single" w:color="auto" w:sz="4" w:space="0"/>
            </w:tcBorders>
          </w:tcPr>
          <w:p w:rsidRPr="00391600" w:rsidR="00F8374A" w:rsidP="000C5F27" w:rsidRDefault="00F8374A" w14:paraId="16EB3DFB" w14:textId="252389C4">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Total New Ratepayer Funds </w:t>
            </w:r>
          </w:p>
        </w:tc>
        <w:tc>
          <w:tcPr>
            <w:tcW w:w="270" w:type="dxa"/>
            <w:tcBorders>
              <w:top w:val="single" w:color="auto" w:sz="4" w:space="0"/>
              <w:left w:val="single" w:color="auto" w:sz="4" w:space="0"/>
              <w:bottom w:val="single" w:color="auto" w:sz="4" w:space="0"/>
              <w:right w:val="nil"/>
            </w:tcBorders>
            <w:vAlign w:val="center"/>
          </w:tcPr>
          <w:p w:rsidRPr="00391600" w:rsidR="00F8374A" w:rsidP="0013083F" w:rsidRDefault="00F8374A" w14:paraId="59B58173" w14:textId="0BE5FE95">
            <w:pPr>
              <w:rPr>
                <w:rFonts w:ascii="Palatino Linotype" w:hAnsi="Palatino Linotype"/>
                <w:color w:val="000000" w:themeColor="text1"/>
                <w:sz w:val="20"/>
                <w:szCs w:val="20"/>
              </w:rPr>
            </w:pPr>
            <w:r w:rsidRPr="00391600">
              <w:rPr>
                <w:rFonts w:ascii="Palatino Linotype" w:hAnsi="Palatino Linotype"/>
                <w:color w:val="000000" w:themeColor="text1"/>
                <w:sz w:val="20"/>
                <w:szCs w:val="20"/>
              </w:rPr>
              <w:t>$</w:t>
            </w:r>
          </w:p>
        </w:tc>
        <w:tc>
          <w:tcPr>
            <w:tcW w:w="4140" w:type="dxa"/>
            <w:gridSpan w:val="4"/>
            <w:tcBorders>
              <w:top w:val="single" w:color="auto" w:sz="4" w:space="0"/>
              <w:left w:val="nil"/>
              <w:bottom w:val="single" w:color="auto" w:sz="4" w:space="0"/>
              <w:right w:val="single" w:color="auto" w:sz="4" w:space="0"/>
            </w:tcBorders>
            <w:vAlign w:val="center"/>
          </w:tcPr>
          <w:p w:rsidRPr="00391600" w:rsidR="00F8374A" w:rsidP="000C5F27" w:rsidRDefault="00A8279E" w14:paraId="23340C9E" w14:textId="37294E82">
            <w:pPr>
              <w:jc w:val="center"/>
              <w:rPr>
                <w:rFonts w:ascii="Palatino Linotype" w:hAnsi="Palatino Linotype"/>
                <w:b/>
                <w:bCs/>
                <w:color w:val="000000" w:themeColor="text1"/>
                <w:sz w:val="20"/>
                <w:szCs w:val="20"/>
              </w:rPr>
            </w:pPr>
            <w:r w:rsidRPr="00391600">
              <w:rPr>
                <w:rFonts w:ascii="Palatino Linotype" w:hAnsi="Palatino Linotype"/>
                <w:b/>
                <w:bCs/>
                <w:color w:val="000000" w:themeColor="text1"/>
                <w:sz w:val="20"/>
                <w:szCs w:val="20"/>
              </w:rPr>
              <w:t>16,923,310</w:t>
            </w:r>
          </w:p>
        </w:tc>
      </w:tr>
    </w:tbl>
    <w:p w:rsidRPr="00391600" w:rsidR="00E93A4B" w:rsidP="007D0030" w:rsidRDefault="00E93A4B" w14:paraId="75ACDB0C" w14:textId="77777777">
      <w:pPr>
        <w:spacing w:after="0" w:line="276" w:lineRule="auto"/>
        <w:rPr>
          <w:rFonts w:ascii="Palatino Linotype" w:hAnsi="Palatino Linotype" w:eastAsia="Times New Roman" w:cs="Times New Roman"/>
          <w:color w:val="000000" w:themeColor="text1"/>
          <w:kern w:val="0"/>
          <w14:ligatures w14:val="none"/>
        </w:rPr>
      </w:pPr>
    </w:p>
    <w:p w:rsidRPr="00391600" w:rsidR="00D41CC2" w:rsidP="0003593C" w:rsidRDefault="00D41CC2" w14:paraId="62DA3CE2" w14:textId="46379060">
      <w:p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This Resolution modifies the Annual Report deadline set in 2006 via </w:t>
      </w:r>
      <w:r w:rsidRPr="00391600">
        <w:rPr>
          <w:rFonts w:ascii="Palatino Linotype" w:hAnsi="Palatino Linotype"/>
          <w:color w:val="000000" w:themeColor="text1"/>
        </w:rPr>
        <w:t>Resolution G-3394 (annually by October 31)</w:t>
      </w:r>
      <w:r w:rsidRPr="00391600">
        <w:rPr>
          <w:rStyle w:val="FootnoteReference"/>
          <w:rFonts w:ascii="Palatino Linotype" w:hAnsi="Palatino Linotype" w:eastAsia="Palatino Linotype" w:cs="Times New Roman"/>
          <w:b/>
          <w:bCs/>
          <w:color w:val="000000" w:themeColor="text1"/>
        </w:rPr>
        <w:footnoteReference w:id="1"/>
      </w:r>
      <w:r w:rsidRPr="00391600">
        <w:rPr>
          <w:rFonts w:ascii="Palatino Linotype" w:hAnsi="Palatino Linotype" w:eastAsia="Palatino Linotype" w:cs="Times New Roman"/>
          <w:color w:val="000000" w:themeColor="text1"/>
        </w:rPr>
        <w:t xml:space="preserve"> to promote coordination and transparency in comparing outcomes across CPUC ratepayer-funded RD&amp;D programs, </w:t>
      </w:r>
      <w:r w:rsidRPr="00391600" w:rsidR="004A6380">
        <w:rPr>
          <w:rFonts w:ascii="Palatino Linotype" w:hAnsi="Palatino Linotype" w:eastAsia="Palatino Linotype" w:cs="Times New Roman"/>
          <w:color w:val="000000" w:themeColor="text1"/>
        </w:rPr>
        <w:t xml:space="preserve">namely </w:t>
      </w:r>
      <w:r w:rsidRPr="00391600" w:rsidR="00B026A6">
        <w:rPr>
          <w:rFonts w:ascii="Palatino Linotype" w:hAnsi="Palatino Linotype" w:eastAsia="Palatino Linotype" w:cs="Times New Roman"/>
          <w:color w:val="000000" w:themeColor="text1"/>
        </w:rPr>
        <w:t xml:space="preserve">the </w:t>
      </w:r>
      <w:r w:rsidRPr="00391600" w:rsidR="00B026A6">
        <w:rPr>
          <w:rFonts w:ascii="Palatino Linotype" w:hAnsi="Palatino Linotype" w:eastAsia="Palatino Linotype"/>
          <w:color w:val="000000" w:themeColor="text1"/>
        </w:rPr>
        <w:t>Electric Program Investment Charge (EPIC)</w:t>
      </w:r>
      <w:r w:rsidRPr="00391600" w:rsidR="004A6380">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 xml:space="preserve">Annual Reports shall be due June 1 of each year, </w:t>
      </w:r>
      <w:r w:rsidRPr="00391600">
        <w:rPr>
          <w:rFonts w:ascii="Palatino Linotype" w:hAnsi="Palatino Linotype" w:eastAsia="Palatino Linotype" w:cs="Times New Roman"/>
          <w:color w:val="000000" w:themeColor="text1"/>
        </w:rPr>
        <w:lastRenderedPageBreak/>
        <w:t xml:space="preserve">pertaining to the previous CY. To accommodate the transition from FY to calendar year (CY) reporting, the CEC’s next Gas RD&amp;D Annual Report, currently due </w:t>
      </w:r>
      <w:r w:rsidR="006A72DF">
        <w:rPr>
          <w:rFonts w:ascii="Palatino Linotype" w:hAnsi="Palatino Linotype" w:eastAsia="Palatino Linotype" w:cs="Times New Roman"/>
          <w:color w:val="000000" w:themeColor="text1"/>
        </w:rPr>
        <w:br/>
      </w:r>
      <w:r w:rsidRPr="00391600">
        <w:rPr>
          <w:rFonts w:ascii="Palatino Linotype" w:hAnsi="Palatino Linotype" w:eastAsia="Palatino Linotype" w:cs="Times New Roman"/>
          <w:color w:val="000000" w:themeColor="text1"/>
        </w:rPr>
        <w:t>October 31, 2026, for FY 2025-2026, shall be due June 1, 2027, and cover a one-and-a-half-year period: July 2025 through December 2026.</w:t>
      </w:r>
    </w:p>
    <w:p w:rsidRPr="00391600" w:rsidR="005A7CA0" w:rsidP="003A6DC1" w:rsidRDefault="00A854F6" w14:paraId="145F83BE" w14:textId="7E1069C2">
      <w:pPr>
        <w:spacing w:before="240" w:line="276" w:lineRule="auto"/>
        <w:rPr>
          <w:rFonts w:ascii="Palatino Linotype" w:hAnsi="Palatino Linotype" w:eastAsia="Palatino Linotype" w:cs="Times New Roman"/>
          <w:color w:val="000000" w:themeColor="text1"/>
        </w:rPr>
      </w:pPr>
      <w:r w:rsidRPr="00391600">
        <w:rPr>
          <w:rFonts w:ascii="Palatino Linotype" w:hAnsi="Palatino Linotype" w:eastAsia="Times New Roman" w:cs="Times New Roman"/>
          <w:color w:val="000000" w:themeColor="text1"/>
        </w:rPr>
        <w:t>T</w:t>
      </w:r>
      <w:r w:rsidRPr="00391600" w:rsidR="00E93A4B">
        <w:rPr>
          <w:rFonts w:ascii="Palatino Linotype" w:hAnsi="Palatino Linotype" w:eastAsia="Times New Roman" w:cs="Times New Roman"/>
          <w:color w:val="000000" w:themeColor="text1"/>
        </w:rPr>
        <w:t xml:space="preserve">his Resolution </w:t>
      </w:r>
      <w:r w:rsidRPr="00391600" w:rsidR="69DFF788">
        <w:rPr>
          <w:rFonts w:ascii="Palatino Linotype" w:hAnsi="Palatino Linotype" w:eastAsia="Times New Roman" w:cs="Times New Roman"/>
          <w:color w:val="000000" w:themeColor="text1"/>
        </w:rPr>
        <w:t xml:space="preserve">reiterates </w:t>
      </w:r>
      <w:r w:rsidRPr="00391600" w:rsidR="00F0383D">
        <w:rPr>
          <w:rFonts w:ascii="Palatino Linotype" w:hAnsi="Palatino Linotype" w:eastAsia="Times New Roman" w:cs="Times New Roman"/>
          <w:color w:val="000000" w:themeColor="text1"/>
        </w:rPr>
        <w:t xml:space="preserve">and refines </w:t>
      </w:r>
      <w:r w:rsidRPr="00391600" w:rsidR="4CEDEB47">
        <w:rPr>
          <w:rFonts w:ascii="Palatino Linotype" w:hAnsi="Palatino Linotype" w:eastAsia="Times New Roman" w:cs="Times New Roman"/>
          <w:color w:val="000000" w:themeColor="text1"/>
        </w:rPr>
        <w:t xml:space="preserve">existing </w:t>
      </w:r>
      <w:r w:rsidRPr="00391600" w:rsidR="00014440">
        <w:rPr>
          <w:rFonts w:ascii="Palatino Linotype" w:hAnsi="Palatino Linotype" w:eastAsia="Times New Roman" w:cs="Times New Roman"/>
          <w:color w:val="000000" w:themeColor="text1"/>
        </w:rPr>
        <w:t>program</w:t>
      </w:r>
      <w:r w:rsidRPr="00391600" w:rsidR="00E93A4B">
        <w:rPr>
          <w:rFonts w:ascii="Palatino Linotype" w:hAnsi="Palatino Linotype" w:eastAsia="Times New Roman" w:cs="Times New Roman"/>
          <w:color w:val="000000" w:themeColor="text1"/>
        </w:rPr>
        <w:t xml:space="preserve"> requirements</w:t>
      </w:r>
      <w:r w:rsidRPr="00391600" w:rsidR="00014440">
        <w:rPr>
          <w:rFonts w:ascii="Palatino Linotype" w:hAnsi="Palatino Linotype" w:eastAsia="Times New Roman" w:cs="Times New Roman"/>
          <w:color w:val="000000" w:themeColor="text1"/>
        </w:rPr>
        <w:t xml:space="preserve"> </w:t>
      </w:r>
      <w:r w:rsidRPr="00391600" w:rsidR="00B93C4A">
        <w:rPr>
          <w:rFonts w:ascii="Palatino Linotype" w:hAnsi="Palatino Linotype" w:eastAsia="Times New Roman" w:cs="Times New Roman"/>
          <w:color w:val="000000" w:themeColor="text1"/>
        </w:rPr>
        <w:t xml:space="preserve">from </w:t>
      </w:r>
      <w:r w:rsidRPr="00391600" w:rsidR="00014440">
        <w:rPr>
          <w:rFonts w:ascii="Palatino Linotype" w:hAnsi="Palatino Linotype" w:eastAsia="Times New Roman" w:cs="Times New Roman"/>
          <w:color w:val="000000" w:themeColor="text1"/>
        </w:rPr>
        <w:t>prior decisions and resolutions</w:t>
      </w:r>
      <w:r w:rsidRPr="00391600" w:rsidR="398D8292">
        <w:rPr>
          <w:rFonts w:ascii="Palatino Linotype" w:hAnsi="Palatino Linotype" w:eastAsia="Times New Roman" w:cs="Times New Roman"/>
          <w:color w:val="000000" w:themeColor="text1"/>
        </w:rPr>
        <w:t xml:space="preserve"> in a consolidated list</w:t>
      </w:r>
      <w:r w:rsidRPr="00391600" w:rsidR="00FE1460">
        <w:rPr>
          <w:rFonts w:ascii="Palatino Linotype" w:hAnsi="Palatino Linotype" w:eastAsia="Times New Roman" w:cs="Times New Roman"/>
          <w:color w:val="000000" w:themeColor="text1"/>
        </w:rPr>
        <w:t xml:space="preserve">, reflective of </w:t>
      </w:r>
      <w:r w:rsidRPr="00391600" w:rsidR="0043298B">
        <w:rPr>
          <w:rFonts w:ascii="Palatino Linotype" w:hAnsi="Palatino Linotype" w:eastAsia="Times New Roman" w:cs="Times New Roman"/>
          <w:color w:val="000000" w:themeColor="text1"/>
        </w:rPr>
        <w:t xml:space="preserve">refinements to these requirements </w:t>
      </w:r>
      <w:r w:rsidRPr="00391600" w:rsidR="00A7029E">
        <w:rPr>
          <w:rFonts w:ascii="Palatino Linotype" w:hAnsi="Palatino Linotype" w:eastAsia="Times New Roman" w:cs="Times New Roman"/>
          <w:color w:val="000000" w:themeColor="text1"/>
        </w:rPr>
        <w:t xml:space="preserve">adopted in this Resolution. </w:t>
      </w:r>
      <w:r w:rsidRPr="00391600" w:rsidR="00F83CA6">
        <w:rPr>
          <w:rFonts w:ascii="Palatino Linotype" w:hAnsi="Palatino Linotype"/>
          <w:color w:val="000000" w:themeColor="text1"/>
        </w:rPr>
        <w:t xml:space="preserve">Table 2 below aggregates </w:t>
      </w:r>
      <w:r w:rsidRPr="00391600" w:rsidR="00E30D90">
        <w:rPr>
          <w:rFonts w:ascii="Palatino Linotype" w:hAnsi="Palatino Linotype"/>
          <w:color w:val="000000" w:themeColor="text1"/>
        </w:rPr>
        <w:t xml:space="preserve">the compliance filing </w:t>
      </w:r>
      <w:r w:rsidRPr="00391600" w:rsidR="00D43CEA">
        <w:rPr>
          <w:rFonts w:ascii="Palatino Linotype" w:hAnsi="Palatino Linotype"/>
          <w:color w:val="000000" w:themeColor="text1"/>
        </w:rPr>
        <w:t>requirements</w:t>
      </w:r>
      <w:r w:rsidRPr="00391600" w:rsidR="00A23196">
        <w:rPr>
          <w:rFonts w:ascii="Palatino Linotype" w:hAnsi="Palatino Linotype"/>
          <w:color w:val="000000" w:themeColor="text1"/>
        </w:rPr>
        <w:t xml:space="preserve"> </w:t>
      </w:r>
      <w:r w:rsidRPr="00391600" w:rsidR="005F4131">
        <w:rPr>
          <w:rFonts w:ascii="Palatino Linotype" w:hAnsi="Palatino Linotype"/>
          <w:color w:val="000000" w:themeColor="text1"/>
        </w:rPr>
        <w:t>as described in this Resolution</w:t>
      </w:r>
      <w:r w:rsidRPr="00391600" w:rsidR="00F83CA6">
        <w:rPr>
          <w:rFonts w:ascii="Palatino Linotype" w:hAnsi="Palatino Linotype"/>
          <w:color w:val="000000" w:themeColor="text1"/>
        </w:rPr>
        <w:t xml:space="preserve">: </w:t>
      </w:r>
      <w:r w:rsidRPr="00391600" w:rsidR="00EA0A48">
        <w:rPr>
          <w:rFonts w:ascii="Palatino Linotype" w:hAnsi="Palatino Linotype"/>
          <w:color w:val="000000" w:themeColor="text1"/>
        </w:rPr>
        <w:t xml:space="preserve"> </w:t>
      </w:r>
    </w:p>
    <w:tbl>
      <w:tblPr>
        <w:tblStyle w:val="TableGrid"/>
        <w:tblW w:w="9445" w:type="dxa"/>
        <w:tblLook w:val="04A0" w:firstRow="1" w:lastRow="0" w:firstColumn="1" w:lastColumn="0" w:noHBand="0" w:noVBand="1"/>
      </w:tblPr>
      <w:tblGrid>
        <w:gridCol w:w="1705"/>
        <w:gridCol w:w="4860"/>
        <w:gridCol w:w="2880"/>
      </w:tblGrid>
      <w:tr w:rsidRPr="00391600" w:rsidR="00A34B11" w:rsidTr="00B3064F" w14:paraId="190D0015" w14:textId="77777777">
        <w:tc>
          <w:tcPr>
            <w:tcW w:w="9445" w:type="dxa"/>
            <w:gridSpan w:val="3"/>
            <w:vAlign w:val="center"/>
          </w:tcPr>
          <w:p w:rsidRPr="00391600" w:rsidR="00A34B11" w:rsidP="0000799D" w:rsidRDefault="00A34B11" w14:paraId="57815E56" w14:textId="5787B9D7">
            <w:pPr>
              <w:jc w:val="cente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rPr>
              <w:t>Table 2: CEC Gas RD&amp;D Program Compliance Filings</w:t>
            </w:r>
          </w:p>
        </w:tc>
      </w:tr>
      <w:tr w:rsidRPr="00391600" w:rsidR="00A34B11" w:rsidTr="00B3064F" w14:paraId="2D7CB9A5" w14:textId="77777777">
        <w:tc>
          <w:tcPr>
            <w:tcW w:w="1705" w:type="dxa"/>
          </w:tcPr>
          <w:p w:rsidRPr="00391600" w:rsidR="00A34B11" w:rsidP="0000799D" w:rsidRDefault="002C4E84" w14:paraId="22C8DC41" w14:textId="69672295">
            <w:pPr>
              <w:rPr>
                <w:rFonts w:ascii="Palatino Linotype" w:hAnsi="Palatino Linotype" w:eastAsia="Century Gothic" w:cs="Century Gothic"/>
                <w:b/>
                <w:bCs/>
                <w:color w:val="000000" w:themeColor="text1"/>
                <w:sz w:val="20"/>
                <w:szCs w:val="20"/>
              </w:rPr>
            </w:pPr>
            <w:r w:rsidRPr="00391600">
              <w:rPr>
                <w:rFonts w:ascii="Palatino Linotype" w:hAnsi="Palatino Linotype" w:eastAsia="Century Gothic" w:cs="Century Gothic"/>
                <w:b/>
                <w:bCs/>
                <w:color w:val="000000" w:themeColor="text1"/>
                <w:sz w:val="20"/>
                <w:szCs w:val="20"/>
              </w:rPr>
              <w:t>Cadence</w:t>
            </w:r>
          </w:p>
        </w:tc>
        <w:tc>
          <w:tcPr>
            <w:tcW w:w="4860" w:type="dxa"/>
          </w:tcPr>
          <w:p w:rsidRPr="00391600" w:rsidR="00A34B11" w:rsidP="0000799D" w:rsidRDefault="00A34B11" w14:paraId="0EB66D0D" w14:textId="77777777">
            <w:pPr>
              <w:rPr>
                <w:rFonts w:ascii="Palatino Linotype" w:hAnsi="Palatino Linotype" w:eastAsia="Century Gothic" w:cs="Century Gothic"/>
                <w:b/>
                <w:bCs/>
                <w:color w:val="000000" w:themeColor="text1"/>
                <w:sz w:val="20"/>
                <w:szCs w:val="20"/>
              </w:rPr>
            </w:pPr>
            <w:r w:rsidRPr="00391600">
              <w:rPr>
                <w:rFonts w:ascii="Palatino Linotype" w:hAnsi="Palatino Linotype" w:eastAsia="Century Gothic" w:cs="Century Gothic"/>
                <w:b/>
                <w:bCs/>
                <w:color w:val="000000" w:themeColor="text1"/>
                <w:sz w:val="20"/>
                <w:szCs w:val="20"/>
              </w:rPr>
              <w:t>CEC Submittal</w:t>
            </w:r>
          </w:p>
        </w:tc>
        <w:tc>
          <w:tcPr>
            <w:tcW w:w="2880" w:type="dxa"/>
          </w:tcPr>
          <w:p w:rsidRPr="00391600" w:rsidR="00A34B11" w:rsidP="0000799D" w:rsidRDefault="00A34B11" w14:paraId="0782517C" w14:textId="77777777">
            <w:pPr>
              <w:rPr>
                <w:rFonts w:ascii="Palatino Linotype" w:hAnsi="Palatino Linotype" w:eastAsia="Century Gothic" w:cs="Century Gothic"/>
                <w:b/>
                <w:bCs/>
                <w:color w:val="000000" w:themeColor="text1"/>
                <w:sz w:val="20"/>
                <w:szCs w:val="20"/>
              </w:rPr>
            </w:pPr>
            <w:r w:rsidRPr="00391600">
              <w:rPr>
                <w:rFonts w:ascii="Palatino Linotype" w:hAnsi="Palatino Linotype" w:eastAsia="Century Gothic" w:cs="Century Gothic"/>
                <w:b/>
                <w:bCs/>
                <w:color w:val="000000" w:themeColor="text1"/>
                <w:sz w:val="20"/>
                <w:szCs w:val="20"/>
              </w:rPr>
              <w:t>Recipient</w:t>
            </w:r>
          </w:p>
        </w:tc>
      </w:tr>
      <w:tr w:rsidRPr="00391600" w:rsidR="00A34B11" w:rsidTr="00B3064F" w14:paraId="50F67A06" w14:textId="77777777">
        <w:tc>
          <w:tcPr>
            <w:tcW w:w="1705" w:type="dxa"/>
          </w:tcPr>
          <w:p w:rsidRPr="00391600" w:rsidR="00A34B11" w:rsidP="0000799D" w:rsidRDefault="00A34B11" w14:paraId="24EAC03E" w14:textId="657E6BB2">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sz w:val="20"/>
                <w:szCs w:val="20"/>
              </w:rPr>
              <w:t>Semi-annually</w:t>
            </w:r>
            <w:r w:rsidRPr="00391600">
              <w:rPr>
                <w:rFonts w:ascii="Palatino Linotype" w:hAnsi="Palatino Linotype" w:eastAsia="Century Gothic" w:cs="Century Gothic"/>
                <w:color w:val="000000" w:themeColor="text1"/>
                <w:sz w:val="20"/>
                <w:szCs w:val="20"/>
              </w:rPr>
              <w:t xml:space="preserve"> on January 15 (pertaining to July – December of the previous year) and July 15 (pertaining to January – June of that year)</w:t>
            </w:r>
            <w:r w:rsidRPr="00391600" w:rsidR="002E19B7">
              <w:rPr>
                <w:rFonts w:ascii="Palatino Linotype" w:hAnsi="Palatino Linotype" w:eastAsia="Century Gothic" w:cs="Century Gothic"/>
                <w:color w:val="000000" w:themeColor="text1"/>
                <w:sz w:val="20"/>
                <w:szCs w:val="20"/>
              </w:rPr>
              <w:t xml:space="preserve"> per Resolution </w:t>
            </w:r>
            <w:r w:rsidR="00B22D06">
              <w:rPr>
                <w:rFonts w:ascii="Palatino Linotype" w:hAnsi="Palatino Linotype" w:eastAsia="Century Gothic" w:cs="Century Gothic"/>
                <w:color w:val="000000" w:themeColor="text1"/>
                <w:sz w:val="20"/>
                <w:szCs w:val="20"/>
              </w:rPr>
              <w:br/>
            </w:r>
            <w:r w:rsidRPr="00391600" w:rsidR="002E19B7">
              <w:rPr>
                <w:rFonts w:ascii="Palatino Linotype" w:hAnsi="Palatino Linotype" w:eastAsia="Century Gothic" w:cs="Century Gothic"/>
                <w:color w:val="000000" w:themeColor="text1"/>
                <w:sz w:val="20"/>
                <w:szCs w:val="20"/>
              </w:rPr>
              <w:t>G-3622.</w:t>
            </w:r>
          </w:p>
        </w:tc>
        <w:tc>
          <w:tcPr>
            <w:tcW w:w="4860" w:type="dxa"/>
          </w:tcPr>
          <w:p w:rsidRPr="00391600" w:rsidR="00A34B11" w:rsidP="0000799D" w:rsidRDefault="00A34B11" w14:paraId="5CDDC112" w14:textId="45E44229">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color w:val="000000" w:themeColor="text1"/>
                <w:sz w:val="20"/>
                <w:szCs w:val="20"/>
              </w:rPr>
              <w:t xml:space="preserve">Regular </w:t>
            </w:r>
            <w:r w:rsidRPr="00391600" w:rsidR="007218AE">
              <w:rPr>
                <w:rFonts w:ascii="Palatino Linotype" w:hAnsi="Palatino Linotype" w:eastAsia="Century Gothic" w:cs="Century Gothic"/>
                <w:b/>
                <w:bCs/>
                <w:color w:val="000000" w:themeColor="text1"/>
                <w:sz w:val="20"/>
                <w:szCs w:val="20"/>
              </w:rPr>
              <w:t xml:space="preserve">program status </w:t>
            </w:r>
            <w:r w:rsidRPr="00391600">
              <w:rPr>
                <w:rFonts w:ascii="Palatino Linotype" w:hAnsi="Palatino Linotype" w:eastAsia="Century Gothic" w:cs="Century Gothic"/>
                <w:b/>
                <w:color w:val="000000" w:themeColor="text1"/>
                <w:sz w:val="20"/>
                <w:szCs w:val="20"/>
              </w:rPr>
              <w:t>reporting via Tier 1 Advice Letter</w:t>
            </w:r>
            <w:r w:rsidRPr="00391600">
              <w:rPr>
                <w:rFonts w:ascii="Palatino Linotype" w:hAnsi="Palatino Linotype" w:eastAsia="Century Gothic" w:cs="Century Gothic"/>
                <w:color w:val="000000" w:themeColor="text1"/>
                <w:sz w:val="20"/>
                <w:szCs w:val="20"/>
              </w:rPr>
              <w:t xml:space="preserve">, including: </w:t>
            </w:r>
          </w:p>
          <w:p w:rsidRPr="00391600" w:rsidR="00A34B11" w:rsidP="0000799D" w:rsidRDefault="00A34B11" w14:paraId="4244B25F" w14:textId="33AF1A01">
            <w:pPr>
              <w:pStyle w:val="ListParagraph"/>
              <w:numPr>
                <w:ilvl w:val="0"/>
                <w:numId w:val="58"/>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Approved fund balances, including identification of disencumbered funds; unencumbered funds for which over two years have passed since approval; and unspent encumbered funds for which over four years have passed since encumbrance.</w:t>
            </w:r>
            <w:r w:rsidRPr="00391600" w:rsidR="000B041B">
              <w:rPr>
                <w:rStyle w:val="FootnoteReference"/>
                <w:rFonts w:ascii="Palatino Linotype" w:hAnsi="Palatino Linotype" w:eastAsia="Century Gothic" w:cs="Century Gothic"/>
                <w:color w:val="000000" w:themeColor="text1"/>
                <w:sz w:val="20"/>
                <w:szCs w:val="20"/>
              </w:rPr>
              <w:footnoteReference w:id="2"/>
            </w:r>
          </w:p>
          <w:p w:rsidRPr="00391600" w:rsidR="002C7EF9" w:rsidP="0000799D" w:rsidRDefault="00A34B11" w14:paraId="2DCDD0F5" w14:textId="3C63D40A">
            <w:pPr>
              <w:pStyle w:val="ListParagraph"/>
              <w:numPr>
                <w:ilvl w:val="0"/>
                <w:numId w:val="58"/>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For unspent encumbered </w:t>
            </w:r>
            <w:proofErr w:type="gramStart"/>
            <w:r w:rsidRPr="00391600">
              <w:rPr>
                <w:rFonts w:ascii="Palatino Linotype" w:hAnsi="Palatino Linotype" w:eastAsia="Century Gothic" w:cs="Century Gothic"/>
                <w:color w:val="000000" w:themeColor="text1"/>
                <w:sz w:val="20"/>
                <w:szCs w:val="20"/>
              </w:rPr>
              <w:t>funds</w:t>
            </w:r>
            <w:proofErr w:type="gramEnd"/>
            <w:r w:rsidRPr="00391600">
              <w:rPr>
                <w:rFonts w:ascii="Palatino Linotype" w:hAnsi="Palatino Linotype" w:eastAsia="Century Gothic" w:cs="Century Gothic"/>
                <w:color w:val="000000" w:themeColor="text1"/>
                <w:sz w:val="20"/>
                <w:szCs w:val="20"/>
              </w:rPr>
              <w:t xml:space="preserve"> for which over four years have passed since encumbrance</w:t>
            </w:r>
            <w:r w:rsidRPr="00391600" w:rsidR="005C2017">
              <w:rPr>
                <w:rFonts w:ascii="Palatino Linotype" w:hAnsi="Palatino Linotype" w:eastAsia="Century Gothic" w:cs="Century Gothic"/>
                <w:color w:val="000000" w:themeColor="text1"/>
                <w:sz w:val="20"/>
                <w:szCs w:val="20"/>
              </w:rPr>
              <w:t xml:space="preserve">, the CEC shall request </w:t>
            </w:r>
            <w:proofErr w:type="gramStart"/>
            <w:r w:rsidRPr="00391600" w:rsidR="005C2017">
              <w:rPr>
                <w:rFonts w:ascii="Palatino Linotype" w:hAnsi="Palatino Linotype" w:eastAsia="Century Gothic" w:cs="Century Gothic"/>
                <w:color w:val="000000" w:themeColor="text1"/>
                <w:sz w:val="20"/>
                <w:szCs w:val="20"/>
              </w:rPr>
              <w:t>of Energy</w:t>
            </w:r>
            <w:proofErr w:type="gramEnd"/>
            <w:r w:rsidRPr="00391600" w:rsidR="005C2017">
              <w:rPr>
                <w:rFonts w:ascii="Palatino Linotype" w:hAnsi="Palatino Linotype" w:eastAsia="Century Gothic" w:cs="Century Gothic"/>
                <w:color w:val="000000" w:themeColor="text1"/>
                <w:sz w:val="20"/>
                <w:szCs w:val="20"/>
              </w:rPr>
              <w:t xml:space="preserve"> Division a limited extension of these timeframes, including justification for the additional time needed</w:t>
            </w:r>
            <w:r w:rsidRPr="00391600" w:rsidR="00012894">
              <w:rPr>
                <w:rFonts w:ascii="Palatino Linotype" w:hAnsi="Palatino Linotype" w:eastAsia="Century Gothic" w:cs="Century Gothic"/>
                <w:color w:val="000000" w:themeColor="text1"/>
                <w:sz w:val="20"/>
                <w:szCs w:val="20"/>
              </w:rPr>
              <w:t xml:space="preserve">, </w:t>
            </w:r>
            <w:proofErr w:type="gramStart"/>
            <w:r w:rsidRPr="00391600" w:rsidR="00012894">
              <w:rPr>
                <w:rFonts w:ascii="Palatino Linotype" w:hAnsi="Palatino Linotype" w:eastAsia="Century Gothic" w:cs="Century Gothic"/>
                <w:color w:val="000000" w:themeColor="text1"/>
                <w:sz w:val="20"/>
                <w:szCs w:val="20"/>
              </w:rPr>
              <w:t>in order to</w:t>
            </w:r>
            <w:proofErr w:type="gramEnd"/>
            <w:r w:rsidRPr="00391600" w:rsidR="00012894">
              <w:rPr>
                <w:rFonts w:ascii="Palatino Linotype" w:hAnsi="Palatino Linotype" w:eastAsia="Century Gothic" w:cs="Century Gothic"/>
                <w:color w:val="000000" w:themeColor="text1"/>
                <w:sz w:val="20"/>
                <w:szCs w:val="20"/>
              </w:rPr>
              <w:t xml:space="preserve"> maintain the integrity of the timeframe</w:t>
            </w:r>
            <w:r w:rsidRPr="00391600" w:rsidR="00817148">
              <w:rPr>
                <w:rFonts w:ascii="Palatino Linotype" w:hAnsi="Palatino Linotype" w:eastAsia="Century Gothic" w:cs="Century Gothic"/>
                <w:color w:val="000000" w:themeColor="text1"/>
                <w:sz w:val="20"/>
                <w:szCs w:val="20"/>
              </w:rPr>
              <w:t xml:space="preserve">s </w:t>
            </w:r>
            <w:r w:rsidRPr="00391600" w:rsidR="00012894">
              <w:rPr>
                <w:rFonts w:ascii="Palatino Linotype" w:hAnsi="Palatino Linotype" w:eastAsia="Century Gothic" w:cs="Century Gothic"/>
                <w:color w:val="000000" w:themeColor="text1"/>
                <w:sz w:val="20"/>
                <w:szCs w:val="20"/>
              </w:rPr>
              <w:t>as described herein.</w:t>
            </w:r>
          </w:p>
          <w:p w:rsidRPr="00391600" w:rsidR="00EE6CB6" w:rsidP="0000799D" w:rsidRDefault="00EE6CB6" w14:paraId="58E062EF" w14:textId="4A21E6D4">
            <w:pPr>
              <w:pStyle w:val="ListParagraph"/>
              <w:numPr>
                <w:ilvl w:val="0"/>
                <w:numId w:val="58"/>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Requests for </w:t>
            </w:r>
            <w:proofErr w:type="spellStart"/>
            <w:r w:rsidRPr="00391600">
              <w:rPr>
                <w:rFonts w:ascii="Palatino Linotype" w:hAnsi="Palatino Linotype" w:eastAsia="Century Gothic" w:cs="Century Gothic"/>
                <w:color w:val="000000" w:themeColor="text1"/>
                <w:sz w:val="20"/>
                <w:szCs w:val="20"/>
              </w:rPr>
              <w:t>fundshifting</w:t>
            </w:r>
            <w:proofErr w:type="spellEnd"/>
            <w:r w:rsidRPr="00391600">
              <w:rPr>
                <w:rFonts w:ascii="Palatino Linotype" w:hAnsi="Palatino Linotype" w:eastAsia="Century Gothic" w:cs="Century Gothic"/>
                <w:color w:val="000000" w:themeColor="text1"/>
                <w:sz w:val="20"/>
                <w:szCs w:val="20"/>
              </w:rPr>
              <w:t xml:space="preserve"> between Initiatives in the same Plan at or above 20% of Commission-approved budgets.</w:t>
            </w:r>
          </w:p>
          <w:p w:rsidRPr="00391600" w:rsidR="00A34B11" w:rsidP="0000799D" w:rsidRDefault="00A34B11" w14:paraId="042AC9EB" w14:textId="1C1B4686">
            <w:pPr>
              <w:pStyle w:val="ListParagraph"/>
              <w:numPr>
                <w:ilvl w:val="0"/>
                <w:numId w:val="58"/>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Accrued interest and commercial benefits.</w:t>
            </w:r>
            <w:r w:rsidRPr="00391600" w:rsidR="00DF4027">
              <w:rPr>
                <w:rStyle w:val="FootnoteReference"/>
                <w:rFonts w:ascii="Palatino Linotype" w:hAnsi="Palatino Linotype" w:eastAsia="Century Gothic" w:cs="Century Gothic"/>
                <w:color w:val="000000" w:themeColor="text1"/>
                <w:sz w:val="20"/>
                <w:szCs w:val="20"/>
              </w:rPr>
              <w:footnoteReference w:id="3"/>
            </w:r>
          </w:p>
          <w:p w:rsidRPr="00391600" w:rsidR="00A34B11" w:rsidP="0000799D" w:rsidRDefault="00A34B11" w14:paraId="6A8D922B" w14:textId="77777777">
            <w:pPr>
              <w:pStyle w:val="ListParagraph"/>
              <w:numPr>
                <w:ilvl w:val="0"/>
                <w:numId w:val="58"/>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Requests for modifying research topics for Initiatives in Commission-approved Plans.</w:t>
            </w:r>
          </w:p>
        </w:tc>
        <w:tc>
          <w:tcPr>
            <w:tcW w:w="2880" w:type="dxa"/>
          </w:tcPr>
          <w:p w:rsidRPr="00391600" w:rsidR="000C216C" w:rsidP="0000799D" w:rsidRDefault="000C216C" w14:paraId="104E1DFA" w14:textId="1F15DAE2">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Tariff Unit</w:t>
            </w:r>
          </w:p>
          <w:p w:rsidRPr="00391600" w:rsidR="00A34B11" w:rsidP="0000799D" w:rsidRDefault="00A34B11" w14:paraId="6B48551F" w14:textId="0C88E218">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Energy Division </w:t>
            </w:r>
            <w:r w:rsidRPr="00391600" w:rsidR="00315E24">
              <w:rPr>
                <w:rFonts w:ascii="Palatino Linotype" w:hAnsi="Palatino Linotype" w:eastAsia="Century Gothic" w:cs="Century Gothic"/>
                <w:color w:val="000000" w:themeColor="text1"/>
                <w:sz w:val="20"/>
                <w:szCs w:val="20"/>
              </w:rPr>
              <w:t xml:space="preserve">Gas RD&amp;D </w:t>
            </w:r>
            <w:r w:rsidRPr="00391600">
              <w:rPr>
                <w:rFonts w:ascii="Palatino Linotype" w:hAnsi="Palatino Linotype" w:eastAsia="Century Gothic" w:cs="Century Gothic"/>
                <w:color w:val="000000" w:themeColor="text1"/>
                <w:sz w:val="20"/>
                <w:szCs w:val="20"/>
              </w:rPr>
              <w:t>staff</w:t>
            </w:r>
          </w:p>
        </w:tc>
      </w:tr>
      <w:tr w:rsidRPr="00391600" w:rsidR="00A34B11" w:rsidTr="00B3064F" w14:paraId="0C894A13" w14:textId="77777777">
        <w:tc>
          <w:tcPr>
            <w:tcW w:w="1705" w:type="dxa"/>
          </w:tcPr>
          <w:p w:rsidRPr="00391600" w:rsidR="00A34B11" w:rsidP="0000799D" w:rsidRDefault="0062787D" w14:paraId="1AB42A73" w14:textId="6C2BC055">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sz w:val="20"/>
                <w:szCs w:val="20"/>
              </w:rPr>
              <w:t>A</w:t>
            </w:r>
            <w:r w:rsidRPr="00391600" w:rsidR="00A34B11">
              <w:rPr>
                <w:rFonts w:ascii="Palatino Linotype" w:hAnsi="Palatino Linotype" w:eastAsia="Century Gothic" w:cs="Century Gothic"/>
                <w:b/>
                <w:bCs/>
                <w:color w:val="000000" w:themeColor="text1"/>
                <w:sz w:val="20"/>
                <w:szCs w:val="20"/>
              </w:rPr>
              <w:t>nnually</w:t>
            </w:r>
            <w:r w:rsidRPr="00391600" w:rsidR="000B041B">
              <w:rPr>
                <w:rFonts w:ascii="Palatino Linotype" w:hAnsi="Palatino Linotype" w:eastAsia="Century Gothic" w:cs="Century Gothic"/>
                <w:color w:val="000000" w:themeColor="text1"/>
                <w:sz w:val="20"/>
                <w:szCs w:val="20"/>
              </w:rPr>
              <w:t xml:space="preserve"> per </w:t>
            </w:r>
            <w:r w:rsidRPr="00391600" w:rsidR="00510660">
              <w:rPr>
                <w:rFonts w:ascii="Palatino Linotype" w:hAnsi="Palatino Linotype" w:eastAsia="Century Gothic" w:cs="Century Gothic"/>
                <w:color w:val="000000" w:themeColor="text1"/>
                <w:sz w:val="20"/>
                <w:szCs w:val="20"/>
              </w:rPr>
              <w:t>D.04-08-010</w:t>
            </w:r>
            <w:r w:rsidRPr="00391600" w:rsidR="00CD745A">
              <w:rPr>
                <w:rStyle w:val="FootnoteReference"/>
                <w:rFonts w:ascii="Palatino Linotype" w:hAnsi="Palatino Linotype" w:eastAsia="Century Gothic" w:cs="Century Gothic"/>
                <w:color w:val="000000" w:themeColor="text1"/>
                <w:sz w:val="20"/>
                <w:szCs w:val="20"/>
              </w:rPr>
              <w:footnoteReference w:id="4"/>
            </w:r>
            <w:r w:rsidRPr="00391600" w:rsidR="00510660">
              <w:rPr>
                <w:rFonts w:ascii="Palatino Linotype" w:hAnsi="Palatino Linotype" w:eastAsia="Century Gothic" w:cs="Century Gothic"/>
                <w:color w:val="000000" w:themeColor="text1"/>
                <w:sz w:val="20"/>
                <w:szCs w:val="20"/>
              </w:rPr>
              <w:t xml:space="preserve"> and </w:t>
            </w:r>
            <w:r w:rsidRPr="00391600" w:rsidR="000B041B">
              <w:rPr>
                <w:rFonts w:ascii="Palatino Linotype" w:hAnsi="Palatino Linotype" w:eastAsia="Century Gothic" w:cs="Century Gothic"/>
                <w:color w:val="000000" w:themeColor="text1"/>
                <w:sz w:val="20"/>
                <w:szCs w:val="20"/>
              </w:rPr>
              <w:t xml:space="preserve">Resolution </w:t>
            </w:r>
            <w:r w:rsidR="00B22D06">
              <w:rPr>
                <w:rFonts w:ascii="Palatino Linotype" w:hAnsi="Palatino Linotype" w:eastAsia="Century Gothic" w:cs="Century Gothic"/>
                <w:color w:val="000000" w:themeColor="text1"/>
                <w:sz w:val="20"/>
                <w:szCs w:val="20"/>
              </w:rPr>
              <w:br/>
            </w:r>
            <w:r w:rsidRPr="00391600" w:rsidR="000B041B">
              <w:rPr>
                <w:rFonts w:ascii="Palatino Linotype" w:hAnsi="Palatino Linotype" w:eastAsia="Century Gothic" w:cs="Century Gothic"/>
                <w:color w:val="000000" w:themeColor="text1"/>
                <w:sz w:val="20"/>
                <w:szCs w:val="20"/>
              </w:rPr>
              <w:t>G-3571</w:t>
            </w:r>
            <w:r w:rsidRPr="00391600" w:rsidR="00A34B11">
              <w:rPr>
                <w:rFonts w:ascii="Palatino Linotype" w:hAnsi="Palatino Linotype" w:eastAsia="Century Gothic" w:cs="Century Gothic"/>
                <w:color w:val="000000" w:themeColor="text1"/>
                <w:sz w:val="20"/>
                <w:szCs w:val="20"/>
              </w:rPr>
              <w:t>.</w:t>
            </w:r>
            <w:r w:rsidRPr="00391600" w:rsidR="00A34B11">
              <w:rPr>
                <w:rStyle w:val="FootnoteReference"/>
                <w:rFonts w:ascii="Palatino Linotype" w:hAnsi="Palatino Linotype" w:eastAsia="Century Gothic" w:cs="Century Gothic"/>
                <w:color w:val="000000" w:themeColor="text1"/>
                <w:sz w:val="20"/>
                <w:szCs w:val="20"/>
              </w:rPr>
              <w:footnoteReference w:id="5"/>
            </w:r>
          </w:p>
        </w:tc>
        <w:tc>
          <w:tcPr>
            <w:tcW w:w="4860" w:type="dxa"/>
          </w:tcPr>
          <w:p w:rsidRPr="00391600" w:rsidR="00A34B11" w:rsidP="0000799D" w:rsidRDefault="00A34B11" w14:paraId="0CCD3155" w14:textId="41814AFE">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color w:val="000000" w:themeColor="text1"/>
                <w:sz w:val="20"/>
                <w:szCs w:val="20"/>
              </w:rPr>
              <w:t xml:space="preserve">Gas RD&amp;D Annual </w:t>
            </w:r>
            <w:r w:rsidRPr="00391600" w:rsidR="007218AE">
              <w:rPr>
                <w:rFonts w:ascii="Palatino Linotype" w:hAnsi="Palatino Linotype" w:eastAsia="Century Gothic" w:cs="Century Gothic"/>
                <w:b/>
                <w:bCs/>
                <w:color w:val="000000" w:themeColor="text1"/>
                <w:sz w:val="20"/>
                <w:szCs w:val="20"/>
              </w:rPr>
              <w:t xml:space="preserve">Investment </w:t>
            </w:r>
            <w:r w:rsidRPr="00391600">
              <w:rPr>
                <w:rFonts w:ascii="Palatino Linotype" w:hAnsi="Palatino Linotype" w:eastAsia="Century Gothic" w:cs="Century Gothic"/>
                <w:b/>
                <w:color w:val="000000" w:themeColor="text1"/>
                <w:sz w:val="20"/>
                <w:szCs w:val="20"/>
              </w:rPr>
              <w:t>Plan</w:t>
            </w:r>
            <w:r w:rsidRPr="00391600">
              <w:rPr>
                <w:rFonts w:ascii="Palatino Linotype" w:hAnsi="Palatino Linotype" w:eastAsia="Century Gothic" w:cs="Century Gothic"/>
                <w:color w:val="000000" w:themeColor="text1"/>
                <w:sz w:val="20"/>
                <w:szCs w:val="20"/>
              </w:rPr>
              <w:t xml:space="preserve"> </w:t>
            </w:r>
            <w:r w:rsidRPr="00391600" w:rsidR="0087483A">
              <w:rPr>
                <w:rFonts w:ascii="Palatino Linotype" w:hAnsi="Palatino Linotype" w:eastAsia="Century Gothic" w:cs="Century Gothic"/>
                <w:color w:val="000000" w:themeColor="text1"/>
                <w:sz w:val="20"/>
                <w:szCs w:val="20"/>
              </w:rPr>
              <w:t xml:space="preserve">via Tier 3 AL </w:t>
            </w:r>
            <w:r w:rsidRPr="00391600">
              <w:rPr>
                <w:rFonts w:ascii="Palatino Linotype" w:hAnsi="Palatino Linotype" w:eastAsia="Century Gothic" w:cs="Century Gothic"/>
                <w:color w:val="000000" w:themeColor="text1"/>
                <w:sz w:val="20"/>
                <w:szCs w:val="20"/>
              </w:rPr>
              <w:t xml:space="preserve">according to the criteria and consultation processes described herein. </w:t>
            </w:r>
          </w:p>
        </w:tc>
        <w:tc>
          <w:tcPr>
            <w:tcW w:w="2880" w:type="dxa"/>
          </w:tcPr>
          <w:p w:rsidRPr="00391600" w:rsidR="00CF60B1" w:rsidP="0000799D" w:rsidRDefault="00CF60B1" w14:paraId="0ECDE21A"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Tariff Unit</w:t>
            </w:r>
          </w:p>
          <w:p w:rsidRPr="00391600" w:rsidR="00A34B11" w:rsidP="0000799D" w:rsidRDefault="00A34B11" w14:paraId="53129FCC" w14:textId="735947ED">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Energy Division </w:t>
            </w:r>
            <w:r w:rsidRPr="00391600" w:rsidR="00E103D2">
              <w:rPr>
                <w:rFonts w:ascii="Palatino Linotype" w:hAnsi="Palatino Linotype" w:eastAsia="Century Gothic" w:cs="Century Gothic"/>
                <w:color w:val="000000" w:themeColor="text1"/>
                <w:sz w:val="20"/>
                <w:szCs w:val="20"/>
              </w:rPr>
              <w:t xml:space="preserve">Gas RD&amp;D </w:t>
            </w:r>
            <w:r w:rsidRPr="00391600">
              <w:rPr>
                <w:rFonts w:ascii="Palatino Linotype" w:hAnsi="Palatino Linotype" w:eastAsia="Century Gothic" w:cs="Century Gothic"/>
                <w:color w:val="000000" w:themeColor="text1"/>
                <w:sz w:val="20"/>
                <w:szCs w:val="20"/>
              </w:rPr>
              <w:t>staff</w:t>
            </w:r>
          </w:p>
        </w:tc>
      </w:tr>
      <w:tr w:rsidRPr="00391600" w:rsidR="00A34B11" w:rsidTr="00B3064F" w14:paraId="6EF4DCE4" w14:textId="77777777">
        <w:tc>
          <w:tcPr>
            <w:tcW w:w="1705" w:type="dxa"/>
          </w:tcPr>
          <w:p w:rsidRPr="00391600" w:rsidR="00A34B11" w:rsidP="0000799D" w:rsidRDefault="00A34B11" w14:paraId="09EB8323" w14:textId="59F4A15F">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sz w:val="20"/>
                <w:szCs w:val="20"/>
              </w:rPr>
              <w:lastRenderedPageBreak/>
              <w:t>By June 1 annually</w:t>
            </w:r>
            <w:r w:rsidRPr="00391600">
              <w:rPr>
                <w:rFonts w:ascii="Palatino Linotype" w:hAnsi="Palatino Linotype" w:eastAsia="Century Gothic" w:cs="Century Gothic"/>
                <w:color w:val="000000" w:themeColor="text1"/>
                <w:sz w:val="20"/>
                <w:szCs w:val="20"/>
              </w:rPr>
              <w:t xml:space="preserve"> pertaining to the previous calendar year</w:t>
            </w:r>
            <w:r w:rsidRPr="00391600">
              <w:rPr>
                <w:rStyle w:val="FootnoteReference"/>
                <w:rFonts w:ascii="Palatino Linotype" w:hAnsi="Palatino Linotype" w:eastAsia="Century Gothic" w:cs="Century Gothic"/>
                <w:color w:val="000000" w:themeColor="text1"/>
                <w:sz w:val="20"/>
                <w:szCs w:val="20"/>
              </w:rPr>
              <w:footnoteReference w:id="6"/>
            </w:r>
            <w:r w:rsidRPr="00391600" w:rsidR="004B282A">
              <w:rPr>
                <w:rFonts w:ascii="Palatino Linotype" w:hAnsi="Palatino Linotype" w:eastAsia="Century Gothic" w:cs="Century Gothic"/>
                <w:color w:val="000000" w:themeColor="text1"/>
                <w:sz w:val="20"/>
                <w:szCs w:val="20"/>
              </w:rPr>
              <w:t xml:space="preserve"> per </w:t>
            </w:r>
            <w:r w:rsidRPr="00391600" w:rsidR="000B041B">
              <w:rPr>
                <w:rFonts w:ascii="Palatino Linotype" w:hAnsi="Palatino Linotype" w:eastAsia="Century Gothic" w:cs="Century Gothic"/>
                <w:color w:val="000000" w:themeColor="text1"/>
                <w:sz w:val="20"/>
                <w:szCs w:val="20"/>
              </w:rPr>
              <w:t xml:space="preserve">Resolution </w:t>
            </w:r>
            <w:r w:rsidRPr="00391600" w:rsidR="004B282A">
              <w:rPr>
                <w:rFonts w:ascii="Palatino Linotype" w:hAnsi="Palatino Linotype" w:eastAsia="Century Gothic" w:cs="Century Gothic"/>
                <w:color w:val="000000" w:themeColor="text1"/>
                <w:sz w:val="20"/>
                <w:szCs w:val="20"/>
              </w:rPr>
              <w:t>G-3622.</w:t>
            </w:r>
          </w:p>
        </w:tc>
        <w:tc>
          <w:tcPr>
            <w:tcW w:w="4860" w:type="dxa"/>
          </w:tcPr>
          <w:p w:rsidRPr="00391600" w:rsidR="00A34B11" w:rsidP="0000799D" w:rsidRDefault="00A34B11" w14:paraId="2B128D17" w14:textId="722DA4B1">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color w:val="000000" w:themeColor="text1"/>
                <w:sz w:val="20"/>
                <w:szCs w:val="20"/>
              </w:rPr>
              <w:t>Gas RD&amp;D Annual Report</w:t>
            </w:r>
            <w:r w:rsidRPr="00391600">
              <w:rPr>
                <w:rFonts w:ascii="Palatino Linotype" w:hAnsi="Palatino Linotype" w:eastAsia="Century Gothic" w:cs="Century Gothic"/>
                <w:color w:val="000000" w:themeColor="text1"/>
                <w:sz w:val="20"/>
                <w:szCs w:val="20"/>
              </w:rPr>
              <w:t xml:space="preserve"> </w:t>
            </w:r>
            <w:r w:rsidRPr="00391600" w:rsidR="00A01ECC">
              <w:rPr>
                <w:rFonts w:ascii="Palatino Linotype" w:hAnsi="Palatino Linotype" w:eastAsia="Century Gothic" w:cs="Century Gothic"/>
                <w:color w:val="000000" w:themeColor="text1"/>
                <w:sz w:val="20"/>
                <w:szCs w:val="20"/>
              </w:rPr>
              <w:t xml:space="preserve">via letter </w:t>
            </w:r>
            <w:r w:rsidRPr="00391600" w:rsidR="00361D71">
              <w:rPr>
                <w:rFonts w:ascii="Palatino Linotype" w:hAnsi="Palatino Linotype" w:eastAsia="Century Gothic" w:cs="Century Gothic"/>
                <w:color w:val="000000" w:themeColor="text1"/>
                <w:sz w:val="20"/>
                <w:szCs w:val="20"/>
              </w:rPr>
              <w:t>pursuant</w:t>
            </w:r>
            <w:r w:rsidRPr="00391600">
              <w:rPr>
                <w:rFonts w:ascii="Palatino Linotype" w:hAnsi="Palatino Linotype" w:eastAsia="Century Gothic" w:cs="Century Gothic"/>
                <w:color w:val="000000" w:themeColor="text1"/>
                <w:sz w:val="20"/>
                <w:szCs w:val="20"/>
              </w:rPr>
              <w:t xml:space="preserve"> to Energy Division guidance provided via a template.</w:t>
            </w:r>
          </w:p>
        </w:tc>
        <w:tc>
          <w:tcPr>
            <w:tcW w:w="2880" w:type="dxa"/>
          </w:tcPr>
          <w:p w:rsidRPr="00391600" w:rsidR="00B403F0" w:rsidP="0000799D" w:rsidRDefault="00B403F0" w14:paraId="4B44F323"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Director</w:t>
            </w:r>
          </w:p>
          <w:p w:rsidRPr="00391600" w:rsidR="00A34B11" w:rsidP="0000799D" w:rsidRDefault="00A34B11" w14:paraId="01BB67C0" w14:textId="1242FB21">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Central Files</w:t>
            </w:r>
          </w:p>
          <w:p w:rsidRPr="00391600" w:rsidR="00A34B11" w:rsidP="0000799D" w:rsidRDefault="00A34B11" w14:paraId="339B7C1B" w14:textId="48961058">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Energy Division </w:t>
            </w:r>
            <w:r w:rsidRPr="00391600" w:rsidR="00E103D2">
              <w:rPr>
                <w:rFonts w:ascii="Palatino Linotype" w:hAnsi="Palatino Linotype" w:eastAsia="Century Gothic" w:cs="Century Gothic"/>
                <w:color w:val="000000" w:themeColor="text1"/>
                <w:sz w:val="20"/>
                <w:szCs w:val="20"/>
              </w:rPr>
              <w:t xml:space="preserve">Gas RD&amp;D </w:t>
            </w:r>
            <w:r w:rsidRPr="00391600">
              <w:rPr>
                <w:rFonts w:ascii="Palatino Linotype" w:hAnsi="Palatino Linotype" w:eastAsia="Century Gothic" w:cs="Century Gothic"/>
                <w:color w:val="000000" w:themeColor="text1"/>
                <w:sz w:val="20"/>
                <w:szCs w:val="20"/>
              </w:rPr>
              <w:t>staff</w:t>
            </w:r>
          </w:p>
        </w:tc>
      </w:tr>
      <w:tr w:rsidRPr="00391600" w:rsidR="00A34B11" w:rsidTr="00B3064F" w14:paraId="77F68DB4" w14:textId="77777777">
        <w:tc>
          <w:tcPr>
            <w:tcW w:w="1705" w:type="dxa"/>
          </w:tcPr>
          <w:p w:rsidRPr="00391600" w:rsidR="00A34B11" w:rsidP="0000799D" w:rsidRDefault="00B54BE6" w14:paraId="01374293" w14:textId="3DF67E61">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sz w:val="20"/>
                <w:szCs w:val="20"/>
              </w:rPr>
              <w:t>Annually</w:t>
            </w:r>
            <w:r w:rsidRPr="00391600" w:rsidR="003A1375">
              <w:rPr>
                <w:rFonts w:ascii="Palatino Linotype" w:hAnsi="Palatino Linotype" w:eastAsia="Century Gothic" w:cs="Century Gothic"/>
                <w:b/>
                <w:bCs/>
                <w:color w:val="000000" w:themeColor="text1"/>
                <w:sz w:val="20"/>
                <w:szCs w:val="20"/>
              </w:rPr>
              <w:t xml:space="preserve"> </w:t>
            </w:r>
            <w:r w:rsidRPr="00391600" w:rsidR="003A1375">
              <w:rPr>
                <w:rFonts w:ascii="Palatino Linotype" w:hAnsi="Palatino Linotype" w:eastAsia="Century Gothic" w:cs="Century Gothic"/>
                <w:color w:val="000000" w:themeColor="text1"/>
                <w:sz w:val="20"/>
                <w:szCs w:val="20"/>
              </w:rPr>
              <w:t xml:space="preserve">per </w:t>
            </w:r>
            <w:r w:rsidRPr="00391600" w:rsidR="002A13BB">
              <w:rPr>
                <w:rFonts w:ascii="Palatino Linotype" w:hAnsi="Palatino Linotype" w:eastAsia="Century Gothic" w:cs="Century Gothic"/>
                <w:color w:val="000000" w:themeColor="text1"/>
                <w:sz w:val="20"/>
                <w:szCs w:val="20"/>
              </w:rPr>
              <w:t xml:space="preserve">Resolution </w:t>
            </w:r>
            <w:r w:rsidR="00B22D06">
              <w:rPr>
                <w:rFonts w:ascii="Palatino Linotype" w:hAnsi="Palatino Linotype" w:eastAsia="Century Gothic" w:cs="Century Gothic"/>
                <w:color w:val="000000" w:themeColor="text1"/>
                <w:sz w:val="20"/>
                <w:szCs w:val="20"/>
              </w:rPr>
              <w:br/>
            </w:r>
            <w:r w:rsidRPr="00391600" w:rsidR="002A13BB">
              <w:rPr>
                <w:rFonts w:ascii="Palatino Linotype" w:hAnsi="Palatino Linotype" w:eastAsia="Century Gothic" w:cs="Century Gothic"/>
                <w:color w:val="000000" w:themeColor="text1"/>
                <w:sz w:val="20"/>
                <w:szCs w:val="20"/>
              </w:rPr>
              <w:t>G-3622.</w:t>
            </w:r>
          </w:p>
        </w:tc>
        <w:tc>
          <w:tcPr>
            <w:tcW w:w="4860" w:type="dxa"/>
          </w:tcPr>
          <w:p w:rsidRPr="00391600" w:rsidR="00A34B11" w:rsidP="0000799D" w:rsidRDefault="00A34B11" w14:paraId="090F8A45" w14:textId="7DCE543A">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color w:val="000000" w:themeColor="text1"/>
                <w:sz w:val="20"/>
                <w:szCs w:val="20"/>
              </w:rPr>
              <w:t>Requests for fund transfers</w:t>
            </w:r>
            <w:r w:rsidRPr="00391600">
              <w:rPr>
                <w:rFonts w:ascii="Palatino Linotype" w:hAnsi="Palatino Linotype" w:eastAsia="Century Gothic" w:cs="Century Gothic"/>
                <w:color w:val="000000" w:themeColor="text1"/>
                <w:sz w:val="20"/>
                <w:szCs w:val="20"/>
              </w:rPr>
              <w:t xml:space="preserve"> </w:t>
            </w:r>
            <w:r w:rsidRPr="00391600" w:rsidR="0032703D">
              <w:rPr>
                <w:rFonts w:ascii="Palatino Linotype" w:hAnsi="Palatino Linotype" w:eastAsia="Century Gothic" w:cs="Century Gothic"/>
                <w:color w:val="000000" w:themeColor="text1"/>
                <w:sz w:val="20"/>
                <w:szCs w:val="20"/>
              </w:rPr>
              <w:t xml:space="preserve">via letter </w:t>
            </w:r>
            <w:r w:rsidRPr="00391600">
              <w:rPr>
                <w:rFonts w:ascii="Palatino Linotype" w:hAnsi="Palatino Linotype" w:eastAsia="Century Gothic" w:cs="Century Gothic"/>
                <w:color w:val="000000" w:themeColor="text1"/>
                <w:sz w:val="20"/>
                <w:szCs w:val="20"/>
              </w:rPr>
              <w:t xml:space="preserve">from CPUC’s Fund to CEC’s Fund, requiring demonstration </w:t>
            </w:r>
            <w:proofErr w:type="gramStart"/>
            <w:r w:rsidRPr="00391600">
              <w:rPr>
                <w:rFonts w:ascii="Palatino Linotype" w:hAnsi="Palatino Linotype" w:eastAsia="Century Gothic" w:cs="Century Gothic"/>
                <w:color w:val="000000" w:themeColor="text1"/>
                <w:sz w:val="20"/>
                <w:szCs w:val="20"/>
              </w:rPr>
              <w:t>that</w:t>
            </w:r>
            <w:r w:rsidRPr="00391600" w:rsidR="00E95A91">
              <w:rPr>
                <w:rFonts w:ascii="Palatino Linotype" w:hAnsi="Palatino Linotype" w:eastAsia="Century Gothic" w:cs="Century Gothic"/>
                <w:color w:val="000000" w:themeColor="text1"/>
                <w:sz w:val="20"/>
                <w:szCs w:val="20"/>
              </w:rPr>
              <w:t xml:space="preserve"> </w:t>
            </w:r>
            <w:r w:rsidRPr="00391600" w:rsidR="0032703D">
              <w:rPr>
                <w:rFonts w:ascii="Palatino Linotype" w:hAnsi="Palatino Linotype" w:eastAsia="Century Gothic" w:cs="Century Gothic"/>
                <w:color w:val="000000" w:themeColor="text1"/>
                <w:sz w:val="20"/>
                <w:szCs w:val="20"/>
              </w:rPr>
              <w:t>r</w:t>
            </w:r>
            <w:r w:rsidRPr="00391600">
              <w:rPr>
                <w:rFonts w:ascii="Palatino Linotype" w:hAnsi="Palatino Linotype" w:eastAsia="Century Gothic" w:cs="Century Gothic"/>
                <w:color w:val="000000" w:themeColor="text1"/>
                <w:sz w:val="20"/>
                <w:szCs w:val="20"/>
              </w:rPr>
              <w:t>equested</w:t>
            </w:r>
            <w:proofErr w:type="gramEnd"/>
            <w:r w:rsidRPr="00391600">
              <w:rPr>
                <w:rFonts w:ascii="Palatino Linotype" w:hAnsi="Palatino Linotype" w:eastAsia="Century Gothic" w:cs="Century Gothic"/>
                <w:color w:val="000000" w:themeColor="text1"/>
                <w:sz w:val="20"/>
                <w:szCs w:val="20"/>
              </w:rPr>
              <w:t xml:space="preserve"> new ratepayer funds are offset by interest, commercial benefits, and unencumbered and unspent funds as defined herein.</w:t>
            </w:r>
          </w:p>
        </w:tc>
        <w:tc>
          <w:tcPr>
            <w:tcW w:w="2880" w:type="dxa"/>
          </w:tcPr>
          <w:p w:rsidRPr="00391600" w:rsidR="00A34B11" w:rsidP="0000799D" w:rsidRDefault="00A34B11" w14:paraId="6C1FAA80"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Director</w:t>
            </w:r>
          </w:p>
          <w:p w:rsidRPr="00391600" w:rsidR="00A34B11" w:rsidP="0000799D" w:rsidRDefault="00A34B11" w14:paraId="15DCD701"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Central Files</w:t>
            </w:r>
          </w:p>
          <w:p w:rsidRPr="00391600" w:rsidR="00A34B11" w:rsidP="0000799D" w:rsidRDefault="00A34B11" w14:paraId="5431076C" w14:textId="2554B849">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Energy Division </w:t>
            </w:r>
            <w:r w:rsidRPr="00391600" w:rsidR="00E103D2">
              <w:rPr>
                <w:rFonts w:ascii="Palatino Linotype" w:hAnsi="Palatino Linotype" w:eastAsia="Century Gothic" w:cs="Century Gothic"/>
                <w:color w:val="000000" w:themeColor="text1"/>
                <w:sz w:val="20"/>
                <w:szCs w:val="20"/>
              </w:rPr>
              <w:t xml:space="preserve">Gas RD&amp;D </w:t>
            </w:r>
            <w:r w:rsidRPr="00391600">
              <w:rPr>
                <w:rFonts w:ascii="Palatino Linotype" w:hAnsi="Palatino Linotype" w:eastAsia="Century Gothic" w:cs="Century Gothic"/>
                <w:color w:val="000000" w:themeColor="text1"/>
                <w:sz w:val="20"/>
                <w:szCs w:val="20"/>
              </w:rPr>
              <w:t>staff</w:t>
            </w:r>
          </w:p>
        </w:tc>
      </w:tr>
      <w:tr w:rsidRPr="00391600" w:rsidR="00A34B11" w:rsidTr="00B3064F" w14:paraId="75D2F857" w14:textId="77777777">
        <w:tc>
          <w:tcPr>
            <w:tcW w:w="1705" w:type="dxa"/>
          </w:tcPr>
          <w:p w:rsidRPr="00391600" w:rsidR="00A34B11" w:rsidP="0000799D" w:rsidRDefault="005355C2" w14:paraId="48A71991" w14:textId="345B2C9A">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b/>
                <w:bCs/>
                <w:color w:val="000000" w:themeColor="text1"/>
                <w:sz w:val="20"/>
                <w:szCs w:val="20"/>
              </w:rPr>
              <w:t>Ongoing</w:t>
            </w:r>
            <w:r w:rsidRPr="00391600">
              <w:rPr>
                <w:rFonts w:ascii="Palatino Linotype" w:hAnsi="Palatino Linotype" w:eastAsia="Century Gothic" w:cs="Century Gothic"/>
                <w:color w:val="000000" w:themeColor="text1"/>
                <w:sz w:val="20"/>
                <w:szCs w:val="20"/>
              </w:rPr>
              <w:t xml:space="preserve"> per Resolution </w:t>
            </w:r>
            <w:r w:rsidR="00B22D06">
              <w:rPr>
                <w:rFonts w:ascii="Palatino Linotype" w:hAnsi="Palatino Linotype" w:eastAsia="Century Gothic" w:cs="Century Gothic"/>
                <w:color w:val="000000" w:themeColor="text1"/>
                <w:sz w:val="20"/>
                <w:szCs w:val="20"/>
              </w:rPr>
              <w:br/>
            </w:r>
            <w:r w:rsidRPr="00391600">
              <w:rPr>
                <w:rFonts w:ascii="Palatino Linotype" w:hAnsi="Palatino Linotype" w:eastAsia="Century Gothic" w:cs="Century Gothic"/>
                <w:color w:val="000000" w:themeColor="text1"/>
                <w:sz w:val="20"/>
                <w:szCs w:val="20"/>
              </w:rPr>
              <w:t>G-3622.</w:t>
            </w:r>
          </w:p>
        </w:tc>
        <w:tc>
          <w:tcPr>
            <w:tcW w:w="4860" w:type="dxa"/>
          </w:tcPr>
          <w:p w:rsidRPr="00391600" w:rsidR="00280D19" w:rsidP="0000799D" w:rsidRDefault="00B332D5" w14:paraId="784709A4" w14:textId="30A3822D">
            <w:pPr>
              <w:rPr>
                <w:rFonts w:ascii="Palatino Linotype" w:hAnsi="Palatino Linotype" w:eastAsia="Century Gothic" w:cs="Century Gothic"/>
                <w:b/>
                <w:color w:val="000000" w:themeColor="text1"/>
                <w:sz w:val="20"/>
                <w:szCs w:val="20"/>
              </w:rPr>
            </w:pPr>
            <w:r w:rsidRPr="00391600">
              <w:rPr>
                <w:rFonts w:ascii="Palatino Linotype" w:hAnsi="Palatino Linotype" w:eastAsia="Century Gothic" w:cs="Century Gothic"/>
                <w:b/>
                <w:bCs/>
                <w:color w:val="000000" w:themeColor="text1"/>
                <w:sz w:val="20"/>
                <w:szCs w:val="20"/>
              </w:rPr>
              <w:t>Interagency coordination on d</w:t>
            </w:r>
            <w:r w:rsidRPr="00391600" w:rsidR="00A34B11">
              <w:rPr>
                <w:rFonts w:ascii="Palatino Linotype" w:hAnsi="Palatino Linotype" w:eastAsia="Century Gothic" w:cs="Century Gothic"/>
                <w:b/>
                <w:bCs/>
                <w:color w:val="000000" w:themeColor="text1"/>
                <w:sz w:val="20"/>
                <w:szCs w:val="20"/>
              </w:rPr>
              <w:t>raft</w:t>
            </w:r>
            <w:r w:rsidRPr="00391600" w:rsidR="00A34B11">
              <w:rPr>
                <w:rFonts w:ascii="Palatino Linotype" w:hAnsi="Palatino Linotype" w:eastAsia="Century Gothic" w:cs="Century Gothic"/>
                <w:b/>
                <w:color w:val="000000" w:themeColor="text1"/>
                <w:sz w:val="20"/>
                <w:szCs w:val="20"/>
              </w:rPr>
              <w:t xml:space="preserve"> Grant Funding Opportunities </w:t>
            </w:r>
            <w:r w:rsidRPr="00391600" w:rsidR="00D17AA7">
              <w:rPr>
                <w:rFonts w:ascii="Palatino Linotype" w:hAnsi="Palatino Linotype" w:eastAsia="Century Gothic" w:cs="Century Gothic"/>
                <w:b/>
                <w:color w:val="000000" w:themeColor="text1"/>
                <w:sz w:val="20"/>
                <w:szCs w:val="20"/>
              </w:rPr>
              <w:t xml:space="preserve">(GFOs) </w:t>
            </w:r>
            <w:r w:rsidRPr="00391600" w:rsidR="00A95C62">
              <w:rPr>
                <w:rFonts w:ascii="Palatino Linotype" w:hAnsi="Palatino Linotype" w:eastAsia="Century Gothic" w:cs="Century Gothic"/>
                <w:color w:val="000000" w:themeColor="text1"/>
                <w:sz w:val="20"/>
                <w:szCs w:val="20"/>
              </w:rPr>
              <w:t>via letter</w:t>
            </w:r>
            <w:r w:rsidRPr="00391600" w:rsidR="00A34B11">
              <w:rPr>
                <w:rFonts w:ascii="Palatino Linotype" w:hAnsi="Palatino Linotype" w:eastAsia="Century Gothic" w:cs="Century Gothic"/>
                <w:color w:val="000000" w:themeColor="text1"/>
                <w:sz w:val="20"/>
                <w:szCs w:val="20"/>
              </w:rPr>
              <w:t>, including identification of the associated Plan year and Initiative</w:t>
            </w:r>
            <w:r w:rsidRPr="00391600" w:rsidR="00F47A29">
              <w:rPr>
                <w:rFonts w:ascii="Palatino Linotype" w:hAnsi="Palatino Linotype" w:eastAsia="Century Gothic" w:cs="Century Gothic"/>
                <w:color w:val="000000" w:themeColor="text1"/>
                <w:sz w:val="20"/>
                <w:szCs w:val="20"/>
              </w:rPr>
              <w:t>, to facilitate consultation</w:t>
            </w:r>
            <w:r w:rsidRPr="00391600" w:rsidR="00280D19">
              <w:rPr>
                <w:rFonts w:ascii="Palatino Linotype" w:hAnsi="Palatino Linotype" w:eastAsia="Century Gothic" w:cs="Century Gothic"/>
                <w:color w:val="000000" w:themeColor="text1"/>
                <w:sz w:val="20"/>
                <w:szCs w:val="20"/>
              </w:rPr>
              <w:t>:</w:t>
            </w:r>
          </w:p>
          <w:p w:rsidRPr="00391600" w:rsidR="00280D19" w:rsidP="0000799D" w:rsidRDefault="00280D19" w14:paraId="5A43DA36" w14:textId="77777777">
            <w:pPr>
              <w:pStyle w:val="ListParagraph"/>
              <w:numPr>
                <w:ilvl w:val="0"/>
                <w:numId w:val="62"/>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w:t>
            </w:r>
            <w:r w:rsidRPr="00391600" w:rsidR="00F47A29">
              <w:rPr>
                <w:rFonts w:ascii="Palatino Linotype" w:hAnsi="Palatino Linotype" w:eastAsia="Century Gothic" w:cs="Century Gothic"/>
                <w:color w:val="000000" w:themeColor="text1"/>
                <w:sz w:val="20"/>
                <w:szCs w:val="20"/>
              </w:rPr>
              <w:t xml:space="preserve">arly in solicitation scoping and concept development </w:t>
            </w:r>
            <w:r w:rsidRPr="00391600">
              <w:rPr>
                <w:rFonts w:ascii="Palatino Linotype" w:hAnsi="Palatino Linotype" w:eastAsia="Century Gothic" w:cs="Century Gothic"/>
                <w:color w:val="000000" w:themeColor="text1"/>
                <w:sz w:val="20"/>
                <w:szCs w:val="20"/>
              </w:rPr>
              <w:t>and</w:t>
            </w:r>
          </w:p>
          <w:p w:rsidRPr="00391600" w:rsidR="00A34B11" w:rsidP="0000799D" w:rsidRDefault="00280D19" w14:paraId="4D8CAE29" w14:textId="4F206D88">
            <w:pPr>
              <w:pStyle w:val="ListParagraph"/>
              <w:numPr>
                <w:ilvl w:val="0"/>
                <w:numId w:val="62"/>
              </w:num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D</w:t>
            </w:r>
            <w:r w:rsidRPr="00391600" w:rsidR="00F47A29">
              <w:rPr>
                <w:rFonts w:ascii="Palatino Linotype" w:hAnsi="Palatino Linotype" w:eastAsia="Century Gothic" w:cs="Century Gothic"/>
                <w:color w:val="000000" w:themeColor="text1"/>
                <w:sz w:val="20"/>
                <w:szCs w:val="20"/>
              </w:rPr>
              <w:t>uring later phases involving notices of proposed awards and agreement document development prior to CEC Business Meeting approval</w:t>
            </w:r>
            <w:r w:rsidRPr="00391600" w:rsidR="00BD3E96">
              <w:rPr>
                <w:rFonts w:ascii="Palatino Linotype" w:hAnsi="Palatino Linotype" w:eastAsia="Century Gothic" w:cs="Century Gothic"/>
                <w:color w:val="000000" w:themeColor="text1"/>
                <w:sz w:val="20"/>
                <w:szCs w:val="20"/>
              </w:rPr>
              <w:t>.</w:t>
            </w:r>
          </w:p>
        </w:tc>
        <w:tc>
          <w:tcPr>
            <w:tcW w:w="2880" w:type="dxa"/>
          </w:tcPr>
          <w:p w:rsidRPr="00391600" w:rsidR="00A34B11" w:rsidP="0000799D" w:rsidRDefault="00A34B11" w14:paraId="2902369C"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Director</w:t>
            </w:r>
          </w:p>
          <w:p w:rsidRPr="00391600" w:rsidR="00A34B11" w:rsidP="0000799D" w:rsidRDefault="00A34B11" w14:paraId="54F5BEBC" w14:textId="77777777">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Energy Division Central Files</w:t>
            </w:r>
          </w:p>
          <w:p w:rsidRPr="00391600" w:rsidR="00A34B11" w:rsidP="0000799D" w:rsidRDefault="00A34B11" w14:paraId="72A317BF" w14:textId="3B10B200">
            <w:pPr>
              <w:rPr>
                <w:rFonts w:ascii="Palatino Linotype" w:hAnsi="Palatino Linotype" w:eastAsia="Century Gothic" w:cs="Century Gothic"/>
                <w:color w:val="000000" w:themeColor="text1"/>
                <w:sz w:val="20"/>
                <w:szCs w:val="20"/>
              </w:rPr>
            </w:pPr>
            <w:r w:rsidRPr="00391600">
              <w:rPr>
                <w:rFonts w:ascii="Palatino Linotype" w:hAnsi="Palatino Linotype" w:eastAsia="Century Gothic" w:cs="Century Gothic"/>
                <w:color w:val="000000" w:themeColor="text1"/>
                <w:sz w:val="20"/>
                <w:szCs w:val="20"/>
              </w:rPr>
              <w:t xml:space="preserve">Energy Division </w:t>
            </w:r>
            <w:r w:rsidRPr="00391600" w:rsidR="00E103D2">
              <w:rPr>
                <w:rFonts w:ascii="Palatino Linotype" w:hAnsi="Palatino Linotype" w:eastAsia="Century Gothic" w:cs="Century Gothic"/>
                <w:color w:val="000000" w:themeColor="text1"/>
                <w:sz w:val="20"/>
                <w:szCs w:val="20"/>
              </w:rPr>
              <w:t xml:space="preserve">Gas RD&amp;D </w:t>
            </w:r>
            <w:r w:rsidRPr="00391600">
              <w:rPr>
                <w:rFonts w:ascii="Palatino Linotype" w:hAnsi="Palatino Linotype" w:eastAsia="Century Gothic" w:cs="Century Gothic"/>
                <w:color w:val="000000" w:themeColor="text1"/>
                <w:sz w:val="20"/>
                <w:szCs w:val="20"/>
              </w:rPr>
              <w:t>staff</w:t>
            </w:r>
          </w:p>
        </w:tc>
      </w:tr>
    </w:tbl>
    <w:p w:rsidRPr="00391600" w:rsidR="005A7CA0" w:rsidP="0003593C" w:rsidRDefault="005A7CA0" w14:paraId="70A63060"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791C33" w:rsidP="003147DD" w:rsidRDefault="00A76F4A" w14:paraId="5078E906" w14:textId="39D9F5B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caps/>
          <w:color w:val="000000" w:themeColor="text1"/>
          <w:kern w:val="28"/>
          <w:u w:val="single"/>
          <w14:ligatures w14:val="none"/>
        </w:rPr>
        <w:t>Background</w:t>
      </w:r>
    </w:p>
    <w:p w:rsidRPr="00391600" w:rsidR="00CA5DC9" w:rsidP="00B34737" w:rsidRDefault="00F34295" w14:paraId="6E067513" w14:textId="0FF0AF76">
      <w:pPr>
        <w:spacing w:after="0" w:line="276" w:lineRule="auto"/>
        <w:rPr>
          <w:rFonts w:ascii="Palatino Linotype" w:hAnsi="Palatino Linotype"/>
          <w:b/>
          <w:bCs/>
          <w:color w:val="000000" w:themeColor="text1"/>
        </w:rPr>
      </w:pPr>
      <w:r w:rsidRPr="00391600">
        <w:rPr>
          <w:rFonts w:ascii="Palatino Linotype" w:hAnsi="Palatino Linotype"/>
          <w:color w:val="000000" w:themeColor="text1"/>
        </w:rPr>
        <w:t xml:space="preserve">The CPUC’s Gas RD&amp;D program is governed by </w:t>
      </w:r>
      <w:r w:rsidRPr="00391600" w:rsidR="00B34737">
        <w:rPr>
          <w:rFonts w:ascii="Palatino Linotype" w:hAnsi="Palatino Linotype"/>
          <w:color w:val="000000" w:themeColor="text1"/>
        </w:rPr>
        <w:t xml:space="preserve">statute, as well as CPUC </w:t>
      </w:r>
      <w:r w:rsidRPr="00391600" w:rsidR="0056763F">
        <w:rPr>
          <w:rFonts w:ascii="Palatino Linotype" w:hAnsi="Palatino Linotype"/>
          <w:color w:val="000000" w:themeColor="text1"/>
        </w:rPr>
        <w:t>d</w:t>
      </w:r>
      <w:r w:rsidRPr="00391600" w:rsidR="00B34737">
        <w:rPr>
          <w:rFonts w:ascii="Palatino Linotype" w:hAnsi="Palatino Linotype"/>
          <w:color w:val="000000" w:themeColor="text1"/>
        </w:rPr>
        <w:t xml:space="preserve">ecisions and </w:t>
      </w:r>
      <w:r w:rsidRPr="00391600" w:rsidR="0056763F">
        <w:rPr>
          <w:rFonts w:ascii="Palatino Linotype" w:hAnsi="Palatino Linotype"/>
          <w:color w:val="000000" w:themeColor="text1"/>
        </w:rPr>
        <w:t>r</w:t>
      </w:r>
      <w:r w:rsidRPr="00391600" w:rsidR="00B34737">
        <w:rPr>
          <w:rFonts w:ascii="Palatino Linotype" w:hAnsi="Palatino Linotype"/>
          <w:color w:val="000000" w:themeColor="text1"/>
        </w:rPr>
        <w:t>esolutions related to the program.</w:t>
      </w:r>
    </w:p>
    <w:p w:rsidRPr="00391600" w:rsidR="00CA5DC9" w:rsidP="00B34737" w:rsidRDefault="00CA5DC9" w14:paraId="263C21AE" w14:textId="77777777">
      <w:pPr>
        <w:spacing w:after="0" w:line="276" w:lineRule="auto"/>
        <w:rPr>
          <w:rFonts w:ascii="Palatino Linotype" w:hAnsi="Palatino Linotype"/>
          <w:b/>
          <w:bCs/>
          <w:color w:val="000000" w:themeColor="text1"/>
        </w:rPr>
      </w:pPr>
    </w:p>
    <w:p w:rsidRPr="00391600" w:rsidR="00B34737" w:rsidP="00B34737" w:rsidRDefault="00B34737" w14:paraId="5DA2BC75" w14:textId="4EF4F3DC">
      <w:pPr>
        <w:spacing w:after="0" w:line="276" w:lineRule="auto"/>
        <w:rPr>
          <w:rFonts w:ascii="Palatino Linotype" w:hAnsi="Palatino Linotype"/>
          <w:b/>
          <w:bCs/>
          <w:color w:val="000000" w:themeColor="text1"/>
        </w:rPr>
      </w:pPr>
      <w:r w:rsidRPr="00391600">
        <w:rPr>
          <w:rFonts w:ascii="Palatino Linotype" w:hAnsi="Palatino Linotype"/>
          <w:b/>
          <w:bCs/>
          <w:color w:val="000000" w:themeColor="text1"/>
        </w:rPr>
        <w:t>Statutory Authority for Gas R</w:t>
      </w:r>
      <w:r w:rsidRPr="00391600" w:rsidR="00BA67E3">
        <w:rPr>
          <w:rFonts w:ascii="Palatino Linotype" w:hAnsi="Palatino Linotype"/>
          <w:b/>
          <w:bCs/>
          <w:color w:val="000000" w:themeColor="text1"/>
        </w:rPr>
        <w:t>D</w:t>
      </w:r>
      <w:r w:rsidRPr="00391600">
        <w:rPr>
          <w:rFonts w:ascii="Palatino Linotype" w:hAnsi="Palatino Linotype"/>
          <w:b/>
          <w:bCs/>
          <w:color w:val="000000" w:themeColor="text1"/>
        </w:rPr>
        <w:t xml:space="preserve">&amp;D </w:t>
      </w:r>
      <w:r w:rsidRPr="00391600" w:rsidR="00D90B66">
        <w:rPr>
          <w:rFonts w:ascii="Palatino Linotype" w:hAnsi="Palatino Linotype"/>
          <w:b/>
          <w:bCs/>
          <w:color w:val="000000" w:themeColor="text1"/>
        </w:rPr>
        <w:t>P</w:t>
      </w:r>
      <w:r w:rsidRPr="00391600">
        <w:rPr>
          <w:rFonts w:ascii="Palatino Linotype" w:hAnsi="Palatino Linotype"/>
          <w:b/>
          <w:bCs/>
          <w:color w:val="000000" w:themeColor="text1"/>
        </w:rPr>
        <w:t xml:space="preserve">rogram </w:t>
      </w:r>
    </w:p>
    <w:p w:rsidRPr="00391600" w:rsidR="00F34295" w:rsidP="00D90B66" w:rsidRDefault="00B34737" w14:paraId="7B85BB3E" w14:textId="3A28B9DF">
      <w:pPr>
        <w:spacing w:before="240" w:after="0" w:line="276" w:lineRule="auto"/>
        <w:rPr>
          <w:rFonts w:ascii="Palatino Linotype" w:hAnsi="Palatino Linotype"/>
          <w:color w:val="000000" w:themeColor="text1"/>
        </w:rPr>
      </w:pPr>
      <w:r w:rsidRPr="00391600">
        <w:rPr>
          <w:rFonts w:ascii="Palatino Linotype" w:hAnsi="Palatino Linotype"/>
          <w:color w:val="000000" w:themeColor="text1"/>
        </w:rPr>
        <w:t xml:space="preserve">The primary statute governing the </w:t>
      </w:r>
      <w:r w:rsidRPr="00391600" w:rsidR="00675791">
        <w:rPr>
          <w:rFonts w:ascii="Palatino Linotype" w:hAnsi="Palatino Linotype"/>
          <w:color w:val="000000" w:themeColor="text1"/>
        </w:rPr>
        <w:t xml:space="preserve">Gas </w:t>
      </w:r>
      <w:r w:rsidRPr="00391600">
        <w:rPr>
          <w:rFonts w:ascii="Palatino Linotype" w:hAnsi="Palatino Linotype"/>
          <w:color w:val="000000" w:themeColor="text1"/>
        </w:rPr>
        <w:t>R</w:t>
      </w:r>
      <w:r w:rsidRPr="00391600" w:rsidR="00675791">
        <w:rPr>
          <w:rFonts w:ascii="Palatino Linotype" w:hAnsi="Palatino Linotype"/>
          <w:color w:val="000000" w:themeColor="text1"/>
        </w:rPr>
        <w:t>D</w:t>
      </w:r>
      <w:r w:rsidRPr="00391600">
        <w:rPr>
          <w:rFonts w:ascii="Palatino Linotype" w:hAnsi="Palatino Linotype"/>
          <w:color w:val="000000" w:themeColor="text1"/>
        </w:rPr>
        <w:t xml:space="preserve">&amp;D program was created via </w:t>
      </w:r>
      <w:r w:rsidRPr="00391600">
        <w:rPr>
          <w:rFonts w:ascii="Palatino Linotype" w:hAnsi="Palatino Linotype" w:eastAsia="Palatino Linotype" w:cs="Times New Roman"/>
          <w:color w:val="000000" w:themeColor="text1"/>
          <w:kern w:val="0"/>
          <w14:ligatures w14:val="none"/>
        </w:rPr>
        <w:t>Assembly Bill (AB) 1002 (Wright, 2002)</w:t>
      </w:r>
      <w:r w:rsidRPr="00391600" w:rsidR="00AA23D7">
        <w:rPr>
          <w:rStyle w:val="FootnoteReference"/>
          <w:rFonts w:ascii="Palatino Linotype" w:hAnsi="Palatino Linotype" w:eastAsia="Palatino Linotype" w:cs="Times New Roman"/>
          <w:color w:val="000000" w:themeColor="text1"/>
          <w:kern w:val="0"/>
          <w14:ligatures w14:val="none"/>
        </w:rPr>
        <w:footnoteReference w:id="7"/>
      </w:r>
      <w:r w:rsidRPr="00391600">
        <w:rPr>
          <w:rFonts w:ascii="Palatino Linotype" w:hAnsi="Palatino Linotype" w:eastAsia="Palatino Linotype" w:cs="Times New Roman"/>
          <w:color w:val="000000" w:themeColor="text1"/>
          <w:kern w:val="0"/>
          <w14:ligatures w14:val="none"/>
        </w:rPr>
        <w:t xml:space="preserve"> which required the Commission to </w:t>
      </w:r>
      <w:r w:rsidRPr="00391600">
        <w:rPr>
          <w:rFonts w:ascii="Palatino Linotype" w:hAnsi="Palatino Linotype" w:eastAsia="Palatino Linotype" w:cs="Times New Roman"/>
          <w:color w:val="000000" w:themeColor="text1"/>
        </w:rPr>
        <w:t>establish a natural gas surcharge to fund gas</w:t>
      </w:r>
      <w:r w:rsidRPr="00391600">
        <w:rPr>
          <w:rFonts w:ascii="Palatino Linotype" w:hAnsi="Palatino Linotype" w:eastAsia="Palatino Linotype" w:cs="Times New Roman"/>
          <w:color w:val="000000" w:themeColor="text1"/>
          <w:kern w:val="0"/>
          <w14:ligatures w14:val="none"/>
        </w:rPr>
        <w:t>-related Public Purpose Programs (PPP).</w:t>
      </w:r>
    </w:p>
    <w:p w:rsidRPr="00391600" w:rsidR="00CD785B" w:rsidP="004459A5" w:rsidRDefault="00CD785B" w14:paraId="476503FF" w14:textId="77777777">
      <w:pPr>
        <w:keepNext/>
        <w:spacing w:after="0" w:line="276" w:lineRule="auto"/>
        <w:outlineLvl w:val="0"/>
        <w:rPr>
          <w:rFonts w:ascii="Palatino Linotype" w:hAnsi="Palatino Linotype" w:eastAsia="Palatino Linotype" w:cs="Times New Roman"/>
          <w:b/>
          <w:color w:val="000000" w:themeColor="text1"/>
          <w:kern w:val="0"/>
          <w14:ligatures w14:val="none"/>
        </w:rPr>
      </w:pPr>
    </w:p>
    <w:p w:rsidRPr="00391600" w:rsidR="00791C33" w:rsidP="00CD785B" w:rsidRDefault="00EE71FC" w14:paraId="6EB53F76" w14:textId="001C06AC">
      <w:pPr>
        <w:keepNext/>
        <w:spacing w:after="240" w:line="276" w:lineRule="auto"/>
        <w:outlineLvl w:val="0"/>
        <w:rPr>
          <w:rFonts w:ascii="Palatino Linotype" w:hAnsi="Palatino Linotype" w:eastAsia="Palatino Linotype" w:cs="Times New Roman"/>
          <w:bCs/>
          <w:caps/>
          <w:color w:val="000000" w:themeColor="text1"/>
          <w:kern w:val="28"/>
          <w:u w:val="single"/>
          <w14:ligatures w14:val="none"/>
        </w:rPr>
      </w:pPr>
      <w:r w:rsidRPr="00391600">
        <w:rPr>
          <w:rFonts w:ascii="Palatino Linotype" w:hAnsi="Palatino Linotype" w:eastAsia="Palatino Linotype" w:cs="Times New Roman"/>
          <w:color w:val="000000" w:themeColor="text1"/>
          <w:kern w:val="0"/>
          <w:u w:val="single"/>
          <w14:ligatures w14:val="none"/>
        </w:rPr>
        <w:t xml:space="preserve">Gas RD&amp;D Program 2004 </w:t>
      </w:r>
      <w:r w:rsidRPr="00391600" w:rsidR="00CD785B">
        <w:rPr>
          <w:rFonts w:ascii="Palatino Linotype" w:hAnsi="Palatino Linotype" w:eastAsia="Palatino Linotype" w:cs="Times New Roman"/>
          <w:color w:val="000000" w:themeColor="text1"/>
          <w:kern w:val="0"/>
          <w:u w:val="single"/>
          <w14:ligatures w14:val="none"/>
        </w:rPr>
        <w:t>Foundational</w:t>
      </w:r>
      <w:r w:rsidRPr="00391600" w:rsidR="00287E15">
        <w:rPr>
          <w:rFonts w:ascii="Palatino Linotype" w:hAnsi="Palatino Linotype" w:eastAsia="Palatino Linotype" w:cs="Times New Roman"/>
          <w:color w:val="000000" w:themeColor="text1"/>
          <w:kern w:val="0"/>
          <w:u w:val="single"/>
          <w14:ligatures w14:val="none"/>
        </w:rPr>
        <w:t xml:space="preserve"> Decision</w:t>
      </w:r>
    </w:p>
    <w:p w:rsidRPr="00391600" w:rsidR="0033190A" w:rsidP="00BA049B" w:rsidRDefault="00EA401C" w14:paraId="255742F6" w14:textId="3958285E">
      <w:pPr>
        <w:keepNext/>
        <w:spacing w:line="276" w:lineRule="auto"/>
        <w:outlineLvl w:val="0"/>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In 2002, the CPUC instituted Rulemaking (R.)</w:t>
      </w:r>
      <w:r w:rsidRPr="00391600" w:rsidR="00F72EE7">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02-10-001 to implement </w:t>
      </w:r>
      <w:r w:rsidRPr="00391600" w:rsidR="004A2CE9">
        <w:rPr>
          <w:rFonts w:ascii="Palatino Linotype" w:hAnsi="Palatino Linotype" w:eastAsia="Palatino Linotype" w:cs="Times New Roman"/>
          <w:color w:val="000000" w:themeColor="text1"/>
          <w:kern w:val="0"/>
          <w14:ligatures w14:val="none"/>
        </w:rPr>
        <w:t>AB 1002</w:t>
      </w:r>
      <w:r w:rsidRPr="00391600" w:rsidR="00FB2A6F">
        <w:rPr>
          <w:rFonts w:ascii="Palatino Linotype" w:hAnsi="Palatino Linotype" w:eastAsia="Palatino Linotype" w:cs="Times New Roman"/>
          <w:color w:val="000000" w:themeColor="text1"/>
          <w:kern w:val="0"/>
          <w14:ligatures w14:val="none"/>
        </w:rPr>
        <w:t xml:space="preserve"> (Wright, 2002)</w:t>
      </w:r>
      <w:r w:rsidRPr="00391600" w:rsidR="004A2CE9">
        <w:rPr>
          <w:rFonts w:ascii="Palatino Linotype" w:hAnsi="Palatino Linotype" w:eastAsia="Palatino Linotype" w:cs="Times New Roman"/>
          <w:color w:val="000000" w:themeColor="text1"/>
          <w:kern w:val="0"/>
          <w14:ligatures w14:val="none"/>
        </w:rPr>
        <w:t xml:space="preserve">, </w:t>
      </w:r>
      <w:r w:rsidRPr="00391600" w:rsidR="006A0047">
        <w:rPr>
          <w:rFonts w:ascii="Palatino Linotype" w:hAnsi="Palatino Linotype" w:eastAsia="Palatino Linotype" w:cs="Times New Roman"/>
          <w:color w:val="000000" w:themeColor="text1"/>
          <w:kern w:val="0"/>
          <w14:ligatures w14:val="none"/>
        </w:rPr>
        <w:t>resulting in</w:t>
      </w:r>
      <w:r w:rsidRPr="00391600" w:rsidR="0073067F">
        <w:rPr>
          <w:rFonts w:ascii="Palatino Linotype" w:hAnsi="Palatino Linotype" w:eastAsia="Palatino Linotype" w:cs="Times New Roman"/>
          <w:color w:val="000000" w:themeColor="text1"/>
          <w:kern w:val="0"/>
          <w14:ligatures w14:val="none"/>
        </w:rPr>
        <w:t xml:space="preserve"> </w:t>
      </w:r>
      <w:r w:rsidRPr="00391600" w:rsidR="006B0618">
        <w:rPr>
          <w:rFonts w:ascii="Palatino Linotype" w:hAnsi="Palatino Linotype" w:eastAsia="Palatino Linotype" w:cs="Times New Roman"/>
          <w:color w:val="000000" w:themeColor="text1"/>
          <w:kern w:val="0"/>
          <w14:ligatures w14:val="none"/>
        </w:rPr>
        <w:t>D.04-08-010,</w:t>
      </w:r>
      <w:r w:rsidRPr="00391600" w:rsidR="00AC49EA">
        <w:rPr>
          <w:rStyle w:val="FootnoteReference"/>
          <w:rFonts w:ascii="Palatino Linotype" w:hAnsi="Palatino Linotype" w:eastAsia="Palatino Linotype" w:cs="Times New Roman"/>
          <w:color w:val="000000" w:themeColor="text1"/>
          <w:kern w:val="0"/>
          <w14:ligatures w14:val="none"/>
        </w:rPr>
        <w:footnoteReference w:id="8"/>
      </w:r>
      <w:r w:rsidRPr="00391600" w:rsidR="006B0618">
        <w:rPr>
          <w:rFonts w:ascii="Palatino Linotype" w:hAnsi="Palatino Linotype" w:eastAsia="Palatino Linotype" w:cs="Times New Roman"/>
          <w:color w:val="000000" w:themeColor="text1"/>
          <w:kern w:val="0"/>
          <w14:ligatures w14:val="none"/>
        </w:rPr>
        <w:t xml:space="preserve"> </w:t>
      </w:r>
      <w:r w:rsidRPr="00391600" w:rsidR="0073067F">
        <w:rPr>
          <w:rFonts w:ascii="Palatino Linotype" w:hAnsi="Palatino Linotype" w:eastAsia="Palatino Linotype" w:cs="Times New Roman"/>
          <w:color w:val="000000" w:themeColor="text1"/>
          <w:kern w:val="0"/>
          <w14:ligatures w14:val="none"/>
        </w:rPr>
        <w:t xml:space="preserve">the </w:t>
      </w:r>
      <w:r w:rsidRPr="00391600" w:rsidR="00A86BBE">
        <w:rPr>
          <w:rFonts w:ascii="Palatino Linotype" w:hAnsi="Palatino Linotype" w:eastAsia="Palatino Linotype" w:cs="Times New Roman"/>
          <w:color w:val="000000" w:themeColor="text1"/>
          <w:kern w:val="0"/>
          <w14:ligatures w14:val="none"/>
        </w:rPr>
        <w:t xml:space="preserve">Gas Research, Development, and Demonstration (RD&amp;D) </w:t>
      </w:r>
      <w:r w:rsidRPr="00391600" w:rsidR="00DD20F1">
        <w:rPr>
          <w:rFonts w:ascii="Palatino Linotype" w:hAnsi="Palatino Linotype" w:eastAsia="Palatino Linotype" w:cs="Times New Roman"/>
          <w:color w:val="000000" w:themeColor="text1"/>
          <w:kern w:val="0"/>
          <w14:ligatures w14:val="none"/>
        </w:rPr>
        <w:t xml:space="preserve">Program’s </w:t>
      </w:r>
      <w:r w:rsidRPr="00391600" w:rsidR="0073067F">
        <w:rPr>
          <w:rFonts w:ascii="Palatino Linotype" w:hAnsi="Palatino Linotype" w:eastAsia="Palatino Linotype" w:cs="Times New Roman"/>
          <w:color w:val="000000" w:themeColor="text1"/>
          <w:kern w:val="0"/>
          <w14:ligatures w14:val="none"/>
        </w:rPr>
        <w:t xml:space="preserve">foundational </w:t>
      </w:r>
      <w:r w:rsidRPr="00391600" w:rsidR="006B0618">
        <w:rPr>
          <w:rFonts w:ascii="Palatino Linotype" w:hAnsi="Palatino Linotype" w:eastAsia="Palatino Linotype" w:cs="Times New Roman"/>
          <w:color w:val="000000" w:themeColor="text1"/>
          <w:kern w:val="0"/>
          <w14:ligatures w14:val="none"/>
        </w:rPr>
        <w:t>decision</w:t>
      </w:r>
      <w:r w:rsidRPr="00391600" w:rsidR="006A0047">
        <w:rPr>
          <w:rFonts w:ascii="Palatino Linotype" w:hAnsi="Palatino Linotype" w:eastAsia="Palatino Linotype" w:cs="Times New Roman"/>
          <w:color w:val="000000" w:themeColor="text1"/>
          <w:kern w:val="0"/>
          <w14:ligatures w14:val="none"/>
        </w:rPr>
        <w:t>.</w:t>
      </w:r>
      <w:r w:rsidRPr="00391600" w:rsidR="00D15678">
        <w:rPr>
          <w:rFonts w:ascii="Palatino Linotype" w:hAnsi="Palatino Linotype" w:eastAsia="Palatino Linotype" w:cs="Times New Roman"/>
          <w:color w:val="000000" w:themeColor="text1"/>
          <w:kern w:val="0"/>
          <w14:ligatures w14:val="none"/>
        </w:rPr>
        <w:t xml:space="preserve"> </w:t>
      </w:r>
      <w:r w:rsidRPr="00391600" w:rsidR="00B00D19">
        <w:rPr>
          <w:rFonts w:ascii="Palatino Linotype" w:hAnsi="Palatino Linotype" w:eastAsia="Palatino Linotype" w:cs="Times New Roman"/>
          <w:color w:val="000000" w:themeColor="text1"/>
          <w:kern w:val="0"/>
          <w14:ligatures w14:val="none"/>
        </w:rPr>
        <w:t>In t</w:t>
      </w:r>
      <w:r w:rsidRPr="00391600" w:rsidR="005A7171">
        <w:rPr>
          <w:rFonts w:ascii="Palatino Linotype" w:hAnsi="Palatino Linotype" w:eastAsia="Palatino Linotype" w:cs="Times New Roman"/>
          <w:color w:val="000000" w:themeColor="text1"/>
          <w:kern w:val="0"/>
          <w14:ligatures w14:val="none"/>
        </w:rPr>
        <w:t>he d</w:t>
      </w:r>
      <w:r w:rsidRPr="00391600" w:rsidR="00B00D19">
        <w:rPr>
          <w:rFonts w:ascii="Palatino Linotype" w:hAnsi="Palatino Linotype" w:eastAsia="Palatino Linotype" w:cs="Times New Roman"/>
          <w:color w:val="000000" w:themeColor="text1"/>
          <w:kern w:val="0"/>
          <w14:ligatures w14:val="none"/>
        </w:rPr>
        <w:t>ecision</w:t>
      </w:r>
      <w:r w:rsidRPr="00391600" w:rsidR="00B54EB8">
        <w:rPr>
          <w:rFonts w:ascii="Palatino Linotype" w:hAnsi="Palatino Linotype" w:eastAsia="Palatino Linotype" w:cs="Times New Roman"/>
          <w:color w:val="000000" w:themeColor="text1"/>
          <w:kern w:val="0"/>
          <w14:ligatures w14:val="none"/>
        </w:rPr>
        <w:t>,</w:t>
      </w:r>
      <w:r w:rsidRPr="00391600" w:rsidR="00B00D19">
        <w:rPr>
          <w:rFonts w:ascii="Palatino Linotype" w:hAnsi="Palatino Linotype" w:eastAsia="Palatino Linotype" w:cs="Times New Roman"/>
          <w:color w:val="000000" w:themeColor="text1"/>
          <w:kern w:val="0"/>
          <w14:ligatures w14:val="none"/>
        </w:rPr>
        <w:t xml:space="preserve"> the Commission appointed the CEC as its administrator of the Gas RD&amp;D </w:t>
      </w:r>
      <w:r w:rsidRPr="00391600" w:rsidR="00B00D19">
        <w:rPr>
          <w:rFonts w:ascii="Palatino Linotype" w:hAnsi="Palatino Linotype" w:eastAsia="Palatino Linotype" w:cs="Times New Roman"/>
          <w:color w:val="000000" w:themeColor="text1"/>
        </w:rPr>
        <w:t>Program.</w:t>
      </w:r>
      <w:r w:rsidRPr="00391600" w:rsidR="00B00D19">
        <w:rPr>
          <w:rStyle w:val="FootnoteReference"/>
          <w:rFonts w:ascii="Palatino Linotype" w:hAnsi="Palatino Linotype" w:eastAsia="Palatino Linotype" w:cs="Times New Roman"/>
          <w:color w:val="000000" w:themeColor="text1"/>
          <w:kern w:val="0"/>
          <w14:ligatures w14:val="none"/>
        </w:rPr>
        <w:footnoteReference w:id="9"/>
      </w:r>
      <w:r w:rsidRPr="00391600" w:rsidR="0F9C5AEF">
        <w:rPr>
          <w:rFonts w:ascii="Palatino Linotype" w:hAnsi="Palatino Linotype" w:eastAsia="Palatino Linotype" w:cs="Times New Roman"/>
          <w:color w:val="000000" w:themeColor="text1"/>
          <w:kern w:val="0"/>
          <w14:ligatures w14:val="none"/>
        </w:rPr>
        <w:t xml:space="preserve"> </w:t>
      </w:r>
      <w:r w:rsidRPr="00391600" w:rsidR="0033190A">
        <w:rPr>
          <w:rFonts w:ascii="Palatino Linotype" w:hAnsi="Palatino Linotype" w:eastAsia="Palatino Linotype" w:cs="Times New Roman"/>
          <w:color w:val="000000" w:themeColor="text1"/>
        </w:rPr>
        <w:t xml:space="preserve">The </w:t>
      </w:r>
      <w:r w:rsidRPr="00391600" w:rsidR="0033190A">
        <w:rPr>
          <w:rFonts w:ascii="Palatino Linotype" w:hAnsi="Palatino Linotype"/>
          <w:color w:val="000000" w:themeColor="text1"/>
        </w:rPr>
        <w:t xml:space="preserve">CEC is required to submit proposed Annual Gas RD&amp;D Investment Plans (Plans) for consideration, subject to Commission approval via </w:t>
      </w:r>
      <w:r w:rsidRPr="00391600" w:rsidR="0056763F">
        <w:rPr>
          <w:rFonts w:ascii="Palatino Linotype" w:hAnsi="Palatino Linotype"/>
          <w:color w:val="000000" w:themeColor="text1"/>
        </w:rPr>
        <w:t>r</w:t>
      </w:r>
      <w:r w:rsidRPr="00391600" w:rsidR="0033190A">
        <w:rPr>
          <w:rFonts w:ascii="Palatino Linotype" w:hAnsi="Palatino Linotype"/>
          <w:color w:val="000000" w:themeColor="text1"/>
        </w:rPr>
        <w:t>esolution.</w:t>
      </w:r>
      <w:r w:rsidRPr="00391600" w:rsidR="0033190A">
        <w:rPr>
          <w:rStyle w:val="FootnoteReference"/>
          <w:rFonts w:ascii="Palatino Linotype" w:hAnsi="Palatino Linotype"/>
          <w:color w:val="000000" w:themeColor="text1"/>
        </w:rPr>
        <w:footnoteReference w:id="10"/>
      </w:r>
      <w:r w:rsidRPr="00391600" w:rsidR="0033190A">
        <w:rPr>
          <w:rFonts w:ascii="Palatino Linotype" w:hAnsi="Palatino Linotype"/>
          <w:color w:val="000000" w:themeColor="text1"/>
        </w:rPr>
        <w:t xml:space="preserve"> For this, the </w:t>
      </w:r>
      <w:r w:rsidRPr="00391600" w:rsidR="0056763F">
        <w:rPr>
          <w:rFonts w:ascii="Palatino Linotype" w:hAnsi="Palatino Linotype"/>
          <w:color w:val="000000" w:themeColor="text1"/>
        </w:rPr>
        <w:t>d</w:t>
      </w:r>
      <w:r w:rsidRPr="00391600" w:rsidR="0033190A">
        <w:rPr>
          <w:rFonts w:ascii="Palatino Linotype" w:hAnsi="Palatino Linotype"/>
          <w:color w:val="000000" w:themeColor="text1"/>
        </w:rPr>
        <w:t>ecision designates Energy Division as the Commission’s advisor in assisting with reviewing and adopting Plans.</w:t>
      </w:r>
      <w:r w:rsidRPr="00391600" w:rsidR="0033190A">
        <w:rPr>
          <w:rStyle w:val="FootnoteReference"/>
          <w:rFonts w:ascii="Palatino Linotype" w:hAnsi="Palatino Linotype"/>
          <w:color w:val="000000" w:themeColor="text1"/>
        </w:rPr>
        <w:footnoteReference w:id="11"/>
      </w:r>
    </w:p>
    <w:p w:rsidRPr="00391600" w:rsidR="00BD4655" w:rsidP="00B65AF1" w:rsidRDefault="00C766CC" w14:paraId="60FD6C4B" w14:textId="1AA0C8EE">
      <w:pPr>
        <w:keepNext/>
        <w:spacing w:before="240"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In adopting the Gas RD&amp;D </w:t>
      </w:r>
      <w:r w:rsidRPr="00391600" w:rsidR="005B4D54">
        <w:rPr>
          <w:rFonts w:ascii="Palatino Linotype" w:hAnsi="Palatino Linotype" w:eastAsia="Palatino Linotype" w:cs="Times New Roman"/>
          <w:color w:val="000000" w:themeColor="text1"/>
          <w:kern w:val="0"/>
          <w14:ligatures w14:val="none"/>
        </w:rPr>
        <w:t>p</w:t>
      </w:r>
      <w:r w:rsidRPr="00391600">
        <w:rPr>
          <w:rFonts w:ascii="Palatino Linotype" w:hAnsi="Palatino Linotype" w:eastAsia="Palatino Linotype" w:cs="Times New Roman"/>
          <w:color w:val="000000" w:themeColor="text1"/>
          <w:kern w:val="0"/>
          <w14:ligatures w14:val="none"/>
        </w:rPr>
        <w:t xml:space="preserve">rogram, the CPUC referred to Public Utilities </w:t>
      </w:r>
      <w:r w:rsidRPr="00391600" w:rsidR="00B65AF1">
        <w:rPr>
          <w:rFonts w:ascii="Palatino Linotype" w:hAnsi="Palatino Linotype" w:eastAsia="Palatino Linotype" w:cs="Times New Roman"/>
          <w:color w:val="000000" w:themeColor="text1"/>
          <w:kern w:val="0"/>
          <w14:ligatures w14:val="none"/>
        </w:rPr>
        <w:t xml:space="preserve">(PU) </w:t>
      </w:r>
      <w:r w:rsidRPr="00391600">
        <w:rPr>
          <w:rFonts w:ascii="Palatino Linotype" w:hAnsi="Palatino Linotype" w:eastAsia="Palatino Linotype" w:cs="Times New Roman"/>
          <w:color w:val="000000" w:themeColor="text1"/>
          <w:kern w:val="0"/>
          <w14:ligatures w14:val="none"/>
        </w:rPr>
        <w:t>Code Section 740.1 as the adopted definition of public interest R&amp;D</w:t>
      </w:r>
      <w:r w:rsidRPr="00391600" w:rsidR="00B65AF1">
        <w:rPr>
          <w:rFonts w:ascii="Palatino Linotype" w:hAnsi="Palatino Linotype" w:eastAsia="Palatino Linotype" w:cs="Times New Roman"/>
          <w:color w:val="000000" w:themeColor="text1"/>
          <w:kern w:val="0"/>
          <w14:ligatures w14:val="none"/>
        </w:rPr>
        <w:t>,</w:t>
      </w:r>
      <w:r w:rsidRPr="00391600">
        <w:rPr>
          <w:rStyle w:val="FootnoteReference"/>
          <w:rFonts w:ascii="Palatino Linotype" w:hAnsi="Palatino Linotype" w:eastAsia="Palatino Linotype" w:cs="Times New Roman"/>
          <w:color w:val="000000" w:themeColor="text1"/>
          <w:kern w:val="0"/>
          <w14:ligatures w14:val="none"/>
        </w:rPr>
        <w:footnoteReference w:id="12"/>
      </w:r>
      <w:r w:rsidRPr="00391600">
        <w:rPr>
          <w:rFonts w:ascii="Palatino Linotype" w:hAnsi="Palatino Linotype" w:eastAsia="Palatino Linotype" w:cs="Times New Roman"/>
          <w:color w:val="000000" w:themeColor="text1"/>
          <w:kern w:val="0"/>
          <w14:ligatures w14:val="none"/>
        </w:rPr>
        <w:t xml:space="preserve"> </w:t>
      </w:r>
      <w:r w:rsidRPr="00391600" w:rsidR="00B65AF1">
        <w:rPr>
          <w:rFonts w:ascii="Palatino Linotype" w:hAnsi="Palatino Linotype" w:eastAsia="Palatino Linotype" w:cs="Times New Roman"/>
          <w:color w:val="000000" w:themeColor="text1"/>
          <w:kern w:val="0"/>
          <w14:ligatures w14:val="none"/>
        </w:rPr>
        <w:t xml:space="preserve">which </w:t>
      </w:r>
      <w:r w:rsidRPr="00391600" w:rsidR="00BD4655">
        <w:rPr>
          <w:rFonts w:ascii="Palatino Linotype" w:hAnsi="Palatino Linotype" w:eastAsia="Palatino Linotype" w:cs="Times New Roman"/>
          <w:color w:val="000000" w:themeColor="text1"/>
          <w:kern w:val="0"/>
          <w14:ligatures w14:val="none"/>
        </w:rPr>
        <w:t xml:space="preserve">directs the Commission to consider the following guidelines in evaluating proposed Gas RD&amp;D investments: </w:t>
      </w:r>
    </w:p>
    <w:p w:rsidRPr="00391600" w:rsidR="00BD4655" w:rsidP="00BD4655" w:rsidRDefault="00BD4655" w14:paraId="753059E7"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Projects should offer a reasonable probability of providing benefits to ratepayers.</w:t>
      </w:r>
    </w:p>
    <w:p w:rsidRPr="00391600" w:rsidR="00BD4655" w:rsidP="00BD4655" w:rsidRDefault="00BD4655" w14:paraId="5AF5D8E5"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 xml:space="preserve">Expenditures on projects which have a low probability </w:t>
      </w:r>
      <w:proofErr w:type="gramStart"/>
      <w:r w:rsidRPr="00391600">
        <w:rPr>
          <w:rFonts w:ascii="Palatino Linotype" w:hAnsi="Palatino Linotype" w:eastAsia="Palatino Linotype" w:cs="Times New Roman"/>
          <w:i/>
          <w:iCs/>
          <w:color w:val="000000" w:themeColor="text1"/>
          <w:kern w:val="0"/>
          <w14:ligatures w14:val="none"/>
        </w:rPr>
        <w:t>for</w:t>
      </w:r>
      <w:proofErr w:type="gramEnd"/>
      <w:r w:rsidRPr="00391600">
        <w:rPr>
          <w:rFonts w:ascii="Palatino Linotype" w:hAnsi="Palatino Linotype" w:eastAsia="Palatino Linotype" w:cs="Times New Roman"/>
          <w:i/>
          <w:iCs/>
          <w:color w:val="000000" w:themeColor="text1"/>
          <w:kern w:val="0"/>
          <w14:ligatures w14:val="none"/>
        </w:rPr>
        <w:t xml:space="preserve"> success should be minimized.</w:t>
      </w:r>
      <w:r w:rsidRPr="00391600">
        <w:rPr>
          <w:rStyle w:val="FootnoteReference"/>
          <w:rFonts w:ascii="Palatino Linotype" w:hAnsi="Palatino Linotype" w:eastAsia="Palatino Linotype" w:cs="Times New Roman"/>
          <w:i/>
          <w:iCs/>
          <w:color w:val="000000" w:themeColor="text1"/>
          <w:kern w:val="0"/>
          <w14:ligatures w14:val="none"/>
        </w:rPr>
        <w:footnoteReference w:id="13"/>
      </w:r>
    </w:p>
    <w:p w:rsidRPr="00391600" w:rsidR="00BD4655" w:rsidP="00BD4655" w:rsidRDefault="00BD4655" w14:paraId="248EAB46" w14:textId="77777777">
      <w:pPr>
        <w:pStyle w:val="ListParagraph"/>
        <w:numPr>
          <w:ilvl w:val="0"/>
          <w:numId w:val="6"/>
        </w:numPr>
        <w:spacing w:after="0" w:line="276" w:lineRule="auto"/>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Projects should be consistent with the corporation's resource plan.</w:t>
      </w:r>
      <w:r w:rsidRPr="00391600">
        <w:rPr>
          <w:rStyle w:val="FootnoteReference"/>
          <w:rFonts w:ascii="Palatino Linotype" w:hAnsi="Palatino Linotype" w:eastAsia="Palatino Linotype" w:cs="Times New Roman"/>
          <w:i/>
          <w:iCs/>
          <w:color w:val="000000" w:themeColor="text1"/>
          <w:kern w:val="0"/>
          <w14:ligatures w14:val="none"/>
        </w:rPr>
        <w:footnoteReference w:id="14"/>
      </w:r>
    </w:p>
    <w:p w:rsidRPr="00391600" w:rsidR="00BD4655" w:rsidP="00BD4655" w:rsidRDefault="00BD4655" w14:paraId="104D6D5B"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 xml:space="preserve">Projects should not unnecessarily duplicate research currently, previously, or imminently undertaken by other electrical or gas corporations or research organizations. </w:t>
      </w:r>
    </w:p>
    <w:p w:rsidRPr="00391600" w:rsidR="00BD4655" w:rsidP="00BD4655" w:rsidRDefault="00BD4655" w14:paraId="0568F622" w14:textId="77777777">
      <w:pPr>
        <w:pStyle w:val="ListParagraph"/>
        <w:numPr>
          <w:ilvl w:val="0"/>
          <w:numId w:val="6"/>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Each project should also support one or more of the following objectives:</w:t>
      </w:r>
    </w:p>
    <w:p w:rsidRPr="00391600" w:rsidR="00BD4655" w:rsidP="00BD4655" w:rsidRDefault="00BD4655" w14:paraId="26B72110"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lastRenderedPageBreak/>
        <w:t>Environmental improvement.</w:t>
      </w:r>
    </w:p>
    <w:p w:rsidRPr="00391600" w:rsidR="00BD4655" w:rsidP="00BD4655" w:rsidRDefault="00BD4655" w14:paraId="5A7C2AD1"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Public and employee safety.</w:t>
      </w:r>
    </w:p>
    <w:p w:rsidRPr="00391600" w:rsidR="00BD4655" w:rsidP="00BD4655" w:rsidRDefault="00BD4655" w14:paraId="6883831E"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Conservation by efficient resource use or by reducing or shifting system load.</w:t>
      </w:r>
    </w:p>
    <w:p w:rsidRPr="00391600" w:rsidR="00BD4655" w:rsidP="00BD4655" w:rsidRDefault="00BD4655" w14:paraId="184A0505" w14:textId="77777777">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Development of new resources and processes, particularly renewable resources and processes which further supply technologies.</w:t>
      </w:r>
    </w:p>
    <w:p w:rsidRPr="00391600" w:rsidR="00BD4655" w:rsidP="008C7B92" w:rsidRDefault="00BD4655" w14:paraId="3121B375" w14:textId="030B8B31">
      <w:pPr>
        <w:pStyle w:val="ListParagraph"/>
        <w:numPr>
          <w:ilvl w:val="0"/>
          <w:numId w:val="7"/>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Improve operating efficiency and reliability or otherwise reduce operating costs.</w:t>
      </w:r>
      <w:r w:rsidRPr="00391600">
        <w:rPr>
          <w:rStyle w:val="FootnoteReference"/>
          <w:rFonts w:ascii="Palatino Linotype" w:hAnsi="Palatino Linotype" w:eastAsia="Palatino Linotype" w:cs="Times New Roman"/>
          <w:i/>
          <w:iCs/>
          <w:color w:val="000000" w:themeColor="text1"/>
          <w:kern w:val="0"/>
          <w14:ligatures w14:val="none"/>
        </w:rPr>
        <w:footnoteReference w:id="15"/>
      </w:r>
      <w:r w:rsidRPr="00391600">
        <w:rPr>
          <w:rFonts w:ascii="Palatino Linotype" w:hAnsi="Palatino Linotype" w:eastAsia="Palatino Linotype" w:cs="Times New Roman"/>
          <w:i/>
          <w:iCs/>
          <w:color w:val="000000" w:themeColor="text1"/>
          <w:kern w:val="0"/>
          <w14:ligatures w14:val="none"/>
        </w:rPr>
        <w:t xml:space="preserve"> </w:t>
      </w:r>
    </w:p>
    <w:p w:rsidRPr="00391600" w:rsidR="00C766CC" w:rsidP="00C766CC" w:rsidRDefault="00B65AF1" w14:paraId="6B0525FE" w14:textId="626CD7B9">
      <w:pPr>
        <w:keepNext/>
        <w:spacing w:before="240"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bCs/>
          <w:color w:val="000000" w:themeColor="text1"/>
          <w:kern w:val="0"/>
          <w14:ligatures w14:val="none"/>
        </w:rPr>
        <w:t xml:space="preserve">In D.04-08-010, the CPUC </w:t>
      </w:r>
      <w:r w:rsidRPr="00391600" w:rsidR="00C766CC">
        <w:rPr>
          <w:rFonts w:ascii="Palatino Linotype" w:hAnsi="Palatino Linotype" w:eastAsia="Palatino Linotype" w:cs="Times New Roman"/>
          <w:bCs/>
          <w:color w:val="000000" w:themeColor="text1"/>
          <w:kern w:val="0"/>
          <w14:ligatures w14:val="none"/>
        </w:rPr>
        <w:t>set</w:t>
      </w:r>
      <w:r w:rsidRPr="00391600">
        <w:rPr>
          <w:rFonts w:ascii="Palatino Linotype" w:hAnsi="Palatino Linotype" w:eastAsia="Palatino Linotype" w:cs="Times New Roman"/>
          <w:bCs/>
          <w:color w:val="000000" w:themeColor="text1"/>
          <w:kern w:val="0"/>
          <w14:ligatures w14:val="none"/>
        </w:rPr>
        <w:t xml:space="preserve"> </w:t>
      </w:r>
      <w:r w:rsidRPr="00391600" w:rsidR="00C766CC">
        <w:rPr>
          <w:rFonts w:ascii="Palatino Linotype" w:hAnsi="Palatino Linotype" w:eastAsia="Palatino Linotype" w:cs="Times New Roman"/>
          <w:bCs/>
          <w:color w:val="000000" w:themeColor="text1"/>
          <w:kern w:val="0"/>
          <w14:ligatures w14:val="none"/>
        </w:rPr>
        <w:t xml:space="preserve">the following additional criteria for approved Gas R&amp;D projects: </w:t>
      </w:r>
    </w:p>
    <w:p w:rsidRPr="00391600" w:rsidR="00C766CC" w:rsidP="00C766CC" w:rsidRDefault="00C766CC" w14:paraId="3F8F81ED"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Focus on energy efficiency, renewable technologies, conservation and environmental issues,</w:t>
      </w:r>
      <w:r w:rsidRPr="00391600">
        <w:rPr>
          <w:rStyle w:val="FootnoteReference"/>
          <w:rFonts w:ascii="Palatino Linotype" w:hAnsi="Palatino Linotype" w:eastAsia="Palatino Linotype" w:cs="Times New Roman"/>
          <w:color w:val="000000" w:themeColor="text1"/>
          <w:kern w:val="0"/>
          <w14:ligatures w14:val="none"/>
        </w:rPr>
        <w:footnoteReference w:id="16"/>
      </w:r>
      <w:r w:rsidRPr="00391600">
        <w:rPr>
          <w:rFonts w:ascii="Palatino Linotype" w:hAnsi="Palatino Linotype" w:eastAsia="Palatino Linotype" w:cs="Times New Roman"/>
          <w:color w:val="000000" w:themeColor="text1"/>
          <w:kern w:val="0"/>
          <w14:ligatures w14:val="none"/>
        </w:rPr>
        <w:t xml:space="preserve"> </w:t>
      </w:r>
    </w:p>
    <w:p w:rsidRPr="00391600" w:rsidR="00C766CC" w:rsidP="00C766CC" w:rsidRDefault="00C766CC" w14:paraId="7F78364A"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bCs/>
          <w:color w:val="000000" w:themeColor="text1"/>
          <w:kern w:val="0"/>
          <w14:ligatures w14:val="none"/>
        </w:rPr>
        <w:t xml:space="preserve">Support State Energy policy, </w:t>
      </w:r>
    </w:p>
    <w:p w:rsidRPr="00391600" w:rsidR="00C766CC" w:rsidP="00C766CC" w:rsidRDefault="00C766CC" w14:paraId="41C7A2E1" w14:textId="77777777">
      <w:pPr>
        <w:pStyle w:val="ListParagraph"/>
        <w:numPr>
          <w:ilvl w:val="0"/>
          <w:numId w:val="8"/>
        </w:num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Offer a reasonable probability of providing benefits to the </w:t>
      </w:r>
      <w:proofErr w:type="gramStart"/>
      <w:r w:rsidRPr="00391600">
        <w:rPr>
          <w:rFonts w:ascii="Palatino Linotype" w:hAnsi="Palatino Linotype" w:eastAsia="Palatino Linotype" w:cs="Times New Roman"/>
          <w:color w:val="000000" w:themeColor="text1"/>
          <w:kern w:val="0"/>
          <w14:ligatures w14:val="none"/>
        </w:rPr>
        <w:t>general public</w:t>
      </w:r>
      <w:proofErr w:type="gramEnd"/>
      <w:r w:rsidRPr="00391600">
        <w:rPr>
          <w:rFonts w:ascii="Palatino Linotype" w:hAnsi="Palatino Linotype" w:eastAsia="Palatino Linotype" w:cs="Times New Roman"/>
          <w:color w:val="000000" w:themeColor="text1"/>
          <w:kern w:val="0"/>
          <w14:ligatures w14:val="none"/>
        </w:rPr>
        <w:t>,</w:t>
      </w:r>
      <w:r w:rsidRPr="00391600">
        <w:rPr>
          <w:rStyle w:val="FootnoteReference"/>
          <w:rFonts w:ascii="Palatino Linotype" w:hAnsi="Palatino Linotype" w:eastAsia="Palatino Linotype" w:cs="Times New Roman"/>
          <w:color w:val="000000" w:themeColor="text1"/>
          <w:kern w:val="0"/>
          <w14:ligatures w14:val="none"/>
        </w:rPr>
        <w:footnoteReference w:id="17"/>
      </w:r>
      <w:r w:rsidRPr="00391600">
        <w:rPr>
          <w:rFonts w:ascii="Palatino Linotype" w:hAnsi="Palatino Linotype" w:eastAsia="Palatino Linotype" w:cs="Times New Roman"/>
          <w:color w:val="000000" w:themeColor="text1"/>
          <w:kern w:val="0"/>
          <w14:ligatures w14:val="none"/>
        </w:rPr>
        <w:t xml:space="preserve"> and </w:t>
      </w:r>
    </w:p>
    <w:p w:rsidRPr="00391600" w:rsidR="00C766CC" w:rsidP="00C766CC" w:rsidRDefault="00C766CC" w14:paraId="22C05E18" w14:textId="77777777">
      <w:pPr>
        <w:pStyle w:val="ListParagraph"/>
        <w:numPr>
          <w:ilvl w:val="0"/>
          <w:numId w:val="8"/>
        </w:num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Consider opportunities for collaboration and co-funding opportunities</w:t>
      </w:r>
      <w:r w:rsidRPr="00391600">
        <w:rPr>
          <w:rStyle w:val="FootnoteReference"/>
          <w:rFonts w:ascii="Palatino Linotype" w:hAnsi="Palatino Linotype" w:eastAsia="Palatino Linotype" w:cs="Times New Roman"/>
          <w:color w:val="000000" w:themeColor="text1"/>
          <w:kern w:val="0"/>
          <w14:ligatures w14:val="none"/>
        </w:rPr>
        <w:footnoteReference w:id="18"/>
      </w:r>
      <w:r w:rsidRPr="00391600">
        <w:rPr>
          <w:rFonts w:ascii="Palatino Linotype" w:hAnsi="Palatino Linotype" w:eastAsia="Palatino Linotype" w:cs="Times New Roman"/>
          <w:color w:val="000000" w:themeColor="text1"/>
          <w:kern w:val="0"/>
          <w14:ligatures w14:val="none"/>
        </w:rPr>
        <w:t xml:space="preserve"> with other entities.</w:t>
      </w:r>
      <w:r w:rsidRPr="00391600">
        <w:rPr>
          <w:rStyle w:val="FootnoteReference"/>
          <w:rFonts w:ascii="Palatino Linotype" w:hAnsi="Palatino Linotype" w:eastAsia="Palatino Linotype" w:cs="Times New Roman"/>
          <w:color w:val="000000" w:themeColor="text1"/>
          <w:kern w:val="0"/>
          <w14:ligatures w14:val="none"/>
        </w:rPr>
        <w:footnoteReference w:id="19"/>
      </w:r>
      <w:r w:rsidRPr="00391600">
        <w:rPr>
          <w:rFonts w:ascii="Palatino Linotype" w:hAnsi="Palatino Linotype" w:eastAsia="Palatino Linotype" w:cs="Times New Roman"/>
          <w:color w:val="000000" w:themeColor="text1"/>
          <w:kern w:val="0"/>
          <w14:ligatures w14:val="none"/>
        </w:rPr>
        <w:t xml:space="preserve"> </w:t>
      </w:r>
    </w:p>
    <w:p w:rsidRPr="00391600" w:rsidR="007C1ADD" w:rsidP="008C7B92" w:rsidRDefault="007C1ADD" w14:paraId="336457BF" w14:textId="77777777">
      <w:pPr>
        <w:keepNext/>
        <w:spacing w:after="0" w:line="276" w:lineRule="auto"/>
        <w:outlineLvl w:val="0"/>
        <w:rPr>
          <w:rFonts w:ascii="Palatino Linotype" w:hAnsi="Palatino Linotype" w:eastAsia="Palatino Linotype" w:cs="Times New Roman"/>
          <w:color w:val="000000" w:themeColor="text1"/>
        </w:rPr>
      </w:pPr>
    </w:p>
    <w:p w:rsidRPr="00391600" w:rsidR="007C1ADD" w:rsidP="00BA049B" w:rsidRDefault="007C1ADD" w14:paraId="7590643A" w14:textId="002B90ED">
      <w:pPr>
        <w:keepNext/>
        <w:spacing w:line="276" w:lineRule="auto"/>
        <w:outlineLvl w:val="0"/>
        <w:rPr>
          <w:rFonts w:ascii="Palatino Linotype" w:hAnsi="Palatino Linotype" w:eastAsia="Palatino Linotype" w:cs="Times New Roman"/>
          <w:color w:val="000000" w:themeColor="text1"/>
          <w:u w:val="single"/>
        </w:rPr>
      </w:pPr>
      <w:r w:rsidRPr="00391600">
        <w:rPr>
          <w:rFonts w:ascii="Palatino Linotype" w:hAnsi="Palatino Linotype" w:eastAsia="Palatino Linotype" w:cs="Times New Roman"/>
          <w:color w:val="000000" w:themeColor="text1"/>
          <w:u w:val="single"/>
        </w:rPr>
        <w:t>Gas RD&amp;D Program Budget</w:t>
      </w:r>
    </w:p>
    <w:p w:rsidRPr="00391600" w:rsidR="3F8DE55E" w:rsidP="00D064E4" w:rsidRDefault="00B00D19" w14:paraId="5063B647" w14:textId="507C2672">
      <w:pPr>
        <w:keepNext/>
        <w:spacing w:after="0" w:line="276" w:lineRule="auto"/>
        <w:outlineLvl w:val="0"/>
        <w:rPr>
          <w:rFonts w:ascii="Palatino Linotype" w:hAnsi="Palatino Linotype"/>
          <w:color w:val="000000" w:themeColor="text1"/>
        </w:rPr>
      </w:pPr>
      <w:r w:rsidRPr="00391600">
        <w:rPr>
          <w:rFonts w:ascii="Palatino Linotype" w:hAnsi="Palatino Linotype" w:eastAsia="Palatino Linotype" w:cs="Times New Roman"/>
          <w:color w:val="000000" w:themeColor="text1"/>
        </w:rPr>
        <w:t>T</w:t>
      </w:r>
      <w:r w:rsidRPr="00391600" w:rsidR="0082414B">
        <w:rPr>
          <w:rFonts w:ascii="Palatino Linotype" w:hAnsi="Palatino Linotype" w:eastAsia="Palatino Linotype" w:cs="Times New Roman"/>
          <w:color w:val="000000" w:themeColor="text1"/>
        </w:rPr>
        <w:t xml:space="preserve">he Commission capped </w:t>
      </w:r>
      <w:r w:rsidRPr="00391600" w:rsidR="00E0086A">
        <w:rPr>
          <w:rFonts w:ascii="Palatino Linotype" w:hAnsi="Palatino Linotype" w:eastAsia="Palatino Linotype" w:cs="Times New Roman"/>
          <w:color w:val="000000" w:themeColor="text1"/>
        </w:rPr>
        <w:t xml:space="preserve">CEC’s Gas RD&amp;D Program </w:t>
      </w:r>
      <w:r w:rsidRPr="00391600" w:rsidR="0082414B">
        <w:rPr>
          <w:rFonts w:ascii="Palatino Linotype" w:hAnsi="Palatino Linotype" w:eastAsia="Palatino Linotype" w:cs="Times New Roman"/>
          <w:color w:val="000000" w:themeColor="text1"/>
        </w:rPr>
        <w:t>budget</w:t>
      </w:r>
      <w:r w:rsidRPr="00391600" w:rsidR="00E0086A">
        <w:rPr>
          <w:rFonts w:ascii="Palatino Linotype" w:hAnsi="Palatino Linotype" w:eastAsia="Palatino Linotype" w:cs="Times New Roman"/>
          <w:color w:val="000000" w:themeColor="text1"/>
        </w:rPr>
        <w:t xml:space="preserve"> </w:t>
      </w:r>
      <w:r w:rsidRPr="00391600" w:rsidR="00E0086A">
        <w:rPr>
          <w:rFonts w:ascii="Palatino Linotype" w:hAnsi="Palatino Linotype"/>
          <w:color w:val="000000" w:themeColor="text1"/>
        </w:rPr>
        <w:t xml:space="preserve">at $24 million in annual funding, including all necessary administrative costs; the budget reached the maximum amount allowed in 2009 and has remained at this </w:t>
      </w:r>
      <w:r w:rsidRPr="00391600" w:rsidR="00EE60F9">
        <w:rPr>
          <w:rFonts w:ascii="Palatino Linotype" w:hAnsi="Palatino Linotype"/>
          <w:color w:val="000000" w:themeColor="text1"/>
        </w:rPr>
        <w:t xml:space="preserve">same </w:t>
      </w:r>
      <w:r w:rsidRPr="00391600" w:rsidR="00E0086A">
        <w:rPr>
          <w:rFonts w:ascii="Palatino Linotype" w:hAnsi="Palatino Linotype"/>
          <w:color w:val="000000" w:themeColor="text1"/>
        </w:rPr>
        <w:t>level to the present.</w:t>
      </w:r>
      <w:r w:rsidRPr="00391600" w:rsidR="00E0086A">
        <w:rPr>
          <w:rStyle w:val="FootnoteReference"/>
          <w:rFonts w:ascii="Palatino Linotype" w:hAnsi="Palatino Linotype"/>
          <w:color w:val="000000" w:themeColor="text1"/>
        </w:rPr>
        <w:footnoteReference w:id="20"/>
      </w:r>
      <w:r w:rsidRPr="00391600" w:rsidR="00E0086A">
        <w:rPr>
          <w:rFonts w:ascii="Palatino Linotype" w:hAnsi="Palatino Linotype"/>
          <w:color w:val="000000" w:themeColor="text1"/>
        </w:rPr>
        <w:t xml:space="preserve"> </w:t>
      </w:r>
      <w:r w:rsidRPr="00391600" w:rsidR="00CC68C2">
        <w:rPr>
          <w:rFonts w:ascii="Palatino Linotype" w:hAnsi="Palatino Linotype"/>
          <w:color w:val="000000" w:themeColor="text1"/>
        </w:rPr>
        <w:t>T</w:t>
      </w:r>
      <w:r w:rsidRPr="00391600" w:rsidR="00CC68C2">
        <w:rPr>
          <w:rFonts w:ascii="Palatino Linotype" w:hAnsi="Palatino Linotype" w:eastAsia="Palatino Linotype" w:cs="Times New Roman"/>
          <w:color w:val="000000" w:themeColor="text1"/>
        </w:rPr>
        <w:t>he Commission adopted a zero-based budget,</w:t>
      </w:r>
      <w:r w:rsidRPr="00391600" w:rsidR="00CC68C2">
        <w:rPr>
          <w:rStyle w:val="FootnoteReference"/>
          <w:rFonts w:ascii="Palatino Linotype" w:hAnsi="Palatino Linotype" w:eastAsia="Palatino Linotype" w:cs="Times New Roman"/>
          <w:color w:val="000000" w:themeColor="text1"/>
        </w:rPr>
        <w:footnoteReference w:id="21"/>
      </w:r>
      <w:r w:rsidRPr="00391600" w:rsidR="00CC68C2">
        <w:rPr>
          <w:rFonts w:ascii="Palatino Linotype" w:hAnsi="Palatino Linotype" w:eastAsia="Palatino Linotype" w:cs="Times New Roman"/>
          <w:color w:val="000000" w:themeColor="text1"/>
        </w:rPr>
        <w:t xml:space="preserve"> </w:t>
      </w:r>
      <w:r w:rsidRPr="00391600" w:rsidR="00E51C4D">
        <w:rPr>
          <w:rFonts w:ascii="Palatino Linotype" w:hAnsi="Palatino Linotype" w:eastAsia="Palatino Linotype" w:cs="Times New Roman"/>
          <w:color w:val="000000" w:themeColor="text1"/>
        </w:rPr>
        <w:t xml:space="preserve">for </w:t>
      </w:r>
      <w:r w:rsidRPr="00391600" w:rsidR="00CC68C2">
        <w:rPr>
          <w:rFonts w:ascii="Palatino Linotype" w:hAnsi="Palatino Linotype" w:eastAsia="Palatino Linotype" w:cs="Times New Roman"/>
          <w:color w:val="000000" w:themeColor="text1"/>
        </w:rPr>
        <w:t xml:space="preserve">which the Commission may approve </w:t>
      </w:r>
      <w:r w:rsidRPr="00391600" w:rsidR="00CC68C2">
        <w:rPr>
          <w:rFonts w:ascii="Palatino Linotype" w:hAnsi="Palatino Linotype" w:eastAsia="Palatino Linotype" w:cs="Times New Roman"/>
          <w:color w:val="000000" w:themeColor="text1"/>
        </w:rPr>
        <w:lastRenderedPageBreak/>
        <w:t>up to the</w:t>
      </w:r>
      <w:r w:rsidRPr="00391600" w:rsidR="004E7EBD">
        <w:rPr>
          <w:rFonts w:ascii="Palatino Linotype" w:hAnsi="Palatino Linotype" w:eastAsia="Palatino Linotype" w:cs="Times New Roman"/>
          <w:color w:val="000000" w:themeColor="text1"/>
        </w:rPr>
        <w:t xml:space="preserve"> $24</w:t>
      </w:r>
      <w:r w:rsidRPr="00391600" w:rsidR="00B51FF8">
        <w:rPr>
          <w:rFonts w:ascii="Palatino Linotype" w:hAnsi="Palatino Linotype" w:eastAsia="Palatino Linotype" w:cs="Times New Roman"/>
          <w:color w:val="000000" w:themeColor="text1"/>
        </w:rPr>
        <w:t xml:space="preserve"> million </w:t>
      </w:r>
      <w:r w:rsidRPr="00391600" w:rsidR="000A7AB5">
        <w:rPr>
          <w:rFonts w:ascii="Palatino Linotype" w:hAnsi="Palatino Linotype" w:eastAsia="Palatino Linotype" w:cs="Times New Roman"/>
          <w:color w:val="000000" w:themeColor="text1"/>
        </w:rPr>
        <w:t xml:space="preserve">budget cap </w:t>
      </w:r>
      <w:r w:rsidRPr="00391600" w:rsidR="00B51FF8">
        <w:rPr>
          <w:rFonts w:ascii="Palatino Linotype" w:hAnsi="Palatino Linotype" w:eastAsia="Palatino Linotype" w:cs="Times New Roman"/>
          <w:color w:val="000000" w:themeColor="text1"/>
        </w:rPr>
        <w:t xml:space="preserve">upon determination of the </w:t>
      </w:r>
      <w:r w:rsidRPr="00391600" w:rsidR="008C6486">
        <w:rPr>
          <w:rFonts w:ascii="Palatino Linotype" w:hAnsi="Palatino Linotype" w:eastAsia="Palatino Linotype" w:cs="Times New Roman"/>
          <w:color w:val="000000" w:themeColor="text1"/>
        </w:rPr>
        <w:t xml:space="preserve">eligibility of each </w:t>
      </w:r>
      <w:r w:rsidRPr="00391600" w:rsidR="008E1D34">
        <w:rPr>
          <w:rFonts w:ascii="Palatino Linotype" w:hAnsi="Palatino Linotype" w:eastAsia="Palatino Linotype" w:cs="Times New Roman"/>
          <w:color w:val="000000" w:themeColor="text1"/>
        </w:rPr>
        <w:t xml:space="preserve">individually </w:t>
      </w:r>
      <w:r w:rsidRPr="00391600" w:rsidR="008C6486">
        <w:rPr>
          <w:rFonts w:ascii="Palatino Linotype" w:hAnsi="Palatino Linotype" w:eastAsia="Palatino Linotype" w:cs="Times New Roman"/>
          <w:color w:val="000000" w:themeColor="text1"/>
        </w:rPr>
        <w:t xml:space="preserve">proposed budget allocation or Plan element, </w:t>
      </w:r>
      <w:r w:rsidRPr="00391600" w:rsidR="004B65DC">
        <w:rPr>
          <w:rFonts w:ascii="Palatino Linotype" w:hAnsi="Palatino Linotype" w:eastAsia="Palatino Linotype" w:cs="Times New Roman"/>
          <w:color w:val="000000" w:themeColor="text1"/>
        </w:rPr>
        <w:t>referred to as Initiatives.</w:t>
      </w:r>
      <w:r w:rsidRPr="00391600">
        <w:rPr>
          <w:rFonts w:ascii="Palatino Linotype" w:hAnsi="Palatino Linotype"/>
          <w:color w:val="000000" w:themeColor="text1"/>
        </w:rPr>
        <w:t xml:space="preserve"> </w:t>
      </w:r>
      <w:r w:rsidRPr="00391600" w:rsidR="006A069B">
        <w:rPr>
          <w:rFonts w:ascii="Palatino Linotype" w:hAnsi="Palatino Linotype"/>
          <w:color w:val="000000" w:themeColor="text1"/>
        </w:rPr>
        <w:t>The Commission</w:t>
      </w:r>
      <w:r w:rsidRPr="00391600" w:rsidR="00B3213B">
        <w:rPr>
          <w:rFonts w:ascii="Palatino Linotype" w:hAnsi="Palatino Linotype"/>
          <w:color w:val="000000" w:themeColor="text1"/>
        </w:rPr>
        <w:t xml:space="preserve"> adopted </w:t>
      </w:r>
      <w:r w:rsidRPr="00391600" w:rsidR="00D00C9D">
        <w:rPr>
          <w:rFonts w:ascii="Palatino Linotype" w:hAnsi="Palatino Linotype"/>
          <w:color w:val="000000" w:themeColor="text1"/>
        </w:rPr>
        <w:t xml:space="preserve">the </w:t>
      </w:r>
      <w:r w:rsidRPr="00391600" w:rsidR="006A069B">
        <w:rPr>
          <w:rFonts w:ascii="Palatino Linotype" w:hAnsi="Palatino Linotype"/>
          <w:color w:val="000000" w:themeColor="text1"/>
        </w:rPr>
        <w:t xml:space="preserve">zero-based </w:t>
      </w:r>
      <w:r w:rsidRPr="00391600" w:rsidR="000E089C">
        <w:rPr>
          <w:rFonts w:ascii="Palatino Linotype" w:hAnsi="Palatino Linotype"/>
          <w:color w:val="000000" w:themeColor="text1"/>
        </w:rPr>
        <w:t xml:space="preserve">method to approve Gas RD&amp;D Annual Plans via </w:t>
      </w:r>
      <w:r w:rsidRPr="00391600" w:rsidR="0056763F">
        <w:rPr>
          <w:rFonts w:ascii="Palatino Linotype" w:hAnsi="Palatino Linotype"/>
          <w:color w:val="000000" w:themeColor="text1"/>
        </w:rPr>
        <w:t>r</w:t>
      </w:r>
      <w:r w:rsidRPr="00391600" w:rsidR="000E089C">
        <w:rPr>
          <w:rFonts w:ascii="Palatino Linotype" w:hAnsi="Palatino Linotype"/>
          <w:color w:val="000000" w:themeColor="text1"/>
        </w:rPr>
        <w:t xml:space="preserve">esolution and inform </w:t>
      </w:r>
      <w:r w:rsidRPr="00391600" w:rsidR="006A069B">
        <w:rPr>
          <w:rFonts w:ascii="Palatino Linotype" w:hAnsi="Palatino Linotype"/>
          <w:color w:val="000000" w:themeColor="text1"/>
        </w:rPr>
        <w:t>utility surcharge rates and collections in the upcoming year.</w:t>
      </w:r>
      <w:r w:rsidRPr="00391600" w:rsidR="006A069B">
        <w:rPr>
          <w:rStyle w:val="FootnoteReference"/>
          <w:rFonts w:ascii="Palatino Linotype" w:hAnsi="Palatino Linotype"/>
          <w:color w:val="000000" w:themeColor="text1"/>
        </w:rPr>
        <w:footnoteReference w:id="22"/>
      </w:r>
      <w:r w:rsidRPr="00391600" w:rsidR="006A069B">
        <w:rPr>
          <w:rFonts w:ascii="Palatino Linotype" w:hAnsi="Palatino Linotype"/>
          <w:color w:val="000000" w:themeColor="text1"/>
        </w:rPr>
        <w:t xml:space="preserve"> </w:t>
      </w:r>
      <w:r w:rsidRPr="00391600">
        <w:rPr>
          <w:rFonts w:ascii="Palatino Linotype" w:hAnsi="Palatino Linotype" w:eastAsia="Palatino Linotype"/>
          <w:color w:val="000000" w:themeColor="text1"/>
        </w:rPr>
        <w:t xml:space="preserve">The CEC </w:t>
      </w:r>
      <w:r w:rsidRPr="00391600" w:rsidR="00E71E04">
        <w:rPr>
          <w:rFonts w:ascii="Palatino Linotype" w:hAnsi="Palatino Linotype" w:eastAsia="Palatino Linotype"/>
          <w:color w:val="000000" w:themeColor="text1"/>
        </w:rPr>
        <w:t>may</w:t>
      </w:r>
      <w:r w:rsidRPr="00391600" w:rsidR="00E64960">
        <w:rPr>
          <w:rFonts w:ascii="Palatino Linotype" w:hAnsi="Palatino Linotype" w:eastAsia="Palatino Linotype"/>
          <w:color w:val="000000" w:themeColor="text1"/>
        </w:rPr>
        <w:t xml:space="preserve"> </w:t>
      </w:r>
      <w:r w:rsidRPr="00391600">
        <w:rPr>
          <w:rFonts w:ascii="Palatino Linotype" w:hAnsi="Palatino Linotype" w:eastAsia="Palatino Linotype"/>
          <w:color w:val="000000" w:themeColor="text1"/>
        </w:rPr>
        <w:t xml:space="preserve">only request quarterly transfers from the </w:t>
      </w:r>
      <w:r w:rsidRPr="00391600" w:rsidR="00D720DA">
        <w:rPr>
          <w:rFonts w:ascii="Palatino Linotype" w:hAnsi="Palatino Linotype" w:eastAsia="Palatino Linotype"/>
          <w:color w:val="000000" w:themeColor="text1"/>
        </w:rPr>
        <w:t xml:space="preserve">CPUC’s </w:t>
      </w:r>
      <w:r w:rsidRPr="00391600" w:rsidR="00896B48">
        <w:rPr>
          <w:rFonts w:ascii="Palatino Linotype" w:hAnsi="Palatino Linotype"/>
          <w:color w:val="000000" w:themeColor="text1"/>
        </w:rPr>
        <w:t>Gas Consumption Surcharge Fund (CPUC’s Fund)</w:t>
      </w:r>
      <w:r w:rsidRPr="00391600">
        <w:rPr>
          <w:rFonts w:ascii="Palatino Linotype" w:hAnsi="Palatino Linotype" w:eastAsia="Palatino Linotype"/>
          <w:color w:val="000000" w:themeColor="text1"/>
        </w:rPr>
        <w:t xml:space="preserve"> consistent with </w:t>
      </w:r>
      <w:r w:rsidRPr="00391600">
        <w:rPr>
          <w:rFonts w:ascii="Palatino Linotype" w:hAnsi="Palatino Linotype"/>
          <w:color w:val="000000" w:themeColor="text1"/>
        </w:rPr>
        <w:t xml:space="preserve">the zero-based budget adopted via Commission </w:t>
      </w:r>
      <w:r w:rsidRPr="00391600" w:rsidR="0056763F">
        <w:rPr>
          <w:rFonts w:ascii="Palatino Linotype" w:hAnsi="Palatino Linotype"/>
          <w:color w:val="000000" w:themeColor="text1"/>
        </w:rPr>
        <w:t>r</w:t>
      </w:r>
      <w:r w:rsidRPr="00391600">
        <w:rPr>
          <w:rFonts w:ascii="Palatino Linotype" w:hAnsi="Palatino Linotype"/>
          <w:color w:val="000000" w:themeColor="text1"/>
        </w:rPr>
        <w:t xml:space="preserve">esolution </w:t>
      </w:r>
      <w:r w:rsidRPr="00391600">
        <w:rPr>
          <w:rFonts w:ascii="Palatino Linotype" w:hAnsi="Palatino Linotype" w:eastAsia="Palatino Linotype"/>
          <w:color w:val="000000" w:themeColor="text1"/>
        </w:rPr>
        <w:t>approving its Plans.</w:t>
      </w:r>
      <w:r w:rsidRPr="00391600">
        <w:rPr>
          <w:rStyle w:val="FootnoteReference"/>
          <w:rFonts w:ascii="Palatino Linotype" w:hAnsi="Palatino Linotype"/>
          <w:color w:val="000000" w:themeColor="text1"/>
        </w:rPr>
        <w:footnoteReference w:id="23"/>
      </w:r>
      <w:r w:rsidRPr="00391600">
        <w:rPr>
          <w:rFonts w:ascii="Palatino Linotype" w:hAnsi="Palatino Linotype" w:eastAsia="Palatino Linotype" w:cs="Times New Roman"/>
          <w:color w:val="000000" w:themeColor="text1"/>
        </w:rPr>
        <w:t xml:space="preserve"> </w:t>
      </w:r>
      <w:r w:rsidRPr="00391600" w:rsidR="00E432C6">
        <w:rPr>
          <w:rFonts w:ascii="Palatino Linotype" w:hAnsi="Palatino Linotype"/>
          <w:color w:val="000000" w:themeColor="text1"/>
        </w:rPr>
        <w:t xml:space="preserve">Disbursements from the </w:t>
      </w:r>
      <w:r w:rsidRPr="00391600" w:rsidR="002C0A8D">
        <w:rPr>
          <w:rFonts w:ascii="Palatino Linotype" w:hAnsi="Palatino Linotype"/>
          <w:color w:val="000000" w:themeColor="text1"/>
        </w:rPr>
        <w:t>CPUC’s</w:t>
      </w:r>
      <w:r w:rsidRPr="00391600" w:rsidR="00896B48">
        <w:rPr>
          <w:rFonts w:ascii="Palatino Linotype" w:hAnsi="Palatino Linotype"/>
          <w:color w:val="000000" w:themeColor="text1"/>
        </w:rPr>
        <w:t xml:space="preserve"> </w:t>
      </w:r>
      <w:r w:rsidRPr="00391600" w:rsidR="00E432C6">
        <w:rPr>
          <w:rFonts w:ascii="Palatino Linotype" w:hAnsi="Palatino Linotype"/>
          <w:color w:val="000000" w:themeColor="text1"/>
        </w:rPr>
        <w:t xml:space="preserve">Fund to the </w:t>
      </w:r>
      <w:r w:rsidRPr="00391600" w:rsidR="00BA049B">
        <w:rPr>
          <w:rFonts w:ascii="Palatino Linotype" w:hAnsi="Palatino Linotype"/>
          <w:color w:val="000000" w:themeColor="text1"/>
        </w:rPr>
        <w:t xml:space="preserve">Gas </w:t>
      </w:r>
      <w:r w:rsidRPr="00391600" w:rsidR="00E432C6">
        <w:rPr>
          <w:rFonts w:ascii="Palatino Linotype" w:hAnsi="Palatino Linotype"/>
          <w:color w:val="000000" w:themeColor="text1"/>
        </w:rPr>
        <w:t>R</w:t>
      </w:r>
      <w:r w:rsidRPr="00391600" w:rsidR="00BA049B">
        <w:rPr>
          <w:rFonts w:ascii="Palatino Linotype" w:hAnsi="Palatino Linotype"/>
          <w:color w:val="000000" w:themeColor="text1"/>
        </w:rPr>
        <w:t>D</w:t>
      </w:r>
      <w:r w:rsidRPr="00391600" w:rsidR="00E432C6">
        <w:rPr>
          <w:rFonts w:ascii="Palatino Linotype" w:hAnsi="Palatino Linotype"/>
          <w:color w:val="000000" w:themeColor="text1"/>
        </w:rPr>
        <w:t>&amp;D administrator</w:t>
      </w:r>
      <w:r w:rsidRPr="00391600" w:rsidR="00581F3F">
        <w:rPr>
          <w:rFonts w:ascii="Palatino Linotype" w:hAnsi="Palatino Linotype"/>
          <w:color w:val="000000" w:themeColor="text1"/>
        </w:rPr>
        <w:t>, designated as the CEC’s Public Interest RD&amp;D Fund,</w:t>
      </w:r>
      <w:r w:rsidRPr="00391600" w:rsidR="00E432C6">
        <w:rPr>
          <w:rFonts w:ascii="Palatino Linotype" w:hAnsi="Palatino Linotype"/>
          <w:color w:val="000000" w:themeColor="text1"/>
        </w:rPr>
        <w:t xml:space="preserve"> shall not exceed the zero-based budget</w:t>
      </w:r>
      <w:r w:rsidRPr="00391600" w:rsidR="00887E4C">
        <w:rPr>
          <w:rFonts w:ascii="Palatino Linotype" w:hAnsi="Palatino Linotype"/>
          <w:color w:val="000000" w:themeColor="text1"/>
        </w:rPr>
        <w:t xml:space="preserve"> adopted via </w:t>
      </w:r>
      <w:r w:rsidRPr="00391600" w:rsidR="0056763F">
        <w:rPr>
          <w:rFonts w:ascii="Palatino Linotype" w:hAnsi="Palatino Linotype"/>
          <w:color w:val="000000" w:themeColor="text1"/>
        </w:rPr>
        <w:t>r</w:t>
      </w:r>
      <w:r w:rsidRPr="00391600" w:rsidR="00887E4C">
        <w:rPr>
          <w:rFonts w:ascii="Palatino Linotype" w:hAnsi="Palatino Linotype"/>
          <w:color w:val="000000" w:themeColor="text1"/>
        </w:rPr>
        <w:t>esolution</w:t>
      </w:r>
      <w:r w:rsidRPr="00391600" w:rsidR="00E432C6">
        <w:rPr>
          <w:rFonts w:ascii="Palatino Linotype" w:hAnsi="Palatino Linotype"/>
          <w:color w:val="000000" w:themeColor="text1"/>
        </w:rPr>
        <w:t>.</w:t>
      </w:r>
      <w:r w:rsidRPr="00391600" w:rsidR="00E432C6">
        <w:rPr>
          <w:rStyle w:val="FootnoteReference"/>
          <w:rFonts w:ascii="Palatino Linotype" w:hAnsi="Palatino Linotype"/>
          <w:color w:val="000000" w:themeColor="text1"/>
        </w:rPr>
        <w:footnoteReference w:id="24"/>
      </w:r>
    </w:p>
    <w:p w:rsidRPr="00391600" w:rsidR="00903F53" w:rsidP="00903F53" w:rsidRDefault="00903F53" w14:paraId="77723E6E" w14:textId="5789A3D8">
      <w:pPr>
        <w:spacing w:after="0" w:line="276" w:lineRule="auto"/>
        <w:rPr>
          <w:rFonts w:ascii="Palatino Linotype" w:hAnsi="Palatino Linotype" w:eastAsia="Palatino Linotype" w:cs="Times New Roman"/>
          <w:bCs/>
          <w:color w:val="000000" w:themeColor="text1"/>
          <w:kern w:val="0"/>
          <w14:ligatures w14:val="none"/>
        </w:rPr>
      </w:pPr>
    </w:p>
    <w:p w:rsidRPr="00391600" w:rsidR="00825FB0" w:rsidP="00C470C3" w:rsidRDefault="00825FB0" w14:paraId="72B19E94" w14:textId="1B692EDD">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 xml:space="preserve">CPUC Gas RD&amp;D </w:t>
      </w:r>
      <w:r w:rsidRPr="00391600" w:rsidR="0091138E">
        <w:rPr>
          <w:rFonts w:ascii="Palatino Linotype" w:hAnsi="Palatino Linotype" w:eastAsia="Palatino Linotype" w:cs="Times New Roman"/>
          <w:bCs/>
          <w:color w:val="000000" w:themeColor="text1"/>
          <w:kern w:val="0"/>
          <w:u w:val="single"/>
          <w14:ligatures w14:val="none"/>
        </w:rPr>
        <w:t xml:space="preserve">Program </w:t>
      </w:r>
      <w:r w:rsidRPr="00391600">
        <w:rPr>
          <w:rFonts w:ascii="Palatino Linotype" w:hAnsi="Palatino Linotype" w:eastAsia="Palatino Linotype" w:cs="Times New Roman"/>
          <w:bCs/>
          <w:color w:val="000000" w:themeColor="text1"/>
          <w:kern w:val="0"/>
          <w:u w:val="single"/>
          <w14:ligatures w14:val="none"/>
        </w:rPr>
        <w:t>Requirements</w:t>
      </w:r>
      <w:r w:rsidRPr="00391600" w:rsidR="0091138E">
        <w:rPr>
          <w:rFonts w:ascii="Palatino Linotype" w:hAnsi="Palatino Linotype" w:eastAsia="Palatino Linotype" w:cs="Times New Roman"/>
          <w:bCs/>
          <w:color w:val="000000" w:themeColor="text1"/>
          <w:kern w:val="0"/>
          <w:u w:val="single"/>
          <w14:ligatures w14:val="none"/>
        </w:rPr>
        <w:t xml:space="preserve"> from Prior Resolutions</w:t>
      </w:r>
    </w:p>
    <w:p w:rsidRPr="00391600" w:rsidR="002E50BD" w:rsidP="6FAFEDE3" w:rsidRDefault="494CB7FB" w14:paraId="6607C479" w14:textId="69EAD7ED">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After adopting the </w:t>
      </w:r>
      <w:r w:rsidRPr="00391600" w:rsidR="00584A1A">
        <w:rPr>
          <w:rFonts w:ascii="Palatino Linotype" w:hAnsi="Palatino Linotype" w:eastAsia="Palatino Linotype" w:cs="Times New Roman"/>
          <w:color w:val="000000" w:themeColor="text1"/>
          <w:kern w:val="0"/>
          <w14:ligatures w14:val="none"/>
        </w:rPr>
        <w:t xml:space="preserve">Gas RD&amp;D </w:t>
      </w:r>
      <w:r w:rsidRPr="00391600">
        <w:rPr>
          <w:rFonts w:ascii="Palatino Linotype" w:hAnsi="Palatino Linotype" w:eastAsia="Palatino Linotype" w:cs="Times New Roman"/>
          <w:color w:val="000000" w:themeColor="text1"/>
          <w:kern w:val="0"/>
          <w14:ligatures w14:val="none"/>
        </w:rPr>
        <w:t xml:space="preserve">program via decision in 2004, </w:t>
      </w:r>
      <w:r w:rsidRPr="00391600" w:rsidR="071782BE">
        <w:rPr>
          <w:rFonts w:ascii="Palatino Linotype" w:hAnsi="Palatino Linotype" w:eastAsia="Palatino Linotype" w:cs="Times New Roman"/>
          <w:color w:val="000000" w:themeColor="text1"/>
        </w:rPr>
        <w:t>t</w:t>
      </w:r>
      <w:r w:rsidRPr="00391600" w:rsidR="00825FB0">
        <w:rPr>
          <w:rFonts w:ascii="Palatino Linotype" w:hAnsi="Palatino Linotype" w:eastAsia="Palatino Linotype" w:cs="Times New Roman"/>
          <w:color w:val="000000" w:themeColor="text1"/>
        </w:rPr>
        <w:t xml:space="preserve">he Commission  </w:t>
      </w:r>
      <w:r w:rsidRPr="00391600" w:rsidR="54842ED8">
        <w:rPr>
          <w:rFonts w:ascii="Palatino Linotype" w:hAnsi="Palatino Linotype" w:eastAsia="Palatino Linotype" w:cs="Times New Roman"/>
          <w:color w:val="000000" w:themeColor="text1"/>
        </w:rPr>
        <w:t xml:space="preserve">reiterated, clarified, or </w:t>
      </w:r>
      <w:r w:rsidRPr="00391600" w:rsidR="00A5537C">
        <w:rPr>
          <w:rFonts w:ascii="Palatino Linotype" w:hAnsi="Palatino Linotype" w:eastAsia="Palatino Linotype" w:cs="Times New Roman"/>
          <w:color w:val="000000" w:themeColor="text1"/>
        </w:rPr>
        <w:t xml:space="preserve">refined </w:t>
      </w:r>
      <w:r w:rsidRPr="00391600" w:rsidR="00E47BCC">
        <w:rPr>
          <w:rFonts w:ascii="Palatino Linotype" w:hAnsi="Palatino Linotype" w:eastAsia="Palatino Linotype" w:cs="Times New Roman"/>
          <w:color w:val="000000" w:themeColor="text1"/>
        </w:rPr>
        <w:t xml:space="preserve">requirements for CEC’s Gas RD&amp;D Program </w:t>
      </w:r>
      <w:r w:rsidRPr="00391600" w:rsidR="00EB2DDE">
        <w:rPr>
          <w:rFonts w:ascii="Palatino Linotype" w:hAnsi="Palatino Linotype" w:eastAsia="Palatino Linotype" w:cs="Times New Roman"/>
          <w:color w:val="000000" w:themeColor="text1"/>
        </w:rPr>
        <w:t xml:space="preserve">via </w:t>
      </w:r>
      <w:r w:rsidR="00864357">
        <w:rPr>
          <w:rFonts w:ascii="Palatino Linotype" w:hAnsi="Palatino Linotype" w:eastAsia="Palatino Linotype" w:cs="Times New Roman"/>
          <w:color w:val="000000" w:themeColor="text1"/>
        </w:rPr>
        <w:br/>
      </w:r>
      <w:r w:rsidRPr="00391600" w:rsidR="6B0F7B91">
        <w:rPr>
          <w:rFonts w:ascii="Palatino Linotype" w:hAnsi="Palatino Linotype" w:eastAsia="Palatino Linotype" w:cs="Times New Roman"/>
          <w:color w:val="000000" w:themeColor="text1"/>
        </w:rPr>
        <w:t xml:space="preserve">21 </w:t>
      </w:r>
      <w:r w:rsidRPr="00391600" w:rsidR="0056763F">
        <w:rPr>
          <w:rFonts w:ascii="Palatino Linotype" w:hAnsi="Palatino Linotype" w:eastAsia="Palatino Linotype" w:cs="Times New Roman"/>
          <w:color w:val="000000" w:themeColor="text1"/>
        </w:rPr>
        <w:t>r</w:t>
      </w:r>
      <w:r w:rsidRPr="00391600" w:rsidR="00EB2DDE">
        <w:rPr>
          <w:rFonts w:ascii="Palatino Linotype" w:hAnsi="Palatino Linotype" w:eastAsia="Palatino Linotype" w:cs="Times New Roman"/>
          <w:color w:val="000000" w:themeColor="text1"/>
        </w:rPr>
        <w:t xml:space="preserve">esolutions </w:t>
      </w:r>
      <w:r w:rsidRPr="00391600" w:rsidR="74B304A8">
        <w:rPr>
          <w:rFonts w:ascii="Palatino Linotype" w:hAnsi="Palatino Linotype" w:eastAsia="Palatino Linotype" w:cs="Times New Roman"/>
          <w:color w:val="000000" w:themeColor="text1"/>
        </w:rPr>
        <w:t>that each considered and</w:t>
      </w:r>
      <w:r w:rsidRPr="00391600" w:rsidR="46BC6E88">
        <w:rPr>
          <w:rFonts w:ascii="Palatino Linotype" w:hAnsi="Palatino Linotype" w:eastAsia="Palatino Linotype" w:cs="Times New Roman"/>
          <w:color w:val="000000" w:themeColor="text1"/>
        </w:rPr>
        <w:t xml:space="preserve"> </w:t>
      </w:r>
      <w:r w:rsidRPr="00391600" w:rsidR="00EB2DDE">
        <w:rPr>
          <w:rFonts w:ascii="Palatino Linotype" w:hAnsi="Palatino Linotype" w:eastAsia="Palatino Linotype" w:cs="Times New Roman"/>
          <w:color w:val="000000" w:themeColor="text1"/>
        </w:rPr>
        <w:t>approv</w:t>
      </w:r>
      <w:r w:rsidRPr="00391600" w:rsidR="506814AE">
        <w:rPr>
          <w:rFonts w:ascii="Palatino Linotype" w:hAnsi="Palatino Linotype" w:eastAsia="Palatino Linotype" w:cs="Times New Roman"/>
          <w:color w:val="000000" w:themeColor="text1"/>
        </w:rPr>
        <w:t>ed</w:t>
      </w:r>
      <w:r w:rsidRPr="00391600" w:rsidR="00EB2DDE">
        <w:rPr>
          <w:rFonts w:ascii="Palatino Linotype" w:hAnsi="Palatino Linotype" w:eastAsia="Palatino Linotype" w:cs="Times New Roman"/>
          <w:color w:val="000000" w:themeColor="text1"/>
        </w:rPr>
        <w:t xml:space="preserve"> </w:t>
      </w:r>
      <w:r w:rsidRPr="00391600" w:rsidR="00043617">
        <w:rPr>
          <w:rFonts w:ascii="Palatino Linotype" w:hAnsi="Palatino Linotype" w:eastAsia="Palatino Linotype" w:cs="Times New Roman"/>
          <w:color w:val="000000" w:themeColor="text1"/>
        </w:rPr>
        <w:t xml:space="preserve">the </w:t>
      </w:r>
      <w:r w:rsidRPr="00391600" w:rsidR="00EB2DDE">
        <w:rPr>
          <w:rFonts w:ascii="Palatino Linotype" w:hAnsi="Palatino Linotype" w:eastAsia="Palatino Linotype" w:cs="Times New Roman"/>
          <w:color w:val="000000" w:themeColor="text1"/>
        </w:rPr>
        <w:t>CEC’s Gas RD&amp;D Plans</w:t>
      </w:r>
      <w:r w:rsidRPr="00391600" w:rsidR="7A01A018">
        <w:rPr>
          <w:rFonts w:ascii="Palatino Linotype" w:hAnsi="Palatino Linotype" w:eastAsia="Palatino Linotype" w:cs="Times New Roman"/>
          <w:color w:val="000000" w:themeColor="text1"/>
        </w:rPr>
        <w:t xml:space="preserve"> and associated budgets</w:t>
      </w:r>
      <w:r w:rsidRPr="00391600" w:rsidR="00EB2DDE">
        <w:rPr>
          <w:rFonts w:ascii="Palatino Linotype" w:hAnsi="Palatino Linotype" w:eastAsia="Palatino Linotype" w:cs="Times New Roman"/>
          <w:color w:val="000000" w:themeColor="text1"/>
        </w:rPr>
        <w:t>,</w:t>
      </w:r>
      <w:r w:rsidRPr="00391600" w:rsidR="00D14E8D">
        <w:rPr>
          <w:rFonts w:ascii="Palatino Linotype" w:hAnsi="Palatino Linotype" w:eastAsia="Palatino Linotype" w:cs="Times New Roman"/>
          <w:color w:val="000000" w:themeColor="text1"/>
        </w:rPr>
        <w:t xml:space="preserve"> beginning </w:t>
      </w:r>
      <w:r w:rsidRPr="00391600" w:rsidR="0097167A">
        <w:rPr>
          <w:rFonts w:ascii="Palatino Linotype" w:hAnsi="Palatino Linotype" w:eastAsia="Palatino Linotype" w:cs="Times New Roman"/>
          <w:color w:val="000000" w:themeColor="text1"/>
        </w:rPr>
        <w:t>in 2004</w:t>
      </w:r>
      <w:r w:rsidRPr="00391600" w:rsidR="005F7743">
        <w:rPr>
          <w:rFonts w:ascii="Palatino Linotype" w:hAnsi="Palatino Linotype" w:eastAsia="Palatino Linotype" w:cs="Times New Roman"/>
          <w:color w:val="000000" w:themeColor="text1"/>
        </w:rPr>
        <w:t>.</w:t>
      </w:r>
      <w:r w:rsidRPr="00391600" w:rsidR="00825FB0">
        <w:rPr>
          <w:rStyle w:val="FootnoteReference"/>
          <w:rFonts w:ascii="Palatino Linotype" w:hAnsi="Palatino Linotype" w:eastAsia="Palatino Linotype" w:cs="Times New Roman"/>
          <w:color w:val="000000" w:themeColor="text1"/>
        </w:rPr>
        <w:footnoteReference w:id="25"/>
      </w:r>
      <w:r w:rsidRPr="00391600" w:rsidR="00850249">
        <w:rPr>
          <w:rFonts w:ascii="Palatino Linotype" w:hAnsi="Palatino Linotype" w:eastAsia="Palatino Linotype" w:cs="Times New Roman"/>
          <w:color w:val="000000" w:themeColor="text1"/>
        </w:rPr>
        <w:t xml:space="preserve"> All </w:t>
      </w:r>
      <w:r w:rsidRPr="00391600" w:rsidR="003A533C">
        <w:rPr>
          <w:rFonts w:ascii="Palatino Linotype" w:hAnsi="Palatino Linotype" w:eastAsia="Palatino Linotype" w:cs="Times New Roman"/>
          <w:color w:val="000000" w:themeColor="text1"/>
        </w:rPr>
        <w:t xml:space="preserve">applicable </w:t>
      </w:r>
      <w:r w:rsidRPr="00391600" w:rsidR="00850249">
        <w:rPr>
          <w:rFonts w:ascii="Palatino Linotype" w:hAnsi="Palatino Linotype" w:eastAsia="Palatino Linotype" w:cs="Times New Roman"/>
          <w:color w:val="000000" w:themeColor="text1"/>
        </w:rPr>
        <w:t xml:space="preserve">Commission requirements </w:t>
      </w:r>
      <w:r w:rsidRPr="00391600" w:rsidR="003A533C">
        <w:rPr>
          <w:rFonts w:ascii="Palatino Linotype" w:hAnsi="Palatino Linotype" w:eastAsia="Palatino Linotype" w:cs="Times New Roman"/>
          <w:color w:val="000000" w:themeColor="text1"/>
        </w:rPr>
        <w:t xml:space="preserve">set via </w:t>
      </w:r>
      <w:r w:rsidRPr="00391600" w:rsidR="0056763F">
        <w:rPr>
          <w:rFonts w:ascii="Palatino Linotype" w:hAnsi="Palatino Linotype" w:eastAsia="Palatino Linotype" w:cs="Times New Roman"/>
          <w:color w:val="000000" w:themeColor="text1"/>
        </w:rPr>
        <w:t>r</w:t>
      </w:r>
      <w:r w:rsidRPr="00391600" w:rsidR="003A533C">
        <w:rPr>
          <w:rFonts w:ascii="Palatino Linotype" w:hAnsi="Palatino Linotype" w:eastAsia="Palatino Linotype" w:cs="Times New Roman"/>
          <w:color w:val="000000" w:themeColor="text1"/>
        </w:rPr>
        <w:t>esolution</w:t>
      </w:r>
      <w:r w:rsidRPr="00391600" w:rsidR="00850249">
        <w:rPr>
          <w:rFonts w:ascii="Palatino Linotype" w:hAnsi="Palatino Linotype" w:eastAsia="Palatino Linotype" w:cs="Times New Roman"/>
          <w:color w:val="000000" w:themeColor="text1"/>
        </w:rPr>
        <w:t xml:space="preserve"> were</w:t>
      </w:r>
      <w:r w:rsidRPr="00391600" w:rsidR="7ACBFC9D">
        <w:rPr>
          <w:rFonts w:ascii="Palatino Linotype" w:hAnsi="Palatino Linotype" w:eastAsia="Palatino Linotype" w:cs="Times New Roman"/>
          <w:color w:val="000000" w:themeColor="text1"/>
        </w:rPr>
        <w:t xml:space="preserve"> adopted by the Commission in support of the program oversight process, and the 21 resolutions </w:t>
      </w:r>
      <w:r w:rsidRPr="00391600" w:rsidR="3FACBB5B">
        <w:rPr>
          <w:rFonts w:ascii="Palatino Linotype" w:hAnsi="Palatino Linotype" w:eastAsia="Palatino Linotype" w:cs="Times New Roman"/>
          <w:color w:val="000000" w:themeColor="text1"/>
        </w:rPr>
        <w:t xml:space="preserve">were </w:t>
      </w:r>
      <w:r w:rsidRPr="00391600" w:rsidR="00850249">
        <w:rPr>
          <w:rFonts w:ascii="Palatino Linotype" w:hAnsi="Palatino Linotype" w:eastAsia="Palatino Linotype" w:cs="Times New Roman"/>
          <w:color w:val="000000" w:themeColor="text1"/>
        </w:rPr>
        <w:t xml:space="preserve">reviewed </w:t>
      </w:r>
      <w:r w:rsidRPr="00391600" w:rsidR="245702D4">
        <w:rPr>
          <w:rFonts w:ascii="Palatino Linotype" w:hAnsi="Palatino Linotype" w:eastAsia="Palatino Linotype" w:cs="Times New Roman"/>
          <w:color w:val="000000" w:themeColor="text1"/>
        </w:rPr>
        <w:t xml:space="preserve">in advance of this </w:t>
      </w:r>
      <w:r w:rsidRPr="00391600" w:rsidR="00467A53">
        <w:rPr>
          <w:rFonts w:ascii="Palatino Linotype" w:hAnsi="Palatino Linotype" w:eastAsia="Palatino Linotype" w:cs="Times New Roman"/>
          <w:color w:val="000000" w:themeColor="text1"/>
        </w:rPr>
        <w:t>R</w:t>
      </w:r>
      <w:r w:rsidRPr="00391600" w:rsidR="245702D4">
        <w:rPr>
          <w:rFonts w:ascii="Palatino Linotype" w:hAnsi="Palatino Linotype" w:eastAsia="Palatino Linotype" w:cs="Times New Roman"/>
          <w:color w:val="000000" w:themeColor="text1"/>
        </w:rPr>
        <w:t xml:space="preserve">esolution </w:t>
      </w:r>
      <w:r w:rsidRPr="00391600" w:rsidR="00850249">
        <w:rPr>
          <w:rFonts w:ascii="Palatino Linotype" w:hAnsi="Palatino Linotype" w:eastAsia="Palatino Linotype" w:cs="Times New Roman"/>
          <w:color w:val="000000" w:themeColor="text1"/>
        </w:rPr>
        <w:t xml:space="preserve">to identify </w:t>
      </w:r>
      <w:r w:rsidRPr="00391600" w:rsidR="003A533C">
        <w:rPr>
          <w:rFonts w:ascii="Palatino Linotype" w:hAnsi="Palatino Linotype" w:eastAsia="Palatino Linotype" w:cs="Times New Roman"/>
          <w:color w:val="000000" w:themeColor="text1"/>
        </w:rPr>
        <w:t xml:space="preserve">key </w:t>
      </w:r>
      <w:r w:rsidRPr="00391600" w:rsidR="00850249">
        <w:rPr>
          <w:rFonts w:ascii="Palatino Linotype" w:hAnsi="Palatino Linotype" w:eastAsia="Palatino Linotype" w:cs="Times New Roman"/>
          <w:color w:val="000000" w:themeColor="text1"/>
        </w:rPr>
        <w:t xml:space="preserve">orders for the Commission’s </w:t>
      </w:r>
      <w:r w:rsidRPr="00391600" w:rsidR="00265F95">
        <w:rPr>
          <w:rFonts w:ascii="Palatino Linotype" w:hAnsi="Palatino Linotype" w:eastAsia="Palatino Linotype" w:cs="Times New Roman"/>
          <w:color w:val="000000" w:themeColor="text1"/>
        </w:rPr>
        <w:t>evaluation</w:t>
      </w:r>
      <w:r w:rsidRPr="00391600" w:rsidR="00850249">
        <w:rPr>
          <w:rFonts w:ascii="Palatino Linotype" w:hAnsi="Palatino Linotype" w:eastAsia="Palatino Linotype" w:cs="Times New Roman"/>
          <w:color w:val="000000" w:themeColor="text1"/>
        </w:rPr>
        <w:t xml:space="preserve"> of </w:t>
      </w:r>
      <w:r w:rsidRPr="00391600" w:rsidR="00220364">
        <w:rPr>
          <w:rFonts w:ascii="Palatino Linotype" w:hAnsi="Palatino Linotype" w:eastAsia="Palatino Linotype" w:cs="Times New Roman"/>
          <w:color w:val="000000" w:themeColor="text1"/>
        </w:rPr>
        <w:t xml:space="preserve">CEC’s proposed </w:t>
      </w:r>
      <w:r w:rsidRPr="00391600" w:rsidR="00850249">
        <w:rPr>
          <w:rFonts w:ascii="Palatino Linotype" w:hAnsi="Palatino Linotype" w:eastAsia="Palatino Linotype" w:cs="Times New Roman"/>
          <w:color w:val="000000" w:themeColor="text1"/>
        </w:rPr>
        <w:t>Plans</w:t>
      </w:r>
      <w:r w:rsidRPr="00391600" w:rsidR="00521CDB">
        <w:rPr>
          <w:rFonts w:ascii="Palatino Linotype" w:hAnsi="Palatino Linotype" w:eastAsia="Palatino Linotype" w:cs="Times New Roman"/>
          <w:color w:val="000000" w:themeColor="text1"/>
        </w:rPr>
        <w:t xml:space="preserve">, detailed in </w:t>
      </w:r>
      <w:r w:rsidRPr="00391600" w:rsidR="00521CDB">
        <w:rPr>
          <w:rFonts w:ascii="Palatino Linotype" w:hAnsi="Palatino Linotype" w:eastAsia="Palatino Linotype" w:cs="Times New Roman"/>
          <w:i/>
          <w:iCs/>
          <w:color w:val="000000" w:themeColor="text1"/>
        </w:rPr>
        <w:t xml:space="preserve">Appendix </w:t>
      </w:r>
      <w:r w:rsidRPr="00391600" w:rsidR="000E0EBD">
        <w:rPr>
          <w:rFonts w:ascii="Palatino Linotype" w:hAnsi="Palatino Linotype" w:eastAsia="Palatino Linotype" w:cs="Times New Roman"/>
          <w:i/>
          <w:iCs/>
          <w:color w:val="000000" w:themeColor="text1"/>
        </w:rPr>
        <w:t>A</w:t>
      </w:r>
      <w:r w:rsidRPr="00391600" w:rsidR="00521CDB">
        <w:rPr>
          <w:rFonts w:ascii="Palatino Linotype" w:hAnsi="Palatino Linotype" w:eastAsia="Palatino Linotype" w:cs="Times New Roman"/>
          <w:i/>
          <w:iCs/>
          <w:color w:val="000000" w:themeColor="text1"/>
        </w:rPr>
        <w:t>: Key CPUC Gas RD&amp;D Resolution Requirements</w:t>
      </w:r>
      <w:r w:rsidRPr="00391600" w:rsidR="00521CDB">
        <w:rPr>
          <w:rFonts w:ascii="Palatino Linotype" w:hAnsi="Palatino Linotype" w:eastAsia="Palatino Linotype" w:cs="Times New Roman"/>
          <w:color w:val="000000" w:themeColor="text1"/>
        </w:rPr>
        <w:t>.</w:t>
      </w:r>
    </w:p>
    <w:p w:rsidRPr="00391600" w:rsidR="00BF7423" w:rsidP="00D170A1" w:rsidRDefault="00BF7423" w14:paraId="26C4D962" w14:textId="77777777">
      <w:pPr>
        <w:spacing w:before="240" w:after="0"/>
        <w:rPr>
          <w:rFonts w:ascii="Palatino Linotype" w:hAnsi="Palatino Linotype"/>
          <w:color w:val="000000" w:themeColor="text1"/>
        </w:rPr>
      </w:pPr>
    </w:p>
    <w:p w:rsidRPr="00391600" w:rsidR="00081849" w:rsidP="003147DD" w:rsidRDefault="00587420" w14:paraId="0D0EC989" w14:textId="139AAFCA">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391600">
        <w:rPr>
          <w:rFonts w:ascii="Palatino Linotype" w:hAnsi="Palatino Linotype" w:eastAsia="Palatino Linotype" w:cs="Times New Roman"/>
          <w:b/>
          <w:color w:val="000000" w:themeColor="text1"/>
          <w:kern w:val="0"/>
          <w14:ligatures w14:val="none"/>
        </w:rPr>
        <w:t xml:space="preserve">CEC </w:t>
      </w:r>
      <w:r w:rsidRPr="00391600" w:rsidR="00817BB9">
        <w:rPr>
          <w:rFonts w:ascii="Palatino Linotype" w:hAnsi="Palatino Linotype" w:eastAsia="Palatino Linotype" w:cs="Times New Roman"/>
          <w:b/>
          <w:color w:val="000000" w:themeColor="text1"/>
          <w:kern w:val="0"/>
          <w14:ligatures w14:val="none"/>
        </w:rPr>
        <w:t xml:space="preserve">AL 12-G </w:t>
      </w:r>
      <w:r w:rsidRPr="00391600">
        <w:rPr>
          <w:rFonts w:ascii="Palatino Linotype" w:hAnsi="Palatino Linotype" w:eastAsia="Palatino Linotype" w:cs="Times New Roman"/>
          <w:b/>
          <w:color w:val="000000" w:themeColor="text1"/>
          <w:kern w:val="0"/>
          <w14:ligatures w14:val="none"/>
        </w:rPr>
        <w:t>Request</w:t>
      </w:r>
      <w:r w:rsidRPr="00391600" w:rsidR="00AC4ADB">
        <w:rPr>
          <w:rFonts w:ascii="Palatino Linotype" w:hAnsi="Palatino Linotype" w:eastAsia="Palatino Linotype" w:cs="Times New Roman"/>
          <w:b/>
          <w:color w:val="000000" w:themeColor="text1"/>
          <w:kern w:val="0"/>
          <w14:ligatures w14:val="none"/>
        </w:rPr>
        <w:t>s</w:t>
      </w:r>
      <w:r w:rsidRPr="00391600">
        <w:rPr>
          <w:rFonts w:ascii="Palatino Linotype" w:hAnsi="Palatino Linotype" w:eastAsia="Palatino Linotype" w:cs="Times New Roman"/>
          <w:b/>
          <w:color w:val="000000" w:themeColor="text1"/>
          <w:kern w:val="0"/>
          <w14:ligatures w14:val="none"/>
        </w:rPr>
        <w:t xml:space="preserve"> for 2024 </w:t>
      </w:r>
      <w:r w:rsidRPr="00391600" w:rsidR="00817BB9">
        <w:rPr>
          <w:rFonts w:ascii="Palatino Linotype" w:hAnsi="Palatino Linotype" w:eastAsia="Palatino Linotype" w:cs="Times New Roman"/>
          <w:b/>
          <w:color w:val="000000" w:themeColor="text1"/>
          <w:kern w:val="0"/>
          <w14:ligatures w14:val="none"/>
        </w:rPr>
        <w:t xml:space="preserve">Plan Approval </w:t>
      </w:r>
    </w:p>
    <w:p w:rsidRPr="00391600" w:rsidR="000B58AB" w:rsidP="6FAFEDE3" w:rsidRDefault="000E0565" w14:paraId="763EFF36" w14:textId="3688748F">
      <w:pPr>
        <w:keepNext/>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kern w:val="0"/>
          <w14:ligatures w14:val="none"/>
        </w:rPr>
        <w:t xml:space="preserve">The </w:t>
      </w:r>
      <w:r w:rsidRPr="00391600" w:rsidR="00DA4E4C">
        <w:rPr>
          <w:rFonts w:ascii="Palatino Linotype" w:hAnsi="Palatino Linotype" w:eastAsia="Palatino Linotype" w:cs="Times New Roman"/>
          <w:color w:val="000000" w:themeColor="text1"/>
          <w:kern w:val="0"/>
          <w14:ligatures w14:val="none"/>
        </w:rPr>
        <w:t xml:space="preserve">CEC </w:t>
      </w:r>
      <w:r w:rsidRPr="00391600" w:rsidR="00DA4E4C">
        <w:rPr>
          <w:rFonts w:ascii="Palatino Linotype" w:hAnsi="Palatino Linotype" w:eastAsia="Palatino Linotype" w:cs="Times New Roman"/>
          <w:color w:val="000000" w:themeColor="text1"/>
        </w:rPr>
        <w:t xml:space="preserve">submitted its proposed 2024 Plan via Tier 3 </w:t>
      </w:r>
      <w:r w:rsidRPr="00391600" w:rsidR="00CE367F">
        <w:rPr>
          <w:rFonts w:ascii="Palatino Linotype" w:hAnsi="Palatino Linotype" w:eastAsia="Palatino Linotype" w:cs="Times New Roman"/>
          <w:color w:val="000000" w:themeColor="text1"/>
          <w:kern w:val="0"/>
          <w14:ligatures w14:val="none"/>
        </w:rPr>
        <w:t xml:space="preserve">CEC </w:t>
      </w:r>
      <w:r w:rsidRPr="00391600" w:rsidR="00DA4E4C">
        <w:rPr>
          <w:rFonts w:ascii="Palatino Linotype" w:hAnsi="Palatino Linotype" w:eastAsia="Palatino Linotype" w:cs="Times New Roman"/>
          <w:color w:val="000000" w:themeColor="text1"/>
          <w:kern w:val="0"/>
          <w14:ligatures w14:val="none"/>
        </w:rPr>
        <w:t>AL 6-G on March 27, 2024</w:t>
      </w:r>
      <w:r w:rsidRPr="00391600" w:rsidR="002F71EF">
        <w:rPr>
          <w:rFonts w:ascii="Palatino Linotype" w:hAnsi="Palatino Linotype" w:eastAsia="Palatino Linotype" w:cs="Times New Roman"/>
          <w:color w:val="000000" w:themeColor="text1"/>
          <w:kern w:val="0"/>
          <w14:ligatures w14:val="none"/>
        </w:rPr>
        <w:t>.</w:t>
      </w:r>
      <w:r w:rsidRPr="00391600" w:rsidR="002956D8">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2956D8">
        <w:rPr>
          <w:rFonts w:ascii="Palatino Linotype" w:hAnsi="Palatino Linotype" w:eastAsia="Palatino Linotype" w:cs="Times New Roman"/>
          <w:color w:val="000000" w:themeColor="text1"/>
          <w:kern w:val="0"/>
          <w14:ligatures w14:val="none"/>
        </w:rPr>
        <w:t>CEC</w:t>
      </w:r>
      <w:r w:rsidRPr="00391600" w:rsidR="00DA4E4C">
        <w:rPr>
          <w:rFonts w:ascii="Palatino Linotype" w:hAnsi="Palatino Linotype" w:eastAsia="Palatino Linotype" w:cs="Times New Roman"/>
          <w:color w:val="000000" w:themeColor="text1"/>
          <w:kern w:val="0"/>
          <w14:ligatures w14:val="none"/>
        </w:rPr>
        <w:t xml:space="preserve"> replaced </w:t>
      </w:r>
      <w:r w:rsidRPr="00391600" w:rsidR="002956D8">
        <w:rPr>
          <w:rFonts w:ascii="Palatino Linotype" w:hAnsi="Palatino Linotype" w:eastAsia="Palatino Linotype" w:cs="Times New Roman"/>
          <w:color w:val="000000" w:themeColor="text1"/>
          <w:kern w:val="0"/>
          <w14:ligatures w14:val="none"/>
        </w:rPr>
        <w:t>AL 6-G with</w:t>
      </w:r>
      <w:r w:rsidRPr="00391600" w:rsidR="00DA4E4C">
        <w:rPr>
          <w:rFonts w:ascii="Palatino Linotype" w:hAnsi="Palatino Linotype" w:eastAsia="Palatino Linotype" w:cs="Times New Roman"/>
          <w:color w:val="000000" w:themeColor="text1"/>
          <w:kern w:val="0"/>
          <w14:ligatures w14:val="none"/>
        </w:rPr>
        <w:t xml:space="preserve"> </w:t>
      </w:r>
      <w:r w:rsidRPr="00391600" w:rsidR="00E164C3">
        <w:rPr>
          <w:rFonts w:ascii="Palatino Linotype" w:hAnsi="Palatino Linotype" w:eastAsia="Palatino Linotype" w:cs="Times New Roman"/>
          <w:color w:val="000000" w:themeColor="text1"/>
          <w:kern w:val="0"/>
          <w14:ligatures w14:val="none"/>
        </w:rPr>
        <w:t>a</w:t>
      </w:r>
      <w:r w:rsidRPr="00391600" w:rsidR="00DA4E4C">
        <w:rPr>
          <w:rFonts w:ascii="Palatino Linotype" w:hAnsi="Palatino Linotype" w:eastAsia="Palatino Linotype" w:cs="Times New Roman"/>
          <w:color w:val="000000" w:themeColor="text1"/>
          <w:kern w:val="0"/>
          <w14:ligatures w14:val="none"/>
        </w:rPr>
        <w:t xml:space="preserve"> supplement </w:t>
      </w:r>
      <w:r w:rsidRPr="00391600" w:rsidR="00E164C3">
        <w:rPr>
          <w:rFonts w:ascii="Palatino Linotype" w:hAnsi="Palatino Linotype" w:eastAsia="Palatino Linotype" w:cs="Times New Roman"/>
          <w:color w:val="000000" w:themeColor="text1"/>
          <w:kern w:val="0"/>
          <w14:ligatures w14:val="none"/>
        </w:rPr>
        <w:t>(</w:t>
      </w:r>
      <w:r w:rsidRPr="00391600" w:rsidR="00DA4E4C">
        <w:rPr>
          <w:rFonts w:ascii="Palatino Linotype" w:hAnsi="Palatino Linotype" w:eastAsia="Palatino Linotype" w:cs="Times New Roman"/>
          <w:color w:val="000000" w:themeColor="text1"/>
          <w:kern w:val="0"/>
          <w14:ligatures w14:val="none"/>
        </w:rPr>
        <w:t>AL 6-G-A</w:t>
      </w:r>
      <w:r w:rsidRPr="00391600" w:rsidR="00E164C3">
        <w:rPr>
          <w:rFonts w:ascii="Palatino Linotype" w:hAnsi="Palatino Linotype" w:eastAsia="Palatino Linotype" w:cs="Times New Roman"/>
          <w:color w:val="000000" w:themeColor="text1"/>
          <w:kern w:val="0"/>
          <w14:ligatures w14:val="none"/>
        </w:rPr>
        <w:t>)</w:t>
      </w:r>
      <w:r w:rsidRPr="00391600" w:rsidR="00DA4E4C">
        <w:rPr>
          <w:rFonts w:ascii="Palatino Linotype" w:hAnsi="Palatino Linotype" w:eastAsia="Palatino Linotype" w:cs="Times New Roman"/>
          <w:color w:val="000000" w:themeColor="text1"/>
          <w:kern w:val="0"/>
          <w14:ligatures w14:val="none"/>
        </w:rPr>
        <w:t xml:space="preserve"> on November 7, 2024. </w:t>
      </w:r>
      <w:r w:rsidRPr="00391600">
        <w:rPr>
          <w:rFonts w:ascii="Palatino Linotype" w:hAnsi="Palatino Linotype" w:eastAsia="Palatino Linotype" w:cs="Times New Roman"/>
          <w:color w:val="000000" w:themeColor="text1"/>
          <w:kern w:val="0"/>
          <w14:ligatures w14:val="none"/>
        </w:rPr>
        <w:t xml:space="preserve">The </w:t>
      </w:r>
      <w:r w:rsidRPr="00391600" w:rsidR="00FC058F">
        <w:rPr>
          <w:rFonts w:ascii="Palatino Linotype" w:hAnsi="Palatino Linotype" w:eastAsia="Palatino Linotype" w:cs="Times New Roman"/>
          <w:color w:val="000000" w:themeColor="text1"/>
          <w:kern w:val="0"/>
          <w14:ligatures w14:val="none"/>
        </w:rPr>
        <w:t xml:space="preserve">CEC withdrew </w:t>
      </w:r>
      <w:r w:rsidRPr="00391600" w:rsidR="00CE367F">
        <w:rPr>
          <w:rFonts w:ascii="Palatino Linotype" w:hAnsi="Palatino Linotype" w:eastAsia="Palatino Linotype" w:cs="Times New Roman"/>
          <w:color w:val="000000" w:themeColor="text1"/>
          <w:kern w:val="0"/>
          <w14:ligatures w14:val="none"/>
        </w:rPr>
        <w:t xml:space="preserve">CEC </w:t>
      </w:r>
      <w:r w:rsidRPr="00391600" w:rsidR="00DA4E4C">
        <w:rPr>
          <w:rFonts w:ascii="Palatino Linotype" w:hAnsi="Palatino Linotype" w:eastAsia="Palatino Linotype" w:cs="Times New Roman"/>
          <w:color w:val="000000" w:themeColor="text1"/>
          <w:kern w:val="0"/>
          <w14:ligatures w14:val="none"/>
        </w:rPr>
        <w:t xml:space="preserve">AL 6-G-A </w:t>
      </w:r>
      <w:r w:rsidRPr="00391600" w:rsidR="00E164C3">
        <w:rPr>
          <w:rFonts w:ascii="Palatino Linotype" w:hAnsi="Palatino Linotype" w:eastAsia="Palatino Linotype" w:cs="Times New Roman"/>
          <w:color w:val="000000" w:themeColor="text1"/>
          <w:kern w:val="0"/>
          <w14:ligatures w14:val="none"/>
        </w:rPr>
        <w:t xml:space="preserve">on </w:t>
      </w:r>
      <w:r w:rsidRPr="00391600" w:rsidR="00DA4E4C">
        <w:rPr>
          <w:rFonts w:ascii="Palatino Linotype" w:hAnsi="Palatino Linotype" w:eastAsia="Palatino Linotype" w:cs="Times New Roman"/>
          <w:color w:val="000000" w:themeColor="text1"/>
          <w:kern w:val="0"/>
          <w14:ligatures w14:val="none"/>
        </w:rPr>
        <w:t xml:space="preserve">February 13, 2025, </w:t>
      </w:r>
      <w:r w:rsidRPr="00391600" w:rsidR="00E164C3">
        <w:rPr>
          <w:rFonts w:ascii="Palatino Linotype" w:hAnsi="Palatino Linotype" w:eastAsia="Palatino Linotype" w:cs="Times New Roman"/>
          <w:color w:val="000000" w:themeColor="text1"/>
          <w:kern w:val="0"/>
          <w14:ligatures w14:val="none"/>
        </w:rPr>
        <w:t xml:space="preserve">after consultation with </w:t>
      </w:r>
      <w:r w:rsidRPr="00391600" w:rsidR="001B0D0E">
        <w:rPr>
          <w:rFonts w:ascii="Palatino Linotype" w:hAnsi="Palatino Linotype" w:eastAsia="Palatino Linotype" w:cs="Times New Roman"/>
          <w:color w:val="000000" w:themeColor="text1"/>
          <w:kern w:val="0"/>
          <w14:ligatures w14:val="none"/>
        </w:rPr>
        <w:t>Energy Division</w:t>
      </w:r>
      <w:r w:rsidRPr="00391600" w:rsidR="00E164C3">
        <w:rPr>
          <w:rFonts w:ascii="Palatino Linotype" w:hAnsi="Palatino Linotype" w:eastAsia="Palatino Linotype" w:cs="Times New Roman"/>
          <w:color w:val="000000" w:themeColor="text1"/>
          <w:kern w:val="0"/>
          <w14:ligatures w14:val="none"/>
        </w:rPr>
        <w:t xml:space="preserve"> staff</w:t>
      </w:r>
      <w:r w:rsidRPr="00391600" w:rsidR="00DA4E4C">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FC058F">
        <w:rPr>
          <w:rFonts w:ascii="Palatino Linotype" w:hAnsi="Palatino Linotype" w:eastAsia="Palatino Linotype" w:cs="Times New Roman"/>
          <w:color w:val="000000" w:themeColor="text1"/>
          <w:kern w:val="0"/>
          <w14:ligatures w14:val="none"/>
        </w:rPr>
        <w:t xml:space="preserve">CEC resubmitted its 2024 Plan </w:t>
      </w:r>
      <w:r w:rsidRPr="00391600" w:rsidR="003944F6">
        <w:rPr>
          <w:rFonts w:ascii="Palatino Linotype" w:hAnsi="Palatino Linotype" w:eastAsia="Palatino Linotype" w:cs="Times New Roman"/>
          <w:color w:val="000000" w:themeColor="text1"/>
          <w:kern w:val="0"/>
          <w14:ligatures w14:val="none"/>
        </w:rPr>
        <w:t>(</w:t>
      </w:r>
      <w:r w:rsidRPr="00391600">
        <w:rPr>
          <w:rFonts w:ascii="Palatino Linotype" w:hAnsi="Palatino Linotype" w:eastAsia="Palatino Linotype" w:cs="Times New Roman"/>
          <w:color w:val="000000" w:themeColor="text1"/>
          <w:kern w:val="0"/>
          <w14:ligatures w14:val="none"/>
        </w:rPr>
        <w:t xml:space="preserve">CEC </w:t>
      </w:r>
      <w:r w:rsidRPr="00391600" w:rsidR="00DA4E4C">
        <w:rPr>
          <w:rFonts w:ascii="Palatino Linotype" w:hAnsi="Palatino Linotype" w:eastAsia="Palatino Linotype" w:cs="Times New Roman"/>
          <w:color w:val="000000" w:themeColor="text1"/>
          <w:kern w:val="0"/>
          <w14:ligatures w14:val="none"/>
        </w:rPr>
        <w:t>AL 12-G</w:t>
      </w:r>
      <w:r w:rsidRPr="00391600" w:rsidR="003944F6">
        <w:rPr>
          <w:rFonts w:ascii="Palatino Linotype" w:hAnsi="Palatino Linotype" w:eastAsia="Palatino Linotype" w:cs="Times New Roman"/>
          <w:color w:val="000000" w:themeColor="text1"/>
          <w:kern w:val="0"/>
          <w14:ligatures w14:val="none"/>
        </w:rPr>
        <w:t>)</w:t>
      </w:r>
      <w:r w:rsidRPr="00391600" w:rsidR="00DA4E4C">
        <w:rPr>
          <w:rFonts w:ascii="Palatino Linotype" w:hAnsi="Palatino Linotype" w:eastAsia="Palatino Linotype" w:cs="Times New Roman"/>
          <w:color w:val="000000" w:themeColor="text1"/>
          <w:kern w:val="0"/>
          <w14:ligatures w14:val="none"/>
        </w:rPr>
        <w:t xml:space="preserve"> on August 8, 2025</w:t>
      </w:r>
      <w:r w:rsidRPr="00391600" w:rsidR="003944F6">
        <w:rPr>
          <w:rFonts w:ascii="Palatino Linotype" w:hAnsi="Palatino Linotype" w:eastAsia="Palatino Linotype" w:cs="Times New Roman"/>
          <w:color w:val="000000" w:themeColor="text1"/>
          <w:kern w:val="0"/>
          <w14:ligatures w14:val="none"/>
        </w:rPr>
        <w:t>.</w:t>
      </w:r>
      <w:r w:rsidRPr="00391600" w:rsidR="00777957">
        <w:rPr>
          <w:rFonts w:ascii="Palatino Linotype" w:hAnsi="Palatino Linotype" w:eastAsia="Palatino Linotype" w:cs="Times New Roman"/>
          <w:color w:val="000000" w:themeColor="text1"/>
          <w:kern w:val="0"/>
          <w14:ligatures w14:val="none"/>
        </w:rPr>
        <w:t xml:space="preserve"> </w:t>
      </w:r>
      <w:r w:rsidRPr="00391600" w:rsidR="003944F6">
        <w:rPr>
          <w:rFonts w:ascii="Palatino Linotype" w:hAnsi="Palatino Linotype" w:eastAsia="Palatino Linotype" w:cs="Times New Roman"/>
          <w:color w:val="000000" w:themeColor="text1"/>
          <w:kern w:val="0"/>
          <w14:ligatures w14:val="none"/>
        </w:rPr>
        <w:t xml:space="preserve">In </w:t>
      </w:r>
      <w:r w:rsidRPr="00391600">
        <w:rPr>
          <w:rFonts w:ascii="Palatino Linotype" w:hAnsi="Palatino Linotype" w:eastAsia="Palatino Linotype" w:cs="Times New Roman"/>
          <w:color w:val="000000" w:themeColor="text1"/>
          <w:kern w:val="0"/>
          <w14:ligatures w14:val="none"/>
        </w:rPr>
        <w:t xml:space="preserve">CEC </w:t>
      </w:r>
      <w:r w:rsidRPr="00391600" w:rsidR="00A119EA">
        <w:rPr>
          <w:rFonts w:ascii="Palatino Linotype" w:hAnsi="Palatino Linotype" w:eastAsia="Palatino Linotype" w:cs="Times New Roman"/>
          <w:color w:val="000000" w:themeColor="text1"/>
          <w:kern w:val="0"/>
          <w14:ligatures w14:val="none"/>
        </w:rPr>
        <w:t>AL 12-G</w:t>
      </w:r>
      <w:r w:rsidRPr="00391600" w:rsidR="003944F6">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3944F6">
        <w:rPr>
          <w:rFonts w:ascii="Palatino Linotype" w:hAnsi="Palatino Linotype" w:eastAsia="Palatino Linotype" w:cs="Times New Roman"/>
          <w:color w:val="000000" w:themeColor="text1"/>
          <w:kern w:val="0"/>
          <w14:ligatures w14:val="none"/>
        </w:rPr>
        <w:t>CEC</w:t>
      </w:r>
      <w:r w:rsidRPr="00391600" w:rsidR="00A119EA">
        <w:rPr>
          <w:rFonts w:ascii="Palatino Linotype" w:hAnsi="Palatino Linotype" w:eastAsia="Palatino Linotype" w:cs="Times New Roman"/>
          <w:color w:val="000000" w:themeColor="text1"/>
          <w:kern w:val="0"/>
          <w14:ligatures w14:val="none"/>
        </w:rPr>
        <w:t xml:space="preserve"> </w:t>
      </w:r>
      <w:r w:rsidRPr="00391600" w:rsidR="00FF4463">
        <w:rPr>
          <w:rFonts w:ascii="Palatino Linotype" w:hAnsi="Palatino Linotype" w:eastAsia="Palatino Linotype" w:cs="Times New Roman"/>
          <w:color w:val="000000" w:themeColor="text1"/>
          <w:kern w:val="0"/>
          <w14:ligatures w14:val="none"/>
        </w:rPr>
        <w:t xml:space="preserve">seeks approval of </w:t>
      </w:r>
      <w:r w:rsidRPr="00391600" w:rsidR="00777957">
        <w:rPr>
          <w:rFonts w:ascii="Palatino Linotype" w:hAnsi="Palatino Linotype" w:eastAsia="Palatino Linotype" w:cs="Times New Roman"/>
          <w:color w:val="000000" w:themeColor="text1"/>
          <w:kern w:val="0"/>
          <w14:ligatures w14:val="none"/>
        </w:rPr>
        <w:t>its proposed</w:t>
      </w:r>
      <w:r w:rsidRPr="00391600" w:rsidR="002F5551">
        <w:rPr>
          <w:rFonts w:ascii="Palatino Linotype" w:hAnsi="Palatino Linotype" w:eastAsia="Palatino Linotype" w:cs="Times New Roman"/>
          <w:color w:val="000000" w:themeColor="text1"/>
          <w:kern w:val="0"/>
          <w14:ligatures w14:val="none"/>
        </w:rPr>
        <w:t xml:space="preserve"> </w:t>
      </w:r>
      <w:r w:rsidRPr="00391600" w:rsidR="00E47AD0">
        <w:rPr>
          <w:rFonts w:ascii="Palatino Linotype" w:hAnsi="Palatino Linotype" w:eastAsia="Palatino Linotype" w:cs="Times New Roman"/>
          <w:color w:val="000000" w:themeColor="text1"/>
          <w:kern w:val="0"/>
          <w14:ligatures w14:val="none"/>
        </w:rPr>
        <w:t>2</w:t>
      </w:r>
      <w:r w:rsidRPr="00391600" w:rsidR="00FF4463">
        <w:rPr>
          <w:rFonts w:ascii="Palatino Linotype" w:hAnsi="Palatino Linotype" w:eastAsia="Palatino Linotype" w:cs="Times New Roman"/>
          <w:color w:val="000000" w:themeColor="text1"/>
          <w:kern w:val="0"/>
          <w14:ligatures w14:val="none"/>
        </w:rPr>
        <w:t xml:space="preserve">024 Gas RD&amp;D Plan, </w:t>
      </w:r>
      <w:r w:rsidRPr="00391600" w:rsidR="000B58AB">
        <w:rPr>
          <w:rFonts w:ascii="Palatino Linotype" w:hAnsi="Palatino Linotype" w:eastAsia="Palatino Linotype" w:cs="Times New Roman"/>
          <w:color w:val="000000" w:themeColor="text1"/>
          <w:kern w:val="0"/>
          <w14:ligatures w14:val="none"/>
        </w:rPr>
        <w:t>authorize</w:t>
      </w:r>
      <w:r w:rsidRPr="00391600" w:rsidR="004A6380">
        <w:rPr>
          <w:rFonts w:ascii="Palatino Linotype" w:hAnsi="Palatino Linotype" w:eastAsia="Palatino Linotype" w:cs="Times New Roman"/>
          <w:color w:val="000000" w:themeColor="text1"/>
          <w:kern w:val="0"/>
          <w14:ligatures w14:val="none"/>
        </w:rPr>
        <w:t xml:space="preserve">d </w:t>
      </w:r>
      <w:r w:rsidRPr="00391600" w:rsidR="004A6380">
        <w:rPr>
          <w:rFonts w:ascii="Palatino Linotype" w:hAnsi="Palatino Linotype" w:eastAsia="Palatino Linotype" w:cs="Times New Roman"/>
          <w:color w:val="000000" w:themeColor="text1"/>
          <w:kern w:val="0"/>
          <w14:ligatures w14:val="none"/>
        </w:rPr>
        <w:lastRenderedPageBreak/>
        <w:t>by D</w:t>
      </w:r>
      <w:r w:rsidRPr="00391600" w:rsidR="00331F6C">
        <w:rPr>
          <w:rFonts w:ascii="Palatino Linotype" w:hAnsi="Palatino Linotype" w:eastAsia="Palatino Linotype" w:cs="Times New Roman"/>
          <w:color w:val="000000" w:themeColor="text1"/>
          <w:kern w:val="0"/>
          <w14:ligatures w14:val="none"/>
        </w:rPr>
        <w:t xml:space="preserve">.04-08-010 at </w:t>
      </w:r>
      <w:r w:rsidRPr="00391600" w:rsidR="004A3C22">
        <w:rPr>
          <w:rFonts w:ascii="Palatino Linotype" w:hAnsi="Palatino Linotype" w:eastAsia="Palatino Linotype" w:cs="Times New Roman"/>
          <w:color w:val="000000" w:themeColor="text1"/>
          <w:kern w:val="0"/>
          <w14:ligatures w14:val="none"/>
        </w:rPr>
        <w:t xml:space="preserve">up to </w:t>
      </w:r>
      <w:r w:rsidRPr="00391600" w:rsidR="00331F6C">
        <w:rPr>
          <w:rFonts w:ascii="Palatino Linotype" w:hAnsi="Palatino Linotype" w:eastAsia="Palatino Linotype" w:cs="Times New Roman"/>
          <w:color w:val="000000" w:themeColor="text1"/>
          <w:kern w:val="0"/>
          <w14:ligatures w14:val="none"/>
        </w:rPr>
        <w:t>$24 million with the proposed budget allocations to</w:t>
      </w:r>
      <w:r w:rsidRPr="00391600" w:rsidR="000F0AC8">
        <w:rPr>
          <w:rFonts w:ascii="Palatino Linotype" w:hAnsi="Palatino Linotype" w:eastAsia="Palatino Linotype" w:cs="Times New Roman"/>
          <w:color w:val="000000" w:themeColor="text1"/>
        </w:rPr>
        <w:t xml:space="preserve"> three</w:t>
      </w:r>
      <w:r w:rsidRPr="00391600" w:rsidR="4789A731">
        <w:rPr>
          <w:rFonts w:ascii="Palatino Linotype" w:hAnsi="Palatino Linotype" w:eastAsia="Palatino Linotype" w:cs="Times New Roman"/>
          <w:color w:val="000000" w:themeColor="text1"/>
        </w:rPr>
        <w:t xml:space="preserve"> </w:t>
      </w:r>
      <w:r w:rsidRPr="00391600" w:rsidR="00331F6C">
        <w:rPr>
          <w:rFonts w:ascii="Palatino Linotype" w:hAnsi="Palatino Linotype" w:eastAsia="Palatino Linotype" w:cs="Times New Roman"/>
          <w:color w:val="000000" w:themeColor="text1"/>
        </w:rPr>
        <w:t>Initiatives</w:t>
      </w:r>
      <w:r w:rsidRPr="00391600" w:rsidR="002107FE">
        <w:rPr>
          <w:rFonts w:ascii="Palatino Linotype" w:hAnsi="Palatino Linotype" w:eastAsia="Palatino Linotype" w:cs="Times New Roman"/>
          <w:color w:val="000000" w:themeColor="text1"/>
        </w:rPr>
        <w:t xml:space="preserve"> as shown below</w:t>
      </w:r>
      <w:r w:rsidRPr="00391600" w:rsidR="00331F6C">
        <w:rPr>
          <w:rFonts w:ascii="Palatino Linotype" w:hAnsi="Palatino Linotype" w:eastAsia="Palatino Linotype" w:cs="Times New Roman"/>
          <w:color w:val="000000" w:themeColor="text1"/>
        </w:rPr>
        <w:t>:</w:t>
      </w:r>
    </w:p>
    <w:tbl>
      <w:tblPr>
        <w:tblStyle w:val="TableGrid"/>
        <w:tblW w:w="0" w:type="auto"/>
        <w:tblLayout w:type="fixed"/>
        <w:tblLook w:val="04A0" w:firstRow="1" w:lastRow="0" w:firstColumn="1" w:lastColumn="0" w:noHBand="0" w:noVBand="1"/>
      </w:tblPr>
      <w:tblGrid>
        <w:gridCol w:w="2484"/>
        <w:gridCol w:w="4891"/>
        <w:gridCol w:w="360"/>
        <w:gridCol w:w="1615"/>
      </w:tblGrid>
      <w:tr w:rsidRPr="00391600" w:rsidR="00617B23" w:rsidTr="6FAFEDE3" w14:paraId="27DE2B16" w14:textId="77777777">
        <w:tc>
          <w:tcPr>
            <w:tcW w:w="9350" w:type="dxa"/>
            <w:gridSpan w:val="4"/>
          </w:tcPr>
          <w:p w:rsidRPr="00391600" w:rsidR="00617B23" w:rsidP="005E471E" w:rsidRDefault="006972A8" w14:paraId="72E3CA8B" w14:textId="71BB1BA5">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bCs/>
                <w:color w:val="000000" w:themeColor="text1"/>
                <w:kern w:val="0"/>
                <w14:ligatures w14:val="none"/>
              </w:rPr>
              <w:t xml:space="preserve">Table </w:t>
            </w:r>
            <w:r w:rsidRPr="00391600" w:rsidR="00A62009">
              <w:rPr>
                <w:rFonts w:ascii="Palatino Linotype" w:hAnsi="Palatino Linotype" w:eastAsia="Palatino Linotype" w:cs="Times New Roman"/>
                <w:b/>
                <w:bCs/>
                <w:color w:val="000000" w:themeColor="text1"/>
                <w:kern w:val="0"/>
                <w14:ligatures w14:val="none"/>
              </w:rPr>
              <w:t>3</w:t>
            </w:r>
            <w:r w:rsidRPr="00391600">
              <w:rPr>
                <w:rFonts w:ascii="Palatino Linotype" w:hAnsi="Palatino Linotype" w:eastAsia="Palatino Linotype" w:cs="Times New Roman"/>
                <w:b/>
                <w:bCs/>
                <w:color w:val="000000" w:themeColor="text1"/>
                <w:kern w:val="0"/>
                <w14:ligatures w14:val="none"/>
              </w:rPr>
              <w:t>: 2024 Gas RD&amp;D Plan Proposed Budget</w:t>
            </w:r>
            <w:r w:rsidRPr="00391600" w:rsidR="00617B23">
              <w:rPr>
                <w:rStyle w:val="FootnoteReference"/>
                <w:rFonts w:ascii="Palatino Linotype" w:hAnsi="Palatino Linotype" w:eastAsia="Palatino Linotype" w:cs="Times New Roman"/>
                <w:color w:val="000000" w:themeColor="text1"/>
                <w:kern w:val="0"/>
                <w14:ligatures w14:val="none"/>
              </w:rPr>
              <w:footnoteReference w:id="26"/>
            </w:r>
          </w:p>
        </w:tc>
      </w:tr>
      <w:tr w:rsidRPr="00391600" w:rsidR="00617B23" w:rsidTr="6FAFEDE3" w14:paraId="093E95A5" w14:textId="77777777">
        <w:tc>
          <w:tcPr>
            <w:tcW w:w="2484" w:type="dxa"/>
          </w:tcPr>
          <w:p w:rsidRPr="00391600" w:rsidR="00617B23" w:rsidP="00CE3A3D" w:rsidRDefault="00617B23" w14:paraId="1127B6BF" w14:textId="79D4FB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Investment Theme</w:t>
            </w:r>
          </w:p>
        </w:tc>
        <w:tc>
          <w:tcPr>
            <w:tcW w:w="4891" w:type="dxa"/>
          </w:tcPr>
          <w:p w:rsidRPr="00391600" w:rsidR="00617B23" w:rsidP="00CE3A3D" w:rsidRDefault="00617B23" w14:paraId="3B9A895D" w14:textId="7ACE0453">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391600" w:rsidR="00617B23" w:rsidP="00CE3A3D" w:rsidRDefault="00617B23" w14:paraId="329495AB" w14:textId="5AABD6D5">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2024 Plan Budget</w:t>
            </w:r>
          </w:p>
        </w:tc>
      </w:tr>
      <w:tr w:rsidRPr="00391600" w:rsidR="00617B23" w:rsidTr="6FAFEDE3" w14:paraId="6FEE1055" w14:textId="77777777">
        <w:tc>
          <w:tcPr>
            <w:tcW w:w="2484" w:type="dxa"/>
          </w:tcPr>
          <w:p w:rsidRPr="00391600" w:rsidR="00617B23" w:rsidP="00777957" w:rsidRDefault="00617B23" w14:paraId="40FF8A39" w14:textId="494128A6">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Gas Decommissioning</w:t>
            </w:r>
          </w:p>
        </w:tc>
        <w:tc>
          <w:tcPr>
            <w:tcW w:w="4891" w:type="dxa"/>
            <w:tcBorders>
              <w:right w:val="single" w:color="auto" w:sz="4" w:space="0"/>
            </w:tcBorders>
          </w:tcPr>
          <w:p w:rsidRPr="00391600" w:rsidR="00617B23" w:rsidP="00777957" w:rsidRDefault="00617B23" w14:paraId="266677C9" w14:textId="07938ADC">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Support Equitable, Safe, and Cost-Effective Decarbonization of California’s Gas System</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45B87707" w14:textId="5AAD5D64">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440E3402" w14:textId="7ED01B37">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7,600,000</w:t>
            </w:r>
          </w:p>
        </w:tc>
      </w:tr>
      <w:tr w:rsidRPr="00391600" w:rsidR="00617B23" w:rsidTr="6FAFEDE3" w14:paraId="67327761" w14:textId="77777777">
        <w:tc>
          <w:tcPr>
            <w:tcW w:w="2484" w:type="dxa"/>
          </w:tcPr>
          <w:p w:rsidRPr="00391600" w:rsidR="00617B23" w:rsidP="00777957" w:rsidRDefault="00617B23" w14:paraId="1AF58464" w14:textId="2363054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Gas System Safety</w:t>
            </w:r>
          </w:p>
        </w:tc>
        <w:tc>
          <w:tcPr>
            <w:tcW w:w="4891" w:type="dxa"/>
            <w:tcBorders>
              <w:right w:val="single" w:color="auto" w:sz="4" w:space="0"/>
            </w:tcBorders>
          </w:tcPr>
          <w:p w:rsidRPr="00391600" w:rsidR="00617B23" w:rsidP="00777957" w:rsidRDefault="00617B23" w14:paraId="57E4BF60" w14:textId="757A506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Innovations for Cost-Effective Operation and Maintenance of Critical Infrastructure During the Gas Transition</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0315A7F0" w14:textId="47E4B7E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7D8EB7EA" w14:textId="10B0F78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7,815,489</w:t>
            </w:r>
          </w:p>
        </w:tc>
      </w:tr>
      <w:tr w:rsidRPr="00391600" w:rsidR="00617B23" w:rsidTr="6FAFEDE3" w14:paraId="3964F068" w14:textId="77777777">
        <w:tc>
          <w:tcPr>
            <w:tcW w:w="2484" w:type="dxa"/>
          </w:tcPr>
          <w:p w:rsidRPr="00391600" w:rsidR="00617B23" w:rsidP="00777957" w:rsidRDefault="00617B23" w14:paraId="161AA952" w14:textId="75D29542">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Renewable Generation</w:t>
            </w:r>
          </w:p>
        </w:tc>
        <w:tc>
          <w:tcPr>
            <w:tcW w:w="4891" w:type="dxa"/>
            <w:tcBorders>
              <w:right w:val="single" w:color="auto" w:sz="4" w:space="0"/>
            </w:tcBorders>
          </w:tcPr>
          <w:p w:rsidRPr="00391600" w:rsidR="00617B23" w:rsidP="00777957" w:rsidRDefault="00617B23" w14:paraId="17DE638B" w14:textId="6F3DA05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Fuel-Flexible Distributed Power Generation</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0C30A6C4" w14:textId="2C6F9B9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499D7A2D" w14:textId="7014DB4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6,000,000</w:t>
            </w:r>
          </w:p>
        </w:tc>
      </w:tr>
      <w:tr w:rsidRPr="00391600" w:rsidR="00617B23" w:rsidTr="6FAFEDE3" w14:paraId="1A16A384" w14:textId="77777777">
        <w:tc>
          <w:tcPr>
            <w:tcW w:w="7375" w:type="dxa"/>
            <w:gridSpan w:val="2"/>
            <w:tcBorders>
              <w:right w:val="single" w:color="auto" w:sz="4" w:space="0"/>
            </w:tcBorders>
          </w:tcPr>
          <w:p w:rsidRPr="00391600" w:rsidR="00617B23" w:rsidP="00777957" w:rsidRDefault="00617B23" w14:paraId="519A317C" w14:textId="2169B1A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 xml:space="preserve">Database Development </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0B561713" w14:textId="50B1C48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23694F5F" w14:textId="6B2CCF1D">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184,511</w:t>
            </w:r>
          </w:p>
        </w:tc>
      </w:tr>
      <w:tr w:rsidRPr="00391600" w:rsidR="00617B23" w:rsidTr="6FAFEDE3" w14:paraId="30E14EA5" w14:textId="77777777">
        <w:tc>
          <w:tcPr>
            <w:tcW w:w="7375" w:type="dxa"/>
            <w:gridSpan w:val="2"/>
            <w:tcBorders>
              <w:right w:val="single" w:color="auto" w:sz="4" w:space="0"/>
            </w:tcBorders>
          </w:tcPr>
          <w:p w:rsidRPr="00391600" w:rsidR="00617B23" w:rsidP="00777957" w:rsidRDefault="00617B23" w14:paraId="0EBA130B" w14:textId="40ED30C4">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Program Administration</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18962438" w14:textId="4ECE525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137955E8" w14:textId="31127EDA">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2,400,000</w:t>
            </w:r>
          </w:p>
        </w:tc>
      </w:tr>
      <w:tr w:rsidRPr="00391600" w:rsidR="00617B23" w:rsidTr="6FAFEDE3" w14:paraId="47D872E8" w14:textId="77777777">
        <w:tc>
          <w:tcPr>
            <w:tcW w:w="7375" w:type="dxa"/>
            <w:gridSpan w:val="2"/>
            <w:tcBorders>
              <w:right w:val="single" w:color="auto" w:sz="4" w:space="0"/>
            </w:tcBorders>
          </w:tcPr>
          <w:p w:rsidRPr="00391600" w:rsidR="00617B23" w:rsidP="00AA0D64" w:rsidRDefault="00617B23" w14:paraId="031B301D" w14:textId="3EF8DF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ANNUAL TOTAL:</w:t>
            </w:r>
          </w:p>
        </w:tc>
        <w:tc>
          <w:tcPr>
            <w:tcW w:w="360" w:type="dxa"/>
            <w:tcBorders>
              <w:top w:val="single" w:color="auto" w:sz="4" w:space="0"/>
              <w:left w:val="single" w:color="auto" w:sz="4" w:space="0"/>
              <w:bottom w:val="single" w:color="auto" w:sz="4" w:space="0"/>
              <w:right w:val="nil"/>
            </w:tcBorders>
          </w:tcPr>
          <w:p w:rsidRPr="00391600" w:rsidR="00617B23" w:rsidP="00465E31" w:rsidRDefault="00617B23" w14:paraId="1A489285" w14:textId="5C3A2D92">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w:t>
            </w:r>
          </w:p>
        </w:tc>
        <w:tc>
          <w:tcPr>
            <w:tcW w:w="1615" w:type="dxa"/>
            <w:tcBorders>
              <w:top w:val="single" w:color="auto" w:sz="4" w:space="0"/>
              <w:left w:val="nil"/>
              <w:bottom w:val="single" w:color="auto" w:sz="4" w:space="0"/>
              <w:right w:val="single" w:color="auto" w:sz="4" w:space="0"/>
            </w:tcBorders>
          </w:tcPr>
          <w:p w:rsidRPr="00391600" w:rsidR="00617B23" w:rsidP="00465E31" w:rsidRDefault="00617B23" w14:paraId="4511683B" w14:textId="2D9939A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24,000,000</w:t>
            </w:r>
          </w:p>
        </w:tc>
      </w:tr>
    </w:tbl>
    <w:p w:rsidRPr="00391600" w:rsidR="00331F6C" w:rsidP="00777957" w:rsidRDefault="00331F6C" w14:paraId="52EC72BD"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391600" w:rsidR="00EB2216" w:rsidP="6FAFEDE3" w:rsidRDefault="002B5082" w14:paraId="20C8012F" w14:textId="713484BA">
      <w:pPr>
        <w:spacing w:line="276" w:lineRule="auto"/>
        <w:rPr>
          <w:rFonts w:ascii="Palatino Linotype" w:hAnsi="Palatino Linotype" w:eastAsia="Palatino Linotype" w:cs="Times New Roman"/>
          <w:color w:val="000000" w:themeColor="text1"/>
          <w:kern w:val="0"/>
          <w:u w:val="single"/>
          <w14:ligatures w14:val="none"/>
        </w:rPr>
      </w:pPr>
      <w:r w:rsidRPr="00391600">
        <w:rPr>
          <w:rFonts w:ascii="Palatino Linotype" w:hAnsi="Palatino Linotype" w:eastAsia="Palatino Linotype" w:cs="Times New Roman"/>
          <w:color w:val="000000" w:themeColor="text1"/>
          <w:kern w:val="0"/>
          <w:u w:val="single"/>
          <w14:ligatures w14:val="none"/>
        </w:rPr>
        <w:t>Gas Decommissioning</w:t>
      </w:r>
      <w:r w:rsidRPr="00391600" w:rsidR="00EB2216">
        <w:rPr>
          <w:rFonts w:ascii="Palatino Linotype" w:hAnsi="Palatino Linotype" w:eastAsia="Palatino Linotype" w:cs="Times New Roman"/>
          <w:color w:val="000000" w:themeColor="text1"/>
          <w:kern w:val="0"/>
          <w:u w:val="single"/>
          <w14:ligatures w14:val="none"/>
        </w:rPr>
        <w:t xml:space="preserve"> Theme</w:t>
      </w:r>
      <w:r w:rsidRPr="00391600" w:rsidR="008127CE">
        <w:rPr>
          <w:rFonts w:ascii="Palatino Linotype" w:hAnsi="Palatino Linotype" w:eastAsia="Palatino Linotype" w:cs="Times New Roman"/>
          <w:color w:val="000000" w:themeColor="text1"/>
          <w:kern w:val="0"/>
          <w:u w:val="single"/>
          <w14:ligatures w14:val="none"/>
        </w:rPr>
        <w:t xml:space="preserve"> Proposed Initiative</w:t>
      </w:r>
      <w:r w:rsidRPr="00391600" w:rsidR="008127CE">
        <w:rPr>
          <w:rFonts w:ascii="Palatino Linotype" w:hAnsi="Palatino Linotype" w:eastAsia="Palatino Linotype" w:cs="Times New Roman"/>
          <w:color w:val="000000" w:themeColor="text1"/>
          <w:u w:val="single"/>
        </w:rPr>
        <w:t>s</w:t>
      </w:r>
    </w:p>
    <w:p w:rsidRPr="00391600" w:rsidR="00EB2216" w:rsidP="003147DD" w:rsidRDefault="005C69CC" w14:paraId="33E219D4" w14:textId="2B2F71C7">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EB2216">
        <w:rPr>
          <w:rFonts w:ascii="Palatino Linotype" w:hAnsi="Palatino Linotype" w:eastAsia="Palatino Linotype" w:cs="Times New Roman"/>
          <w:color w:val="000000" w:themeColor="text1"/>
          <w:kern w:val="0"/>
          <w14:ligatures w14:val="none"/>
        </w:rPr>
        <w:t xml:space="preserve">CEC states that </w:t>
      </w:r>
      <w:r w:rsidRPr="00391600" w:rsidR="001326C6">
        <w:rPr>
          <w:rFonts w:ascii="Palatino Linotype" w:hAnsi="Palatino Linotype" w:eastAsia="Palatino Linotype" w:cs="Times New Roman"/>
          <w:color w:val="000000" w:themeColor="text1"/>
          <w:kern w:val="0"/>
          <w14:ligatures w14:val="none"/>
        </w:rPr>
        <w:t xml:space="preserve">it seeks to develop </w:t>
      </w:r>
      <w:r w:rsidRPr="00391600" w:rsidR="00ED760B">
        <w:rPr>
          <w:rFonts w:ascii="Palatino Linotype" w:hAnsi="Palatino Linotype" w:eastAsia="Palatino Linotype" w:cs="Times New Roman"/>
          <w:color w:val="000000" w:themeColor="text1"/>
          <w:kern w:val="0"/>
          <w14:ligatures w14:val="none"/>
        </w:rPr>
        <w:t>I</w:t>
      </w:r>
      <w:r w:rsidRPr="00391600" w:rsidR="00EB2216">
        <w:rPr>
          <w:rFonts w:ascii="Palatino Linotype" w:hAnsi="Palatino Linotype" w:eastAsia="Palatino Linotype" w:cs="Times New Roman"/>
          <w:color w:val="000000" w:themeColor="text1"/>
          <w:kern w:val="0"/>
          <w14:ligatures w14:val="none"/>
        </w:rPr>
        <w:t>nitiatives within the Gas Decommissioning</w:t>
      </w:r>
      <w:r w:rsidRPr="00391600" w:rsidR="002B5082">
        <w:rPr>
          <w:rFonts w:ascii="Palatino Linotype" w:hAnsi="Palatino Linotype" w:eastAsia="Palatino Linotype" w:cs="Times New Roman"/>
          <w:color w:val="000000" w:themeColor="text1"/>
          <w:kern w:val="0"/>
          <w14:ligatures w14:val="none"/>
        </w:rPr>
        <w:t xml:space="preserve"> Theme</w:t>
      </w:r>
      <w:r w:rsidRPr="00391600" w:rsidR="00EB2216">
        <w:rPr>
          <w:rFonts w:ascii="Palatino Linotype" w:hAnsi="Palatino Linotype" w:eastAsia="Palatino Linotype" w:cs="Times New Roman"/>
          <w:color w:val="000000" w:themeColor="text1"/>
          <w:kern w:val="0"/>
          <w14:ligatures w14:val="none"/>
        </w:rPr>
        <w:t xml:space="preserve"> to “highlight important elements of variability in transition opportunity and effects” to “foster greater energy equity and build a more systematic ground-level understanding of the technology needs, opportunities, and challenges in decarbonizing the gas system.”</w:t>
      </w:r>
      <w:r w:rsidRPr="00391600" w:rsidR="00EB2216">
        <w:rPr>
          <w:rStyle w:val="FootnoteReference"/>
          <w:rFonts w:ascii="Palatino Linotype" w:hAnsi="Palatino Linotype" w:eastAsia="Palatino Linotype" w:cs="Times New Roman"/>
          <w:color w:val="000000" w:themeColor="text1"/>
          <w:kern w:val="0"/>
          <w14:ligatures w14:val="none"/>
        </w:rPr>
        <w:footnoteReference w:id="27"/>
      </w:r>
    </w:p>
    <w:p w:rsidRPr="00391600" w:rsidR="00D4575E" w:rsidP="003147DD" w:rsidRDefault="00D4575E" w14:paraId="0F59490E"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555C53" w:rsidP="000D7959" w:rsidRDefault="00BE10F1" w14:paraId="253D7FA3" w14:textId="56EB3703">
      <w:pPr>
        <w:spacing w:line="276" w:lineRule="auto"/>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Support Equitable, Safe, and Cost-Effective Decarbonization of California’s Gas System</w:t>
      </w:r>
      <w:r w:rsidRPr="00391600" w:rsidR="00555C53">
        <w:rPr>
          <w:rFonts w:ascii="Palatino Linotype" w:hAnsi="Palatino Linotype" w:eastAsia="Palatino Linotype" w:cs="Times New Roman"/>
          <w:bCs/>
          <w:i/>
          <w:iCs/>
          <w:color w:val="000000" w:themeColor="text1"/>
          <w:kern w:val="0"/>
          <w14:ligatures w14:val="none"/>
        </w:rPr>
        <w:t xml:space="preserve"> </w:t>
      </w:r>
    </w:p>
    <w:p w:rsidRPr="00391600" w:rsidR="00153E48" w:rsidP="000D7959" w:rsidRDefault="005C69CC" w14:paraId="192E0CAC" w14:textId="06604525">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CE5000">
        <w:rPr>
          <w:rFonts w:ascii="Palatino Linotype" w:hAnsi="Palatino Linotype" w:eastAsia="Palatino Linotype" w:cs="Times New Roman"/>
          <w:color w:val="000000" w:themeColor="text1"/>
          <w:kern w:val="0"/>
          <w14:ligatures w14:val="none"/>
        </w:rPr>
        <w:t xml:space="preserve">CEC states that </w:t>
      </w:r>
      <w:r w:rsidRPr="00391600" w:rsidR="004A79C1">
        <w:rPr>
          <w:rFonts w:ascii="Palatino Linotype" w:hAnsi="Palatino Linotype" w:eastAsia="Palatino Linotype" w:cs="Times New Roman"/>
          <w:color w:val="000000" w:themeColor="text1"/>
          <w:kern w:val="0"/>
          <w14:ligatures w14:val="none"/>
        </w:rPr>
        <w:t xml:space="preserve">it seeks to develop </w:t>
      </w:r>
      <w:r w:rsidRPr="00391600" w:rsidR="00CE5000">
        <w:rPr>
          <w:rFonts w:ascii="Palatino Linotype" w:hAnsi="Palatino Linotype" w:eastAsia="Palatino Linotype" w:cs="Times New Roman"/>
          <w:color w:val="000000" w:themeColor="text1"/>
          <w:kern w:val="0"/>
          <w14:ligatures w14:val="none"/>
        </w:rPr>
        <w:t xml:space="preserve">projects within the </w:t>
      </w:r>
      <w:r w:rsidRPr="00391600" w:rsidR="00BE10F1">
        <w:rPr>
          <w:rFonts w:ascii="Palatino Linotype" w:hAnsi="Palatino Linotype" w:eastAsia="Palatino Linotype" w:cs="Times New Roman"/>
          <w:color w:val="000000" w:themeColor="text1"/>
          <w:kern w:val="0"/>
          <w14:ligatures w14:val="none"/>
        </w:rPr>
        <w:t>Support Equitable, Safe, and Cost-Effective Decarbonization of California’s Gas System</w:t>
      </w:r>
      <w:r w:rsidRPr="00391600" w:rsidR="00CE5000">
        <w:rPr>
          <w:rFonts w:ascii="Palatino Linotype" w:hAnsi="Palatino Linotype" w:eastAsia="Palatino Linotype" w:cs="Times New Roman"/>
          <w:color w:val="000000" w:themeColor="text1"/>
          <w:kern w:val="0"/>
          <w14:ligatures w14:val="none"/>
        </w:rPr>
        <w:t xml:space="preserve"> Initiative to </w:t>
      </w:r>
      <w:r w:rsidRPr="00391600" w:rsidR="00FB0E18">
        <w:rPr>
          <w:rFonts w:ascii="Palatino Linotype" w:hAnsi="Palatino Linotype" w:eastAsia="Palatino Linotype" w:cs="Times New Roman"/>
          <w:color w:val="000000" w:themeColor="text1"/>
          <w:kern w:val="0"/>
          <w14:ligatures w14:val="none"/>
        </w:rPr>
        <w:t xml:space="preserve">understand and influence the </w:t>
      </w:r>
      <w:r w:rsidRPr="00391600" w:rsidR="00822A5C">
        <w:rPr>
          <w:rFonts w:ascii="Palatino Linotype" w:hAnsi="Palatino Linotype" w:eastAsia="Palatino Linotype" w:cs="Times New Roman"/>
          <w:color w:val="000000" w:themeColor="text1"/>
          <w:kern w:val="0"/>
          <w14:ligatures w14:val="none"/>
        </w:rPr>
        <w:t>micro-conditions of societal gas use and</w:t>
      </w:r>
      <w:r w:rsidRPr="00391600" w:rsidR="00F447CC">
        <w:rPr>
          <w:rFonts w:ascii="Palatino Linotype" w:hAnsi="Palatino Linotype" w:eastAsia="Palatino Linotype" w:cs="Times New Roman"/>
          <w:color w:val="000000" w:themeColor="text1"/>
          <w:kern w:val="0"/>
          <w14:ligatures w14:val="none"/>
        </w:rPr>
        <w:t xml:space="preserve"> the adoption of alternatives</w:t>
      </w:r>
      <w:r w:rsidRPr="00391600" w:rsidR="00B62999">
        <w:rPr>
          <w:rFonts w:ascii="Palatino Linotype" w:hAnsi="Palatino Linotype" w:eastAsia="Palatino Linotype" w:cs="Times New Roman"/>
          <w:color w:val="000000" w:themeColor="text1"/>
          <w:kern w:val="0"/>
          <w14:ligatures w14:val="none"/>
        </w:rPr>
        <w:t>;</w:t>
      </w:r>
      <w:r w:rsidRPr="00391600" w:rsidR="00F447CC">
        <w:rPr>
          <w:rFonts w:ascii="Palatino Linotype" w:hAnsi="Palatino Linotype" w:eastAsia="Palatino Linotype" w:cs="Times New Roman"/>
          <w:color w:val="000000" w:themeColor="text1"/>
          <w:kern w:val="0"/>
          <w14:ligatures w14:val="none"/>
        </w:rPr>
        <w:t xml:space="preserve"> leverage data and research </w:t>
      </w:r>
      <w:r w:rsidRPr="00391600" w:rsidR="005A3477">
        <w:rPr>
          <w:rFonts w:ascii="Palatino Linotype" w:hAnsi="Palatino Linotype" w:eastAsia="Palatino Linotype" w:cs="Times New Roman"/>
          <w:color w:val="000000" w:themeColor="text1"/>
          <w:kern w:val="0"/>
          <w14:ligatures w14:val="none"/>
        </w:rPr>
        <w:t>insights</w:t>
      </w:r>
      <w:r w:rsidRPr="00391600" w:rsidR="00E02C4E">
        <w:rPr>
          <w:rFonts w:ascii="Palatino Linotype" w:hAnsi="Palatino Linotype" w:eastAsia="Palatino Linotype" w:cs="Times New Roman"/>
          <w:color w:val="000000" w:themeColor="text1"/>
          <w:kern w:val="0"/>
          <w14:ligatures w14:val="none"/>
        </w:rPr>
        <w:t xml:space="preserve"> on gas conversion activities</w:t>
      </w:r>
      <w:r w:rsidRPr="00391600" w:rsidR="00B62999">
        <w:rPr>
          <w:rFonts w:ascii="Palatino Linotype" w:hAnsi="Palatino Linotype" w:eastAsia="Palatino Linotype" w:cs="Times New Roman"/>
          <w:color w:val="000000" w:themeColor="text1"/>
          <w:kern w:val="0"/>
          <w14:ligatures w14:val="none"/>
        </w:rPr>
        <w:t>;</w:t>
      </w:r>
      <w:r w:rsidRPr="00391600" w:rsidR="00E02C4E">
        <w:rPr>
          <w:rFonts w:ascii="Palatino Linotype" w:hAnsi="Palatino Linotype" w:eastAsia="Palatino Linotype" w:cs="Times New Roman"/>
          <w:color w:val="000000" w:themeColor="text1"/>
          <w:kern w:val="0"/>
          <w14:ligatures w14:val="none"/>
        </w:rPr>
        <w:t xml:space="preserve"> and </w:t>
      </w:r>
      <w:r w:rsidRPr="00391600" w:rsidR="00B62999">
        <w:rPr>
          <w:rFonts w:ascii="Palatino Linotype" w:hAnsi="Palatino Linotype" w:eastAsia="Palatino Linotype" w:cs="Times New Roman"/>
          <w:color w:val="000000" w:themeColor="text1"/>
          <w:kern w:val="0"/>
          <w14:ligatures w14:val="none"/>
        </w:rPr>
        <w:t xml:space="preserve">guide </w:t>
      </w:r>
      <w:r w:rsidRPr="00391600" w:rsidR="000C4CBF">
        <w:rPr>
          <w:rFonts w:ascii="Palatino Linotype" w:hAnsi="Palatino Linotype" w:eastAsia="Palatino Linotype" w:cs="Times New Roman"/>
          <w:color w:val="000000" w:themeColor="text1"/>
          <w:kern w:val="0"/>
          <w14:ligatures w14:val="none"/>
        </w:rPr>
        <w:br/>
      </w:r>
      <w:r w:rsidRPr="00391600" w:rsidR="00B62999">
        <w:rPr>
          <w:rFonts w:ascii="Palatino Linotype" w:hAnsi="Palatino Linotype" w:eastAsia="Palatino Linotype" w:cs="Times New Roman"/>
          <w:color w:val="000000" w:themeColor="text1"/>
          <w:kern w:val="0"/>
          <w14:ligatures w14:val="none"/>
        </w:rPr>
        <w:t>decision-making</w:t>
      </w:r>
      <w:r w:rsidRPr="00391600" w:rsidR="004115E3">
        <w:rPr>
          <w:rFonts w:ascii="Palatino Linotype" w:hAnsi="Palatino Linotype" w:eastAsia="Palatino Linotype" w:cs="Times New Roman"/>
          <w:color w:val="000000" w:themeColor="text1"/>
          <w:kern w:val="0"/>
          <w14:ligatures w14:val="none"/>
        </w:rPr>
        <w:t xml:space="preserve"> by accelerating information transference.</w:t>
      </w:r>
      <w:r w:rsidRPr="00391600" w:rsidR="004115E3">
        <w:rPr>
          <w:rStyle w:val="FootnoteReference"/>
          <w:rFonts w:ascii="Palatino Linotype" w:hAnsi="Palatino Linotype" w:eastAsia="Palatino Linotype" w:cs="Times New Roman"/>
          <w:color w:val="000000" w:themeColor="text1"/>
          <w:kern w:val="0"/>
          <w14:ligatures w14:val="none"/>
        </w:rPr>
        <w:footnoteReference w:id="28"/>
      </w:r>
      <w:r w:rsidRPr="00391600" w:rsidR="004115E3">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BE10F1">
        <w:rPr>
          <w:rFonts w:ascii="Palatino Linotype" w:hAnsi="Palatino Linotype" w:eastAsia="Palatino Linotype" w:cs="Times New Roman"/>
          <w:color w:val="000000" w:themeColor="text1"/>
          <w:kern w:val="0"/>
          <w14:ligatures w14:val="none"/>
        </w:rPr>
        <w:t xml:space="preserve">CEC </w:t>
      </w:r>
      <w:r w:rsidRPr="00391600" w:rsidR="00314B31">
        <w:rPr>
          <w:rFonts w:ascii="Palatino Linotype" w:hAnsi="Palatino Linotype" w:eastAsia="Palatino Linotype" w:cs="Times New Roman"/>
          <w:color w:val="000000" w:themeColor="text1"/>
          <w:kern w:val="0"/>
          <w14:ligatures w14:val="none"/>
        </w:rPr>
        <w:t xml:space="preserve">proposes to </w:t>
      </w:r>
      <w:r w:rsidRPr="00391600" w:rsidR="00BE10F1">
        <w:rPr>
          <w:rFonts w:ascii="Palatino Linotype" w:hAnsi="Palatino Linotype" w:eastAsia="Palatino Linotype" w:cs="Times New Roman"/>
          <w:color w:val="000000" w:themeColor="text1"/>
          <w:kern w:val="0"/>
          <w14:ligatures w14:val="none"/>
        </w:rPr>
        <w:t>allocate $7,600,000</w:t>
      </w:r>
      <w:r w:rsidRPr="00391600" w:rsidR="00181E34">
        <w:rPr>
          <w:rFonts w:ascii="Palatino Linotype" w:hAnsi="Palatino Linotype" w:eastAsia="Palatino Linotype" w:cs="Times New Roman"/>
          <w:color w:val="000000" w:themeColor="text1"/>
          <w:kern w:val="0"/>
          <w14:ligatures w14:val="none"/>
        </w:rPr>
        <w:t xml:space="preserve"> </w:t>
      </w:r>
      <w:r w:rsidRPr="00391600" w:rsidR="00314B31">
        <w:rPr>
          <w:rFonts w:ascii="Palatino Linotype" w:hAnsi="Palatino Linotype" w:eastAsia="Palatino Linotype" w:cs="Times New Roman"/>
          <w:color w:val="000000" w:themeColor="text1"/>
          <w:kern w:val="0"/>
          <w14:ligatures w14:val="none"/>
        </w:rPr>
        <w:t xml:space="preserve">in its 2024 Plan </w:t>
      </w:r>
      <w:r w:rsidRPr="00391600" w:rsidR="00181E34">
        <w:rPr>
          <w:rFonts w:ascii="Palatino Linotype" w:hAnsi="Palatino Linotype" w:eastAsia="Palatino Linotype" w:cs="Times New Roman"/>
          <w:color w:val="000000" w:themeColor="text1"/>
          <w:kern w:val="0"/>
          <w14:ligatures w14:val="none"/>
        </w:rPr>
        <w:t>to this Initiative.</w:t>
      </w:r>
      <w:r w:rsidRPr="00391600" w:rsidR="009C0FE9">
        <w:rPr>
          <w:rStyle w:val="FootnoteReference"/>
          <w:rFonts w:ascii="Palatino Linotype" w:hAnsi="Palatino Linotype" w:eastAsia="Palatino Linotype" w:cs="Times New Roman"/>
          <w:color w:val="000000" w:themeColor="text1"/>
          <w:kern w:val="0"/>
          <w14:ligatures w14:val="none"/>
        </w:rPr>
        <w:footnoteReference w:id="29"/>
      </w:r>
    </w:p>
    <w:p w:rsidRPr="00391600" w:rsidR="00D4575E" w:rsidP="003147DD" w:rsidRDefault="00D4575E" w14:paraId="199C943A"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EB2216" w:rsidP="000A4CD4" w:rsidRDefault="00EB2216" w14:paraId="32159687" w14:textId="185BB173">
      <w:pPr>
        <w:keepNext/>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lastRenderedPageBreak/>
        <w:t>Gas System</w:t>
      </w:r>
      <w:r w:rsidRPr="00391600" w:rsidR="00095AA4">
        <w:rPr>
          <w:rFonts w:ascii="Palatino Linotype" w:hAnsi="Palatino Linotype" w:eastAsia="Palatino Linotype" w:cs="Times New Roman"/>
          <w:bCs/>
          <w:color w:val="000000" w:themeColor="text1"/>
          <w:kern w:val="0"/>
          <w:u w:val="single"/>
          <w14:ligatures w14:val="none"/>
        </w:rPr>
        <w:t xml:space="preserve"> Safety</w:t>
      </w:r>
      <w:r w:rsidRPr="00391600">
        <w:rPr>
          <w:rFonts w:ascii="Palatino Linotype" w:hAnsi="Palatino Linotype" w:eastAsia="Palatino Linotype" w:cs="Times New Roman"/>
          <w:bCs/>
          <w:color w:val="000000" w:themeColor="text1"/>
          <w:kern w:val="0"/>
          <w:u w:val="single"/>
          <w14:ligatures w14:val="none"/>
        </w:rPr>
        <w:t xml:space="preserve"> Theme</w:t>
      </w:r>
      <w:r w:rsidRPr="00391600"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391600" w:rsidR="00DE7C1E" w:rsidP="000A4CD4" w:rsidRDefault="005C69CC" w14:paraId="178E5B2A" w14:textId="40EEDD91">
      <w:pPr>
        <w:keepNext/>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391600" w:rsidR="00EB2216">
        <w:rPr>
          <w:rFonts w:ascii="Palatino Linotype" w:hAnsi="Palatino Linotype" w:eastAsia="Palatino Linotype" w:cs="Times New Roman"/>
          <w:color w:val="000000" w:themeColor="text1"/>
          <w:kern w:val="0"/>
          <w14:ligatures w14:val="none"/>
        </w:rPr>
        <w:t>within the Gas System Safety</w:t>
      </w:r>
      <w:r w:rsidRPr="00391600" w:rsidR="00095AA4">
        <w:rPr>
          <w:rFonts w:ascii="Palatino Linotype" w:hAnsi="Palatino Linotype" w:eastAsia="Palatino Linotype" w:cs="Times New Roman"/>
          <w:color w:val="000000" w:themeColor="text1"/>
          <w:kern w:val="0"/>
          <w14:ligatures w14:val="none"/>
        </w:rPr>
        <w:t xml:space="preserve"> Theme</w:t>
      </w:r>
      <w:r w:rsidRPr="00391600" w:rsidR="00EB2216">
        <w:rPr>
          <w:rFonts w:ascii="Palatino Linotype" w:hAnsi="Palatino Linotype" w:eastAsia="Palatino Linotype" w:cs="Times New Roman"/>
          <w:color w:val="000000" w:themeColor="text1"/>
          <w:kern w:val="0"/>
          <w14:ligatures w14:val="none"/>
        </w:rPr>
        <w:t xml:space="preserve"> to </w:t>
      </w:r>
      <w:r w:rsidRPr="00391600" w:rsidR="00DE7C1E">
        <w:rPr>
          <w:rFonts w:ascii="Palatino Linotype" w:hAnsi="Palatino Linotype" w:eastAsia="Palatino Linotype" w:cs="Times New Roman"/>
          <w:color w:val="000000" w:themeColor="text1"/>
          <w:kern w:val="0"/>
          <w14:ligatures w14:val="none"/>
        </w:rPr>
        <w:t>coordinate with Investor-Owned Utilities (IOUs)</w:t>
      </w:r>
      <w:r w:rsidRPr="00391600" w:rsidR="0059692A">
        <w:rPr>
          <w:rFonts w:ascii="Palatino Linotype" w:hAnsi="Palatino Linotype" w:eastAsia="Palatino Linotype" w:cs="Times New Roman"/>
          <w:color w:val="000000" w:themeColor="text1"/>
          <w:kern w:val="0"/>
          <w14:ligatures w14:val="none"/>
        </w:rPr>
        <w:t xml:space="preserve"> in “developing innovative tools and technologies to better assess system vulnerability and prevent damages from geohazards, excavation, corrosion, and other threats”</w:t>
      </w:r>
      <w:r w:rsidRPr="00391600" w:rsidR="00E7449B">
        <w:rPr>
          <w:rFonts w:ascii="Palatino Linotype" w:hAnsi="Palatino Linotype" w:eastAsia="Palatino Linotype" w:cs="Times New Roman"/>
          <w:color w:val="000000" w:themeColor="text1"/>
          <w:kern w:val="0"/>
          <w14:ligatures w14:val="none"/>
        </w:rPr>
        <w:t xml:space="preserve"> to “reduce costs during </w:t>
      </w:r>
      <w:r w:rsidRPr="00391600" w:rsidR="00E94441">
        <w:rPr>
          <w:rFonts w:ascii="Palatino Linotype" w:hAnsi="Palatino Linotype" w:eastAsia="Palatino Linotype" w:cs="Times New Roman"/>
          <w:color w:val="000000" w:themeColor="text1"/>
          <w:kern w:val="0"/>
          <w14:ligatures w14:val="none"/>
        </w:rPr>
        <w:t>[the gas]</w:t>
      </w:r>
      <w:r w:rsidRPr="00391600" w:rsidR="00E7449B">
        <w:rPr>
          <w:rFonts w:ascii="Palatino Linotype" w:hAnsi="Palatino Linotype" w:eastAsia="Palatino Linotype" w:cs="Times New Roman"/>
          <w:color w:val="000000" w:themeColor="text1"/>
          <w:kern w:val="0"/>
          <w14:ligatures w14:val="none"/>
        </w:rPr>
        <w:t xml:space="preserve"> transition while ensuring safety and reliability.”</w:t>
      </w:r>
      <w:r w:rsidRPr="00391600" w:rsidR="00E7449B">
        <w:rPr>
          <w:rStyle w:val="FootnoteReference"/>
          <w:rFonts w:ascii="Palatino Linotype" w:hAnsi="Palatino Linotype" w:eastAsia="Palatino Linotype" w:cs="Times New Roman"/>
          <w:color w:val="000000" w:themeColor="text1"/>
          <w:kern w:val="0"/>
          <w14:ligatures w14:val="none"/>
        </w:rPr>
        <w:footnoteReference w:id="30"/>
      </w:r>
    </w:p>
    <w:p w:rsidRPr="00391600" w:rsidR="00EB2216" w:rsidP="003147DD" w:rsidRDefault="00EB2216" w14:paraId="32315ABA" w14:textId="77777777">
      <w:pPr>
        <w:autoSpaceDE w:val="0"/>
        <w:autoSpaceDN w:val="0"/>
        <w:adjustRightInd w:val="0"/>
        <w:spacing w:after="0" w:line="276" w:lineRule="auto"/>
        <w:rPr>
          <w:rFonts w:ascii="Palatino Linotype" w:hAnsi="Palatino Linotype" w:eastAsia="Palatino Linotype" w:cs="Times New Roman"/>
          <w:bCs/>
          <w:color w:val="000000" w:themeColor="text1"/>
          <w:kern w:val="0"/>
          <w:u w:val="single"/>
          <w14:ligatures w14:val="none"/>
        </w:rPr>
      </w:pPr>
    </w:p>
    <w:p w:rsidRPr="00391600" w:rsidR="00D4575E" w:rsidP="000D7959" w:rsidRDefault="00B3131B" w14:paraId="342A7E07" w14:textId="0174FFD0">
      <w:pPr>
        <w:autoSpaceDE w:val="0"/>
        <w:autoSpaceDN w:val="0"/>
        <w:adjustRightInd w:val="0"/>
        <w:spacing w:line="276" w:lineRule="auto"/>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 xml:space="preserve">Innovations for Cost-Effective Operation and Maintenance of Critical Infrastructure During the Gas Transition </w:t>
      </w:r>
    </w:p>
    <w:p w:rsidRPr="00391600" w:rsidR="00B3131B" w:rsidP="000D7959" w:rsidRDefault="005C69CC" w14:paraId="749C04D6" w14:textId="36493E9C">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391600" w:rsidR="00B3131B">
        <w:rPr>
          <w:rFonts w:ascii="Palatino Linotype" w:hAnsi="Palatino Linotype" w:eastAsia="Palatino Linotype" w:cs="Times New Roman"/>
          <w:color w:val="000000" w:themeColor="text1"/>
          <w:kern w:val="0"/>
          <w14:ligatures w14:val="none"/>
        </w:rPr>
        <w:t xml:space="preserve">within the Innovations for </w:t>
      </w:r>
      <w:r w:rsidRPr="00391600" w:rsidR="000C4CBF">
        <w:rPr>
          <w:rFonts w:ascii="Palatino Linotype" w:hAnsi="Palatino Linotype" w:eastAsia="Palatino Linotype" w:cs="Times New Roman"/>
          <w:color w:val="000000" w:themeColor="text1"/>
          <w:kern w:val="0"/>
          <w14:ligatures w14:val="none"/>
        </w:rPr>
        <w:br/>
      </w:r>
      <w:r w:rsidRPr="00391600" w:rsidR="00B3131B">
        <w:rPr>
          <w:rFonts w:ascii="Palatino Linotype" w:hAnsi="Palatino Linotype" w:eastAsia="Palatino Linotype" w:cs="Times New Roman"/>
          <w:color w:val="000000" w:themeColor="text1"/>
          <w:kern w:val="0"/>
          <w14:ligatures w14:val="none"/>
        </w:rPr>
        <w:t xml:space="preserve">Cost-Effective Operation and Maintenance of Critical Infrastructure During the Gas Transition Initiative </w:t>
      </w:r>
      <w:r w:rsidRPr="00391600" w:rsidR="00F40B9C">
        <w:rPr>
          <w:rFonts w:ascii="Palatino Linotype" w:hAnsi="Palatino Linotype" w:eastAsia="Palatino Linotype" w:cs="Times New Roman"/>
          <w:color w:val="000000" w:themeColor="text1"/>
          <w:kern w:val="0"/>
          <w14:ligatures w14:val="none"/>
        </w:rPr>
        <w:t>“to improve the costs, accuracy, and data quality in operations and maintenance of underground gas storage wells and transmission pipelines by developing strategies and resources, such as continuous monitoring technologies, less intrusive inspection methods, and data management and communication systems.”</w:t>
      </w:r>
      <w:r w:rsidRPr="00391600" w:rsidR="00F40B9C">
        <w:rPr>
          <w:rStyle w:val="FootnoteReference"/>
          <w:rFonts w:ascii="Palatino Linotype" w:hAnsi="Palatino Linotype" w:eastAsia="Palatino Linotype" w:cs="Times New Roman"/>
          <w:color w:val="000000" w:themeColor="text1"/>
          <w:kern w:val="0"/>
          <w14:ligatures w14:val="none"/>
        </w:rPr>
        <w:footnoteReference w:id="31"/>
      </w:r>
      <w:r w:rsidRPr="00391600" w:rsidR="00F40B9C">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B3131B">
        <w:rPr>
          <w:rFonts w:ascii="Palatino Linotype" w:hAnsi="Palatino Linotype" w:eastAsia="Palatino Linotype" w:cs="Times New Roman"/>
          <w:color w:val="000000" w:themeColor="text1"/>
          <w:kern w:val="0"/>
          <w14:ligatures w14:val="none"/>
        </w:rPr>
        <w:t xml:space="preserve">CEC </w:t>
      </w:r>
      <w:r w:rsidRPr="00391600" w:rsidR="001E618C">
        <w:rPr>
          <w:rFonts w:ascii="Palatino Linotype" w:hAnsi="Palatino Linotype" w:eastAsia="Palatino Linotype" w:cs="Times New Roman"/>
          <w:color w:val="000000" w:themeColor="text1"/>
          <w:kern w:val="0"/>
          <w14:ligatures w14:val="none"/>
        </w:rPr>
        <w:t xml:space="preserve">proposes to </w:t>
      </w:r>
      <w:r w:rsidRPr="00391600" w:rsidR="00B3131B">
        <w:rPr>
          <w:rFonts w:ascii="Palatino Linotype" w:hAnsi="Palatino Linotype" w:eastAsia="Palatino Linotype" w:cs="Times New Roman"/>
          <w:color w:val="000000" w:themeColor="text1"/>
          <w:kern w:val="0"/>
          <w14:ligatures w14:val="none"/>
        </w:rPr>
        <w:t xml:space="preserve">allocate </w:t>
      </w:r>
      <w:r w:rsidRPr="00391600" w:rsidR="00E80DEF">
        <w:rPr>
          <w:rFonts w:ascii="Palatino Linotype" w:hAnsi="Palatino Linotype" w:eastAsia="Palatino Linotype" w:cs="Times New Roman"/>
          <w:color w:val="000000" w:themeColor="text1"/>
          <w:kern w:val="0"/>
          <w14:ligatures w14:val="none"/>
        </w:rPr>
        <w:t xml:space="preserve">$7,815,489 </w:t>
      </w:r>
      <w:r w:rsidRPr="00391600" w:rsidR="001E618C">
        <w:rPr>
          <w:rFonts w:ascii="Palatino Linotype" w:hAnsi="Palatino Linotype" w:eastAsia="Palatino Linotype" w:cs="Times New Roman"/>
          <w:color w:val="000000" w:themeColor="text1"/>
          <w:kern w:val="0"/>
          <w14:ligatures w14:val="none"/>
        </w:rPr>
        <w:t xml:space="preserve">in its 2024 Plan </w:t>
      </w:r>
      <w:r w:rsidRPr="00391600" w:rsidR="00E80DEF">
        <w:rPr>
          <w:rFonts w:ascii="Palatino Linotype" w:hAnsi="Palatino Linotype" w:eastAsia="Palatino Linotype" w:cs="Times New Roman"/>
          <w:color w:val="000000" w:themeColor="text1"/>
          <w:kern w:val="0"/>
          <w14:ligatures w14:val="none"/>
        </w:rPr>
        <w:t>to this Initiative.</w:t>
      </w:r>
      <w:r w:rsidRPr="00391600" w:rsidR="009C0FE9">
        <w:rPr>
          <w:rStyle w:val="FootnoteReference"/>
          <w:rFonts w:ascii="Palatino Linotype" w:hAnsi="Palatino Linotype" w:eastAsia="Palatino Linotype" w:cs="Times New Roman"/>
          <w:color w:val="000000" w:themeColor="text1"/>
          <w:kern w:val="0"/>
          <w14:ligatures w14:val="none"/>
        </w:rPr>
        <w:footnoteReference w:id="32"/>
      </w:r>
    </w:p>
    <w:p w:rsidRPr="00391600" w:rsidR="00D170A1" w:rsidP="00BA2BC9" w:rsidRDefault="00D170A1" w14:paraId="1159C803" w14:textId="77777777">
      <w:pPr>
        <w:spacing w:line="276" w:lineRule="auto"/>
        <w:rPr>
          <w:rFonts w:ascii="Palatino Linotype" w:hAnsi="Palatino Linotype" w:eastAsia="Palatino Linotype" w:cs="Times New Roman"/>
          <w:bCs/>
          <w:color w:val="000000" w:themeColor="text1"/>
          <w:kern w:val="0"/>
          <w:u w:val="single"/>
          <w14:ligatures w14:val="none"/>
        </w:rPr>
      </w:pPr>
    </w:p>
    <w:p w:rsidRPr="00391600" w:rsidR="00D4575E" w:rsidP="00BA2BC9" w:rsidRDefault="00195D29" w14:paraId="632555E7" w14:textId="6C9E5618">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Renewable Generation</w:t>
      </w:r>
      <w:r w:rsidRPr="00391600" w:rsidR="00153E48">
        <w:rPr>
          <w:rFonts w:ascii="Palatino Linotype" w:hAnsi="Palatino Linotype" w:eastAsia="Palatino Linotype" w:cs="Times New Roman"/>
          <w:bCs/>
          <w:color w:val="000000" w:themeColor="text1"/>
          <w:kern w:val="0"/>
          <w:u w:val="single"/>
          <w14:ligatures w14:val="none"/>
        </w:rPr>
        <w:t xml:space="preserve"> Theme</w:t>
      </w:r>
      <w:r w:rsidRPr="00391600"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391600" w:rsidR="00D4575E" w:rsidP="003147DD" w:rsidRDefault="005C69CC" w14:paraId="2510F26F" w14:textId="7116786F">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391600" w:rsidR="00D4575E">
        <w:rPr>
          <w:rFonts w:ascii="Palatino Linotype" w:hAnsi="Palatino Linotype" w:eastAsia="Palatino Linotype" w:cs="Times New Roman"/>
          <w:color w:val="000000" w:themeColor="text1"/>
          <w:kern w:val="0"/>
          <w14:ligatures w14:val="none"/>
        </w:rPr>
        <w:t xml:space="preserve">within the </w:t>
      </w:r>
      <w:r w:rsidRPr="00391600" w:rsidR="00153236">
        <w:rPr>
          <w:rFonts w:ascii="Palatino Linotype" w:hAnsi="Palatino Linotype" w:eastAsia="Palatino Linotype" w:cs="Times New Roman"/>
          <w:color w:val="000000" w:themeColor="text1"/>
          <w:kern w:val="0"/>
          <w14:ligatures w14:val="none"/>
        </w:rPr>
        <w:t>Renewable Generation</w:t>
      </w:r>
      <w:r w:rsidRPr="00391600" w:rsidR="00195D29">
        <w:rPr>
          <w:rFonts w:ascii="Palatino Linotype" w:hAnsi="Palatino Linotype" w:eastAsia="Palatino Linotype" w:cs="Times New Roman"/>
          <w:color w:val="000000" w:themeColor="text1"/>
          <w:kern w:val="0"/>
          <w14:ligatures w14:val="none"/>
        </w:rPr>
        <w:t xml:space="preserve"> Theme</w:t>
      </w:r>
      <w:r w:rsidRPr="00391600" w:rsidR="00D4575E">
        <w:rPr>
          <w:rFonts w:ascii="Palatino Linotype" w:hAnsi="Palatino Linotype" w:eastAsia="Palatino Linotype" w:cs="Times New Roman"/>
          <w:color w:val="000000" w:themeColor="text1"/>
          <w:kern w:val="0"/>
          <w14:ligatures w14:val="none"/>
        </w:rPr>
        <w:t xml:space="preserve"> to </w:t>
      </w:r>
      <w:r w:rsidRPr="00391600" w:rsidR="002F1D7A">
        <w:rPr>
          <w:rFonts w:ascii="Palatino Linotype" w:hAnsi="Palatino Linotype" w:eastAsia="Palatino Linotype" w:cs="Times New Roman"/>
          <w:color w:val="000000" w:themeColor="text1"/>
          <w:kern w:val="0"/>
          <w14:ligatures w14:val="none"/>
        </w:rPr>
        <w:t>develop</w:t>
      </w:r>
      <w:r w:rsidRPr="00391600" w:rsidR="00CD7A42">
        <w:rPr>
          <w:rFonts w:ascii="Palatino Linotype" w:hAnsi="Palatino Linotype" w:eastAsia="Palatino Linotype" w:cs="Times New Roman"/>
          <w:color w:val="000000" w:themeColor="text1"/>
          <w:kern w:val="0"/>
          <w14:ligatures w14:val="none"/>
        </w:rPr>
        <w:t xml:space="preserve"> decarbonized combustion and non-combustion generation technologies</w:t>
      </w:r>
      <w:r w:rsidRPr="00391600" w:rsidR="005B2419">
        <w:rPr>
          <w:rFonts w:ascii="Palatino Linotype" w:hAnsi="Palatino Linotype" w:eastAsia="Palatino Linotype" w:cs="Times New Roman"/>
          <w:color w:val="000000" w:themeColor="text1"/>
          <w:kern w:val="0"/>
          <w14:ligatures w14:val="none"/>
        </w:rPr>
        <w:t xml:space="preserve"> </w:t>
      </w:r>
      <w:r w:rsidRPr="00391600" w:rsidR="00386501">
        <w:rPr>
          <w:rFonts w:ascii="Palatino Linotype" w:hAnsi="Palatino Linotype" w:eastAsia="Palatino Linotype" w:cs="Times New Roman"/>
          <w:color w:val="000000" w:themeColor="text1"/>
          <w:kern w:val="0"/>
          <w14:ligatures w14:val="none"/>
        </w:rPr>
        <w:t>“that use different fuels based upon the availability and costs of the renewable fuel and the fuel blending infrastructure”</w:t>
      </w:r>
      <w:r w:rsidRPr="00391600" w:rsidR="00041D44">
        <w:rPr>
          <w:rFonts w:ascii="Palatino Linotype" w:hAnsi="Palatino Linotype" w:eastAsia="Palatino Linotype" w:cs="Times New Roman"/>
          <w:color w:val="000000" w:themeColor="text1"/>
          <w:kern w:val="0"/>
          <w14:ligatures w14:val="none"/>
        </w:rPr>
        <w:t xml:space="preserve"> in distributed generation applications.</w:t>
      </w:r>
      <w:r w:rsidRPr="00391600" w:rsidR="00041D44">
        <w:rPr>
          <w:rStyle w:val="FootnoteReference"/>
          <w:rFonts w:ascii="Palatino Linotype" w:hAnsi="Palatino Linotype" w:eastAsia="Palatino Linotype" w:cs="Times New Roman"/>
          <w:color w:val="000000" w:themeColor="text1"/>
          <w:kern w:val="0"/>
          <w14:ligatures w14:val="none"/>
        </w:rPr>
        <w:footnoteReference w:id="33"/>
      </w:r>
    </w:p>
    <w:p w:rsidRPr="00391600" w:rsidR="00D4575E" w:rsidP="003147DD" w:rsidRDefault="00D4575E" w14:paraId="163141D3"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6C761E" w:rsidP="000D7959" w:rsidRDefault="006C761E" w14:paraId="067A0DDA" w14:textId="3E88D2D1">
      <w:pPr>
        <w:spacing w:line="276" w:lineRule="auto"/>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Fuel-Flexible Distributed Power Generation</w:t>
      </w:r>
    </w:p>
    <w:p w:rsidRPr="00391600" w:rsidR="006C761E" w:rsidP="000D7959" w:rsidRDefault="005C69CC" w14:paraId="43E2D3E3" w14:textId="39013BB6">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391600" w:rsidR="006C761E">
        <w:rPr>
          <w:rFonts w:ascii="Palatino Linotype" w:hAnsi="Palatino Linotype" w:eastAsia="Palatino Linotype" w:cs="Times New Roman"/>
          <w:color w:val="000000" w:themeColor="text1"/>
          <w:kern w:val="0"/>
          <w14:ligatures w14:val="none"/>
        </w:rPr>
        <w:t>within the Fuel-Flexible Distributed Power Generation Initiative to</w:t>
      </w:r>
      <w:r w:rsidRPr="00391600" w:rsidR="00BE10A8">
        <w:rPr>
          <w:rFonts w:ascii="Palatino Linotype" w:hAnsi="Palatino Linotype" w:eastAsia="Palatino Linotype" w:cs="Times New Roman"/>
          <w:color w:val="000000" w:themeColor="text1"/>
          <w:kern w:val="0"/>
          <w14:ligatures w14:val="none"/>
        </w:rPr>
        <w:t xml:space="preserve"> </w:t>
      </w:r>
      <w:r w:rsidRPr="00391600" w:rsidR="00725F14">
        <w:rPr>
          <w:rFonts w:ascii="Palatino Linotype" w:hAnsi="Palatino Linotype" w:eastAsia="Palatino Linotype" w:cs="Times New Roman"/>
          <w:color w:val="000000" w:themeColor="text1"/>
          <w:kern w:val="0"/>
          <w14:ligatures w14:val="none"/>
        </w:rPr>
        <w:t>adapt</w:t>
      </w:r>
      <w:r w:rsidRPr="00391600" w:rsidR="00094D30">
        <w:rPr>
          <w:rFonts w:ascii="Palatino Linotype" w:hAnsi="Palatino Linotype" w:eastAsia="Palatino Linotype" w:cs="Times New Roman"/>
          <w:color w:val="000000" w:themeColor="text1"/>
          <w:kern w:val="0"/>
          <w14:ligatures w14:val="none"/>
        </w:rPr>
        <w:t xml:space="preserve"> and demonstrate </w:t>
      </w:r>
      <w:r w:rsidRPr="00391600" w:rsidR="00D61711">
        <w:rPr>
          <w:rFonts w:ascii="Palatino Linotype" w:hAnsi="Palatino Linotype" w:eastAsia="Palatino Linotype" w:cs="Times New Roman"/>
          <w:color w:val="000000" w:themeColor="text1"/>
          <w:kern w:val="0"/>
          <w14:ligatures w14:val="none"/>
        </w:rPr>
        <w:t xml:space="preserve">fuel-flexible </w:t>
      </w:r>
      <w:r w:rsidRPr="00391600" w:rsidR="00F96903">
        <w:rPr>
          <w:rFonts w:ascii="Palatino Linotype" w:hAnsi="Palatino Linotype" w:eastAsia="Palatino Linotype" w:cs="Times New Roman"/>
          <w:color w:val="000000" w:themeColor="text1"/>
          <w:kern w:val="0"/>
          <w14:ligatures w14:val="none"/>
        </w:rPr>
        <w:t>“</w:t>
      </w:r>
      <w:r w:rsidRPr="00391600" w:rsidR="006B692B">
        <w:rPr>
          <w:rFonts w:ascii="Palatino Linotype" w:hAnsi="Palatino Linotype" w:eastAsia="Palatino Linotype" w:cs="Times New Roman"/>
          <w:color w:val="000000" w:themeColor="text1"/>
          <w:kern w:val="0"/>
          <w14:ligatures w14:val="none"/>
        </w:rPr>
        <w:t>distributed generation technologies</w:t>
      </w:r>
      <w:r w:rsidRPr="00391600" w:rsidR="001A7BB1">
        <w:rPr>
          <w:rFonts w:ascii="Palatino Linotype" w:hAnsi="Palatino Linotype" w:eastAsia="Palatino Linotype" w:cs="Times New Roman"/>
          <w:color w:val="000000" w:themeColor="text1"/>
          <w:kern w:val="0"/>
          <w14:ligatures w14:val="none"/>
        </w:rPr>
        <w:t xml:space="preserve">, such as reciprocating engines, gas turbines, linear generators, </w:t>
      </w:r>
      <w:r w:rsidRPr="00391600" w:rsidR="001A7BB1">
        <w:rPr>
          <w:rFonts w:ascii="Palatino Linotype" w:hAnsi="Palatino Linotype" w:eastAsia="Palatino Linotype" w:cs="Times New Roman"/>
          <w:color w:val="000000" w:themeColor="text1"/>
          <w:kern w:val="0"/>
          <w14:ligatures w14:val="none"/>
        </w:rPr>
        <w:lastRenderedPageBreak/>
        <w:t>and fuel cells</w:t>
      </w:r>
      <w:r w:rsidRPr="00391600" w:rsidR="000A0C8B">
        <w:rPr>
          <w:rFonts w:ascii="Palatino Linotype" w:hAnsi="Palatino Linotype" w:eastAsia="Palatino Linotype" w:cs="Times New Roman"/>
          <w:color w:val="000000" w:themeColor="text1"/>
          <w:kern w:val="0"/>
          <w14:ligatures w14:val="none"/>
        </w:rPr>
        <w:t>,</w:t>
      </w:r>
      <w:r w:rsidRPr="00391600" w:rsidR="00F96903">
        <w:rPr>
          <w:rFonts w:ascii="Palatino Linotype" w:hAnsi="Palatino Linotype" w:eastAsia="Palatino Linotype" w:cs="Times New Roman"/>
          <w:color w:val="000000" w:themeColor="text1"/>
          <w:kern w:val="0"/>
          <w14:ligatures w14:val="none"/>
        </w:rPr>
        <w:t>” while ensuring</w:t>
      </w:r>
      <w:r w:rsidRPr="00391600" w:rsidR="0093378B">
        <w:rPr>
          <w:rFonts w:ascii="Palatino Linotype" w:hAnsi="Palatino Linotype" w:eastAsia="Palatino Linotype" w:cs="Times New Roman"/>
          <w:color w:val="000000" w:themeColor="text1"/>
          <w:kern w:val="0"/>
          <w14:ligatures w14:val="none"/>
        </w:rPr>
        <w:t xml:space="preserve"> </w:t>
      </w:r>
      <w:r w:rsidRPr="00391600" w:rsidR="00122E08">
        <w:rPr>
          <w:rFonts w:ascii="Palatino Linotype" w:hAnsi="Palatino Linotype" w:eastAsia="Palatino Linotype" w:cs="Times New Roman"/>
          <w:color w:val="000000" w:themeColor="text1"/>
          <w:kern w:val="0"/>
          <w14:ligatures w14:val="none"/>
        </w:rPr>
        <w:t>“performance, operability, cost, low-emissions, and decarbonization goals and targets” are met.</w:t>
      </w:r>
      <w:r w:rsidRPr="00391600" w:rsidR="00122E08">
        <w:rPr>
          <w:rStyle w:val="FootnoteReference"/>
          <w:rFonts w:ascii="Palatino Linotype" w:hAnsi="Palatino Linotype" w:eastAsia="Palatino Linotype" w:cs="Times New Roman"/>
          <w:color w:val="000000" w:themeColor="text1"/>
          <w:kern w:val="0"/>
          <w14:ligatures w14:val="none"/>
        </w:rPr>
        <w:footnoteReference w:id="34"/>
      </w:r>
      <w:r w:rsidRPr="00391600" w:rsidR="00122E08">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6C761E">
        <w:rPr>
          <w:rFonts w:ascii="Palatino Linotype" w:hAnsi="Palatino Linotype" w:eastAsia="Palatino Linotype" w:cs="Times New Roman"/>
          <w:color w:val="000000" w:themeColor="text1"/>
          <w:kern w:val="0"/>
          <w14:ligatures w14:val="none"/>
        </w:rPr>
        <w:t xml:space="preserve">CEC </w:t>
      </w:r>
      <w:r w:rsidRPr="00391600" w:rsidR="009D1DD6">
        <w:rPr>
          <w:rFonts w:ascii="Palatino Linotype" w:hAnsi="Palatino Linotype" w:eastAsia="Palatino Linotype" w:cs="Times New Roman"/>
          <w:color w:val="000000" w:themeColor="text1"/>
          <w:kern w:val="0"/>
          <w14:ligatures w14:val="none"/>
        </w:rPr>
        <w:t xml:space="preserve">proposes to </w:t>
      </w:r>
      <w:r w:rsidRPr="00391600" w:rsidR="006C761E">
        <w:rPr>
          <w:rFonts w:ascii="Palatino Linotype" w:hAnsi="Palatino Linotype" w:eastAsia="Palatino Linotype" w:cs="Times New Roman"/>
          <w:color w:val="000000" w:themeColor="text1"/>
          <w:kern w:val="0"/>
          <w14:ligatures w14:val="none"/>
        </w:rPr>
        <w:t xml:space="preserve">allocate $6,000,000 </w:t>
      </w:r>
      <w:r w:rsidRPr="00391600" w:rsidR="009D1DD6">
        <w:rPr>
          <w:rFonts w:ascii="Palatino Linotype" w:hAnsi="Palatino Linotype" w:eastAsia="Palatino Linotype" w:cs="Times New Roman"/>
          <w:color w:val="000000" w:themeColor="text1"/>
          <w:kern w:val="0"/>
          <w14:ligatures w14:val="none"/>
        </w:rPr>
        <w:t xml:space="preserve">in its 2024 Plan </w:t>
      </w:r>
      <w:r w:rsidRPr="00391600" w:rsidR="006C761E">
        <w:rPr>
          <w:rFonts w:ascii="Palatino Linotype" w:hAnsi="Palatino Linotype" w:eastAsia="Palatino Linotype" w:cs="Times New Roman"/>
          <w:color w:val="000000" w:themeColor="text1"/>
          <w:kern w:val="0"/>
          <w14:ligatures w14:val="none"/>
        </w:rPr>
        <w:t>to this Initiative.</w:t>
      </w:r>
      <w:r w:rsidRPr="00391600" w:rsidR="00914B89">
        <w:rPr>
          <w:rStyle w:val="FootnoteReference"/>
          <w:rFonts w:ascii="Palatino Linotype" w:hAnsi="Palatino Linotype" w:eastAsia="Palatino Linotype" w:cs="Times New Roman"/>
          <w:color w:val="000000" w:themeColor="text1"/>
          <w:kern w:val="0"/>
          <w14:ligatures w14:val="none"/>
        </w:rPr>
        <w:footnoteReference w:id="35"/>
      </w:r>
    </w:p>
    <w:p w:rsidRPr="00391600" w:rsidR="00555C53" w:rsidP="003147DD" w:rsidRDefault="00555C53" w14:paraId="6449771A"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6247C1" w:rsidP="00BA2BC9" w:rsidRDefault="00E80DEF" w14:paraId="684544B6" w14:textId="1E8C3FB4">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 xml:space="preserve">Gas RD&amp;D Database Development </w:t>
      </w:r>
    </w:p>
    <w:p w:rsidRPr="00391600" w:rsidR="006247C1" w:rsidP="003147DD" w:rsidRDefault="005C69CC" w14:paraId="2D2E6189" w14:textId="4BA9C3BB">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6247C1">
        <w:rPr>
          <w:rFonts w:ascii="Palatino Linotype" w:hAnsi="Palatino Linotype" w:eastAsia="Palatino Linotype" w:cs="Times New Roman"/>
          <w:color w:val="000000" w:themeColor="text1"/>
          <w:kern w:val="0"/>
          <w14:ligatures w14:val="none"/>
        </w:rPr>
        <w:t xml:space="preserve">CEC </w:t>
      </w:r>
      <w:r w:rsidRPr="00391600" w:rsidR="009D1DD6">
        <w:rPr>
          <w:rFonts w:ascii="Palatino Linotype" w:hAnsi="Palatino Linotype" w:eastAsia="Palatino Linotype" w:cs="Times New Roman"/>
          <w:color w:val="000000" w:themeColor="text1"/>
          <w:kern w:val="0"/>
          <w14:ligatures w14:val="none"/>
        </w:rPr>
        <w:t xml:space="preserve">proposes to </w:t>
      </w:r>
      <w:r w:rsidRPr="00391600" w:rsidR="006247C1">
        <w:rPr>
          <w:rFonts w:ascii="Palatino Linotype" w:hAnsi="Palatino Linotype" w:eastAsia="Palatino Linotype" w:cs="Times New Roman"/>
          <w:color w:val="000000" w:themeColor="text1"/>
          <w:kern w:val="0"/>
          <w14:ligatures w14:val="none"/>
        </w:rPr>
        <w:t xml:space="preserve">allocate $184,511 </w:t>
      </w:r>
      <w:r w:rsidRPr="00391600" w:rsidR="00CF72D3">
        <w:rPr>
          <w:rFonts w:ascii="Palatino Linotype" w:hAnsi="Palatino Linotype" w:eastAsia="Palatino Linotype" w:cs="Times New Roman"/>
          <w:color w:val="000000" w:themeColor="text1"/>
          <w:kern w:val="0"/>
          <w14:ligatures w14:val="none"/>
        </w:rPr>
        <w:t xml:space="preserve">in its 2024 Plan for </w:t>
      </w:r>
      <w:r w:rsidRPr="00391600" w:rsidR="00CA56CA">
        <w:rPr>
          <w:rFonts w:ascii="Palatino Linotype" w:hAnsi="Palatino Linotype" w:eastAsia="Palatino Linotype" w:cs="Times New Roman"/>
          <w:color w:val="000000" w:themeColor="text1"/>
          <w:kern w:val="0"/>
          <w14:ligatures w14:val="none"/>
        </w:rPr>
        <w:t>its proportional share</w:t>
      </w:r>
      <w:r w:rsidRPr="00391600" w:rsidR="00CF72D3">
        <w:rPr>
          <w:rFonts w:ascii="Palatino Linotype" w:hAnsi="Palatino Linotype" w:eastAsia="Palatino Linotype" w:cs="Times New Roman"/>
          <w:color w:val="000000" w:themeColor="text1"/>
          <w:kern w:val="0"/>
          <w14:ligatures w14:val="none"/>
        </w:rPr>
        <w:t xml:space="preserve"> of developing a </w:t>
      </w:r>
      <w:r w:rsidRPr="00391600" w:rsidR="00CA56CA">
        <w:rPr>
          <w:rFonts w:ascii="Palatino Linotype" w:hAnsi="Palatino Linotype" w:eastAsia="Palatino Linotype" w:cs="Times New Roman"/>
          <w:color w:val="000000" w:themeColor="text1"/>
          <w:kern w:val="0"/>
          <w14:ligatures w14:val="none"/>
        </w:rPr>
        <w:t xml:space="preserve">comprehensive </w:t>
      </w:r>
      <w:r w:rsidRPr="00391600" w:rsidR="00CF72D3">
        <w:rPr>
          <w:rFonts w:ascii="Palatino Linotype" w:hAnsi="Palatino Linotype" w:eastAsia="Palatino Linotype" w:cs="Times New Roman"/>
          <w:color w:val="000000" w:themeColor="text1"/>
          <w:kern w:val="0"/>
          <w14:ligatures w14:val="none"/>
        </w:rPr>
        <w:t>Gas RD&amp;D Database.</w:t>
      </w:r>
      <w:r w:rsidRPr="00391600" w:rsidR="009C0FE9">
        <w:rPr>
          <w:rStyle w:val="FootnoteReference"/>
          <w:rFonts w:ascii="Palatino Linotype" w:hAnsi="Palatino Linotype" w:eastAsia="Palatino Linotype" w:cs="Times New Roman"/>
          <w:color w:val="000000" w:themeColor="text1"/>
          <w:kern w:val="0"/>
          <w14:ligatures w14:val="none"/>
        </w:rPr>
        <w:footnoteReference w:id="36"/>
      </w:r>
    </w:p>
    <w:p w:rsidRPr="00391600" w:rsidR="00E80DEF" w:rsidP="003147DD" w:rsidRDefault="00E80DEF" w14:paraId="4A160A02"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391600" w:rsidR="00782092" w:rsidP="00BA2BC9" w:rsidRDefault="00555C53" w14:paraId="2746F1F5" w14:textId="064129BF">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Program Administration</w:t>
      </w:r>
    </w:p>
    <w:p w:rsidRPr="00391600" w:rsidR="00153E48" w:rsidP="003147DD" w:rsidRDefault="005C69CC" w14:paraId="2584CAD4" w14:textId="348BC54A">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A54596">
        <w:rPr>
          <w:rFonts w:ascii="Palatino Linotype" w:hAnsi="Palatino Linotype" w:eastAsia="Palatino Linotype" w:cs="Times New Roman"/>
          <w:color w:val="000000" w:themeColor="text1"/>
          <w:kern w:val="0"/>
          <w14:ligatures w14:val="none"/>
        </w:rPr>
        <w:t xml:space="preserve">CEC </w:t>
      </w:r>
      <w:r w:rsidRPr="00391600" w:rsidR="00CA56CA">
        <w:rPr>
          <w:rFonts w:ascii="Palatino Linotype" w:hAnsi="Palatino Linotype" w:eastAsia="Palatino Linotype" w:cs="Times New Roman"/>
          <w:color w:val="000000" w:themeColor="text1"/>
          <w:kern w:val="0"/>
          <w14:ligatures w14:val="none"/>
        </w:rPr>
        <w:t xml:space="preserve">proposes to </w:t>
      </w:r>
      <w:r w:rsidRPr="00391600" w:rsidR="00A54596">
        <w:rPr>
          <w:rFonts w:ascii="Palatino Linotype" w:hAnsi="Palatino Linotype" w:eastAsia="Palatino Linotype" w:cs="Times New Roman"/>
          <w:color w:val="000000" w:themeColor="text1"/>
          <w:kern w:val="0"/>
          <w14:ligatures w14:val="none"/>
        </w:rPr>
        <w:t xml:space="preserve">allocate ten percent of its FY 2024-2025 budget to administrative costs, </w:t>
      </w:r>
      <w:r w:rsidRPr="00391600" w:rsidR="0058104D">
        <w:rPr>
          <w:rFonts w:ascii="Palatino Linotype" w:hAnsi="Palatino Linotype" w:eastAsia="Palatino Linotype" w:cs="Times New Roman"/>
          <w:color w:val="000000" w:themeColor="text1"/>
          <w:kern w:val="0"/>
          <w14:ligatures w14:val="none"/>
        </w:rPr>
        <w:t>totaling</w:t>
      </w:r>
      <w:r w:rsidRPr="00391600" w:rsidR="00A54596">
        <w:rPr>
          <w:rFonts w:ascii="Palatino Linotype" w:hAnsi="Palatino Linotype" w:eastAsia="Palatino Linotype" w:cs="Times New Roman"/>
          <w:color w:val="000000" w:themeColor="text1"/>
          <w:kern w:val="0"/>
          <w14:ligatures w14:val="none"/>
        </w:rPr>
        <w:t xml:space="preserve"> $2.4 million</w:t>
      </w:r>
      <w:r w:rsidRPr="00391600" w:rsidR="00782092">
        <w:rPr>
          <w:rFonts w:ascii="Palatino Linotype" w:hAnsi="Palatino Linotype" w:eastAsia="Palatino Linotype" w:cs="Times New Roman"/>
          <w:color w:val="000000" w:themeColor="text1"/>
          <w:kern w:val="0"/>
          <w14:ligatures w14:val="none"/>
        </w:rPr>
        <w:t xml:space="preserve"> in its 2024 Plan.</w:t>
      </w:r>
      <w:r w:rsidRPr="00391600" w:rsidR="009C0FE9">
        <w:rPr>
          <w:rStyle w:val="FootnoteReference"/>
          <w:rFonts w:ascii="Palatino Linotype" w:hAnsi="Palatino Linotype" w:eastAsia="Palatino Linotype" w:cs="Times New Roman"/>
          <w:color w:val="000000" w:themeColor="text1"/>
          <w:kern w:val="0"/>
          <w14:ligatures w14:val="none"/>
        </w:rPr>
        <w:footnoteReference w:id="37"/>
      </w:r>
      <w:r w:rsidRPr="00391600" w:rsidR="00782092">
        <w:rPr>
          <w:rFonts w:ascii="Palatino Linotype" w:hAnsi="Palatino Linotype" w:eastAsia="Palatino Linotype" w:cs="Times New Roman"/>
          <w:color w:val="000000" w:themeColor="text1"/>
          <w:kern w:val="0"/>
          <w14:ligatures w14:val="none"/>
        </w:rPr>
        <w:t xml:space="preserve"> </w:t>
      </w:r>
    </w:p>
    <w:p w:rsidRPr="00391600" w:rsidR="0012539A" w:rsidP="00597F25" w:rsidRDefault="0012539A" w14:paraId="0660A164" w14:textId="77777777">
      <w:pPr>
        <w:spacing w:after="0" w:line="240" w:lineRule="auto"/>
        <w:rPr>
          <w:rFonts w:ascii="Palatino Linotype" w:hAnsi="Palatino Linotype" w:eastAsia="Palatino Linotype" w:cs="Times New Roman"/>
          <w:bCs/>
          <w:color w:val="000000" w:themeColor="text1"/>
          <w:kern w:val="0"/>
          <w:u w:val="single"/>
          <w14:ligatures w14:val="none"/>
        </w:rPr>
      </w:pPr>
    </w:p>
    <w:p w:rsidRPr="00391600" w:rsidR="0012539A" w:rsidP="003147DD" w:rsidRDefault="0012539A" w14:paraId="10D6DDB6" w14:textId="49E95A5D">
      <w:pPr>
        <w:keepNext/>
        <w:spacing w:after="240" w:line="276" w:lineRule="auto"/>
        <w:outlineLvl w:val="0"/>
        <w:rPr>
          <w:rFonts w:ascii="Palatino Linotype" w:hAnsi="Palatino Linotype" w:eastAsia="Palatino Linotype" w:cs="Times New Roman"/>
          <w:b/>
          <w:color w:val="000000" w:themeColor="text1"/>
          <w:kern w:val="0"/>
          <w14:ligatures w14:val="none"/>
        </w:rPr>
      </w:pPr>
      <w:r w:rsidRPr="00391600">
        <w:rPr>
          <w:rFonts w:ascii="Palatino Linotype" w:hAnsi="Palatino Linotype" w:eastAsia="Palatino Linotype" w:cs="Times New Roman"/>
          <w:b/>
          <w:color w:val="000000" w:themeColor="text1"/>
          <w:kern w:val="0"/>
          <w14:ligatures w14:val="none"/>
        </w:rPr>
        <w:t xml:space="preserve">CEC </w:t>
      </w:r>
      <w:r w:rsidRPr="00391600" w:rsidR="00817BB9">
        <w:rPr>
          <w:rFonts w:ascii="Palatino Linotype" w:hAnsi="Palatino Linotype" w:eastAsia="Palatino Linotype" w:cs="Times New Roman"/>
          <w:b/>
          <w:color w:val="000000" w:themeColor="text1"/>
          <w:kern w:val="0"/>
          <w14:ligatures w14:val="none"/>
        </w:rPr>
        <w:t xml:space="preserve">AL 10-G-A </w:t>
      </w:r>
      <w:r w:rsidRPr="00391600">
        <w:rPr>
          <w:rFonts w:ascii="Palatino Linotype" w:hAnsi="Palatino Linotype" w:eastAsia="Palatino Linotype" w:cs="Times New Roman"/>
          <w:b/>
          <w:color w:val="000000" w:themeColor="text1"/>
          <w:kern w:val="0"/>
          <w14:ligatures w14:val="none"/>
        </w:rPr>
        <w:t>Request</w:t>
      </w:r>
      <w:r w:rsidRPr="00391600" w:rsidR="00AC4ADB">
        <w:rPr>
          <w:rFonts w:ascii="Palatino Linotype" w:hAnsi="Palatino Linotype" w:eastAsia="Palatino Linotype" w:cs="Times New Roman"/>
          <w:b/>
          <w:color w:val="000000" w:themeColor="text1"/>
          <w:kern w:val="0"/>
          <w14:ligatures w14:val="none"/>
        </w:rPr>
        <w:t>s</w:t>
      </w:r>
      <w:r w:rsidRPr="00391600">
        <w:rPr>
          <w:rFonts w:ascii="Palatino Linotype" w:hAnsi="Palatino Linotype" w:eastAsia="Palatino Linotype" w:cs="Times New Roman"/>
          <w:b/>
          <w:color w:val="000000" w:themeColor="text1"/>
          <w:kern w:val="0"/>
          <w14:ligatures w14:val="none"/>
        </w:rPr>
        <w:t xml:space="preserve"> for 2025 </w:t>
      </w:r>
      <w:r w:rsidRPr="00391600" w:rsidR="00817BB9">
        <w:rPr>
          <w:rFonts w:ascii="Palatino Linotype" w:hAnsi="Palatino Linotype" w:eastAsia="Palatino Linotype" w:cs="Times New Roman"/>
          <w:b/>
          <w:color w:val="000000" w:themeColor="text1"/>
          <w:kern w:val="0"/>
          <w14:ligatures w14:val="none"/>
        </w:rPr>
        <w:t>Plan Approval</w:t>
      </w:r>
    </w:p>
    <w:p w:rsidRPr="00391600" w:rsidR="00AC523A" w:rsidP="00132740" w:rsidRDefault="00DC20BB" w14:paraId="0EB0DA75" w14:textId="15A20D19">
      <w:pPr>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AC523A">
        <w:rPr>
          <w:rFonts w:ascii="Palatino Linotype" w:hAnsi="Palatino Linotype" w:eastAsia="Palatino Linotype" w:cs="Times New Roman"/>
          <w:color w:val="000000" w:themeColor="text1"/>
          <w:kern w:val="0"/>
          <w14:ligatures w14:val="none"/>
        </w:rPr>
        <w:t>CEC submitted its proposed 202</w:t>
      </w:r>
      <w:r w:rsidRPr="00391600" w:rsidR="00941019">
        <w:rPr>
          <w:rFonts w:ascii="Palatino Linotype" w:hAnsi="Palatino Linotype" w:eastAsia="Palatino Linotype" w:cs="Times New Roman"/>
          <w:color w:val="000000" w:themeColor="text1"/>
          <w:kern w:val="0"/>
          <w14:ligatures w14:val="none"/>
        </w:rPr>
        <w:t>5</w:t>
      </w:r>
      <w:r w:rsidRPr="00391600" w:rsidR="00AC523A">
        <w:rPr>
          <w:rFonts w:ascii="Palatino Linotype" w:hAnsi="Palatino Linotype" w:eastAsia="Palatino Linotype" w:cs="Times New Roman"/>
          <w:color w:val="000000" w:themeColor="text1"/>
          <w:kern w:val="0"/>
          <w14:ligatures w14:val="none"/>
        </w:rPr>
        <w:t xml:space="preserve"> Plan via Tier 3 </w:t>
      </w:r>
      <w:r w:rsidRPr="00391600">
        <w:rPr>
          <w:rFonts w:ascii="Palatino Linotype" w:hAnsi="Palatino Linotype" w:eastAsia="Palatino Linotype" w:cs="Times New Roman"/>
          <w:color w:val="000000" w:themeColor="text1"/>
          <w:kern w:val="0"/>
          <w14:ligatures w14:val="none"/>
        </w:rPr>
        <w:t xml:space="preserve">CEC </w:t>
      </w:r>
      <w:r w:rsidRPr="00391600" w:rsidR="00AC523A">
        <w:rPr>
          <w:rFonts w:ascii="Palatino Linotype" w:hAnsi="Palatino Linotype" w:eastAsia="Palatino Linotype" w:cs="Times New Roman"/>
          <w:color w:val="000000" w:themeColor="text1"/>
          <w:kern w:val="0"/>
          <w14:ligatures w14:val="none"/>
        </w:rPr>
        <w:t xml:space="preserve">AL </w:t>
      </w:r>
      <w:r w:rsidRPr="00391600" w:rsidR="00941019">
        <w:rPr>
          <w:rFonts w:ascii="Palatino Linotype" w:hAnsi="Palatino Linotype" w:eastAsia="Palatino Linotype" w:cs="Times New Roman"/>
          <w:color w:val="000000" w:themeColor="text1"/>
          <w:kern w:val="0"/>
          <w14:ligatures w14:val="none"/>
        </w:rPr>
        <w:t>10</w:t>
      </w:r>
      <w:r w:rsidRPr="00391600" w:rsidR="00AC523A">
        <w:rPr>
          <w:rFonts w:ascii="Palatino Linotype" w:hAnsi="Palatino Linotype" w:eastAsia="Palatino Linotype" w:cs="Times New Roman"/>
          <w:color w:val="000000" w:themeColor="text1"/>
          <w:kern w:val="0"/>
          <w14:ligatures w14:val="none"/>
        </w:rPr>
        <w:t>-G on March 2</w:t>
      </w:r>
      <w:r w:rsidRPr="00391600" w:rsidR="00941019">
        <w:rPr>
          <w:rFonts w:ascii="Palatino Linotype" w:hAnsi="Palatino Linotype" w:eastAsia="Palatino Linotype" w:cs="Times New Roman"/>
          <w:color w:val="000000" w:themeColor="text1"/>
          <w:kern w:val="0"/>
          <w14:ligatures w14:val="none"/>
        </w:rPr>
        <w:t>8</w:t>
      </w:r>
      <w:r w:rsidRPr="00391600" w:rsidR="00AC523A">
        <w:rPr>
          <w:rFonts w:ascii="Palatino Linotype" w:hAnsi="Palatino Linotype" w:eastAsia="Palatino Linotype" w:cs="Times New Roman"/>
          <w:color w:val="000000" w:themeColor="text1"/>
          <w:kern w:val="0"/>
          <w14:ligatures w14:val="none"/>
        </w:rPr>
        <w:t>, 202</w:t>
      </w:r>
      <w:r w:rsidRPr="00391600" w:rsidR="00941019">
        <w:rPr>
          <w:rFonts w:ascii="Palatino Linotype" w:hAnsi="Palatino Linotype" w:eastAsia="Palatino Linotype" w:cs="Times New Roman"/>
          <w:color w:val="000000" w:themeColor="text1"/>
          <w:kern w:val="0"/>
          <w14:ligatures w14:val="none"/>
        </w:rPr>
        <w:t>5</w:t>
      </w:r>
      <w:r w:rsidRPr="00391600" w:rsidR="00AC523A">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AC523A">
        <w:rPr>
          <w:rFonts w:ascii="Palatino Linotype" w:hAnsi="Palatino Linotype" w:eastAsia="Palatino Linotype" w:cs="Times New Roman"/>
          <w:color w:val="000000" w:themeColor="text1"/>
          <w:kern w:val="0"/>
          <w14:ligatures w14:val="none"/>
        </w:rPr>
        <w:t xml:space="preserve">CEC replaced </w:t>
      </w:r>
      <w:r w:rsidRPr="00391600">
        <w:rPr>
          <w:rFonts w:ascii="Palatino Linotype" w:hAnsi="Palatino Linotype" w:eastAsia="Palatino Linotype" w:cs="Times New Roman"/>
          <w:color w:val="000000" w:themeColor="text1"/>
          <w:kern w:val="0"/>
          <w14:ligatures w14:val="none"/>
        </w:rPr>
        <w:t xml:space="preserve">CEC </w:t>
      </w:r>
      <w:r w:rsidRPr="00391600" w:rsidR="00AC523A">
        <w:rPr>
          <w:rFonts w:ascii="Palatino Linotype" w:hAnsi="Palatino Linotype" w:eastAsia="Palatino Linotype" w:cs="Times New Roman"/>
          <w:color w:val="000000" w:themeColor="text1"/>
          <w:kern w:val="0"/>
          <w14:ligatures w14:val="none"/>
        </w:rPr>
        <w:t xml:space="preserve">AL </w:t>
      </w:r>
      <w:r w:rsidRPr="00391600" w:rsidR="002F3A33">
        <w:rPr>
          <w:rFonts w:ascii="Palatino Linotype" w:hAnsi="Palatino Linotype" w:eastAsia="Palatino Linotype" w:cs="Times New Roman"/>
          <w:color w:val="000000" w:themeColor="text1"/>
          <w:kern w:val="0"/>
          <w14:ligatures w14:val="none"/>
        </w:rPr>
        <w:t>10</w:t>
      </w:r>
      <w:r w:rsidRPr="00391600" w:rsidR="00AC523A">
        <w:rPr>
          <w:rFonts w:ascii="Palatino Linotype" w:hAnsi="Palatino Linotype" w:eastAsia="Palatino Linotype" w:cs="Times New Roman"/>
          <w:color w:val="000000" w:themeColor="text1"/>
          <w:kern w:val="0"/>
          <w14:ligatures w14:val="none"/>
        </w:rPr>
        <w:t>-G with a supplement (</w:t>
      </w:r>
      <w:r w:rsidRPr="00391600">
        <w:rPr>
          <w:rFonts w:ascii="Palatino Linotype" w:hAnsi="Palatino Linotype" w:eastAsia="Palatino Linotype" w:cs="Times New Roman"/>
          <w:color w:val="000000" w:themeColor="text1"/>
          <w:kern w:val="0"/>
          <w14:ligatures w14:val="none"/>
        </w:rPr>
        <w:t xml:space="preserve">CEC </w:t>
      </w:r>
      <w:r w:rsidRPr="00391600" w:rsidR="00AC523A">
        <w:rPr>
          <w:rFonts w:ascii="Palatino Linotype" w:hAnsi="Palatino Linotype" w:eastAsia="Palatino Linotype" w:cs="Times New Roman"/>
          <w:color w:val="000000" w:themeColor="text1"/>
          <w:kern w:val="0"/>
          <w14:ligatures w14:val="none"/>
        </w:rPr>
        <w:t xml:space="preserve">AL </w:t>
      </w:r>
      <w:r w:rsidRPr="00391600" w:rsidR="002F3A33">
        <w:rPr>
          <w:rFonts w:ascii="Palatino Linotype" w:hAnsi="Palatino Linotype" w:eastAsia="Palatino Linotype" w:cs="Times New Roman"/>
          <w:color w:val="000000" w:themeColor="text1"/>
          <w:kern w:val="0"/>
          <w14:ligatures w14:val="none"/>
        </w:rPr>
        <w:t>10</w:t>
      </w:r>
      <w:r w:rsidRPr="00391600" w:rsidR="00AC523A">
        <w:rPr>
          <w:rFonts w:ascii="Palatino Linotype" w:hAnsi="Palatino Linotype" w:eastAsia="Palatino Linotype" w:cs="Times New Roman"/>
          <w:color w:val="000000" w:themeColor="text1"/>
          <w:kern w:val="0"/>
          <w14:ligatures w14:val="none"/>
        </w:rPr>
        <w:t xml:space="preserve">-G-A) on </w:t>
      </w:r>
      <w:r w:rsidR="00597F25">
        <w:rPr>
          <w:rFonts w:ascii="Palatino Linotype" w:hAnsi="Palatino Linotype" w:eastAsia="Palatino Linotype" w:cs="Times New Roman"/>
          <w:color w:val="000000" w:themeColor="text1"/>
          <w:kern w:val="0"/>
          <w14:ligatures w14:val="none"/>
        </w:rPr>
        <w:br/>
      </w:r>
      <w:r w:rsidRPr="00391600" w:rsidR="002F3A33">
        <w:rPr>
          <w:rFonts w:ascii="Palatino Linotype" w:hAnsi="Palatino Linotype" w:eastAsia="Palatino Linotype" w:cs="Times New Roman"/>
          <w:color w:val="000000" w:themeColor="text1"/>
          <w:kern w:val="0"/>
          <w14:ligatures w14:val="none"/>
        </w:rPr>
        <w:t>October 3</w:t>
      </w:r>
      <w:r w:rsidRPr="00391600" w:rsidR="00AC523A">
        <w:rPr>
          <w:rFonts w:ascii="Palatino Linotype" w:hAnsi="Palatino Linotype" w:eastAsia="Palatino Linotype" w:cs="Times New Roman"/>
          <w:color w:val="000000" w:themeColor="text1"/>
          <w:kern w:val="0"/>
          <w14:ligatures w14:val="none"/>
        </w:rPr>
        <w:t>, 202</w:t>
      </w:r>
      <w:r w:rsidRPr="00391600" w:rsidR="002F3A33">
        <w:rPr>
          <w:rFonts w:ascii="Palatino Linotype" w:hAnsi="Palatino Linotype" w:eastAsia="Palatino Linotype" w:cs="Times New Roman"/>
          <w:color w:val="000000" w:themeColor="text1"/>
          <w:kern w:val="0"/>
          <w14:ligatures w14:val="none"/>
        </w:rPr>
        <w:t>5</w:t>
      </w:r>
      <w:r w:rsidRPr="00391600" w:rsidR="00AC523A">
        <w:rPr>
          <w:rFonts w:ascii="Palatino Linotype" w:hAnsi="Palatino Linotype" w:eastAsia="Palatino Linotype" w:cs="Times New Roman"/>
          <w:color w:val="000000" w:themeColor="text1"/>
          <w:kern w:val="0"/>
          <w14:ligatures w14:val="none"/>
        </w:rPr>
        <w:t xml:space="preserve">. In </w:t>
      </w:r>
      <w:r w:rsidRPr="00391600">
        <w:rPr>
          <w:rFonts w:ascii="Palatino Linotype" w:hAnsi="Palatino Linotype" w:eastAsia="Palatino Linotype" w:cs="Times New Roman"/>
          <w:color w:val="000000" w:themeColor="text1"/>
          <w:kern w:val="0"/>
          <w14:ligatures w14:val="none"/>
        </w:rPr>
        <w:t xml:space="preserve">CEC </w:t>
      </w:r>
      <w:r w:rsidRPr="00391600" w:rsidR="00AC523A">
        <w:rPr>
          <w:rFonts w:ascii="Palatino Linotype" w:hAnsi="Palatino Linotype" w:eastAsia="Palatino Linotype" w:cs="Times New Roman"/>
          <w:color w:val="000000" w:themeColor="text1"/>
          <w:kern w:val="0"/>
          <w14:ligatures w14:val="none"/>
        </w:rPr>
        <w:t>AL 1</w:t>
      </w:r>
      <w:r w:rsidRPr="00391600" w:rsidR="002F3A33">
        <w:rPr>
          <w:rFonts w:ascii="Palatino Linotype" w:hAnsi="Palatino Linotype" w:eastAsia="Palatino Linotype" w:cs="Times New Roman"/>
          <w:color w:val="000000" w:themeColor="text1"/>
          <w:kern w:val="0"/>
          <w14:ligatures w14:val="none"/>
        </w:rPr>
        <w:t>0</w:t>
      </w:r>
      <w:r w:rsidRPr="00391600" w:rsidR="00AC523A">
        <w:rPr>
          <w:rFonts w:ascii="Palatino Linotype" w:hAnsi="Palatino Linotype" w:eastAsia="Palatino Linotype" w:cs="Times New Roman"/>
          <w:color w:val="000000" w:themeColor="text1"/>
          <w:kern w:val="0"/>
          <w14:ligatures w14:val="none"/>
        </w:rPr>
        <w:t>-G</w:t>
      </w:r>
      <w:r w:rsidRPr="00391600" w:rsidR="002F3A33">
        <w:rPr>
          <w:rFonts w:ascii="Palatino Linotype" w:hAnsi="Palatino Linotype" w:eastAsia="Palatino Linotype" w:cs="Times New Roman"/>
          <w:color w:val="000000" w:themeColor="text1"/>
          <w:kern w:val="0"/>
          <w14:ligatures w14:val="none"/>
        </w:rPr>
        <w:t>-A</w:t>
      </w:r>
      <w:r w:rsidRPr="00391600" w:rsidR="00AC523A">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AC523A">
        <w:rPr>
          <w:rFonts w:ascii="Palatino Linotype" w:hAnsi="Palatino Linotype" w:eastAsia="Palatino Linotype" w:cs="Times New Roman"/>
          <w:color w:val="000000" w:themeColor="text1"/>
          <w:kern w:val="0"/>
          <w14:ligatures w14:val="none"/>
        </w:rPr>
        <w:t>CEC seeks approval of its proposed 202</w:t>
      </w:r>
      <w:r w:rsidRPr="00391600" w:rsidR="002F3A33">
        <w:rPr>
          <w:rFonts w:ascii="Palatino Linotype" w:hAnsi="Palatino Linotype" w:eastAsia="Palatino Linotype" w:cs="Times New Roman"/>
          <w:color w:val="000000" w:themeColor="text1"/>
          <w:kern w:val="0"/>
          <w14:ligatures w14:val="none"/>
        </w:rPr>
        <w:t>5</w:t>
      </w:r>
      <w:r w:rsidRPr="00391600" w:rsidR="00AC523A">
        <w:rPr>
          <w:rFonts w:ascii="Palatino Linotype" w:hAnsi="Palatino Linotype" w:eastAsia="Palatino Linotype" w:cs="Times New Roman"/>
          <w:color w:val="000000" w:themeColor="text1"/>
          <w:kern w:val="0"/>
          <w14:ligatures w14:val="none"/>
        </w:rPr>
        <w:t xml:space="preserve"> Gas RD&amp;D Plan, authorized by D.04-08-010 at </w:t>
      </w:r>
      <w:r w:rsidRPr="00391600" w:rsidR="00B55A62">
        <w:rPr>
          <w:rFonts w:ascii="Palatino Linotype" w:hAnsi="Palatino Linotype" w:eastAsia="Palatino Linotype" w:cs="Times New Roman"/>
          <w:color w:val="000000" w:themeColor="text1"/>
          <w:kern w:val="0"/>
          <w14:ligatures w14:val="none"/>
        </w:rPr>
        <w:t xml:space="preserve">up to </w:t>
      </w:r>
      <w:r w:rsidRPr="00391600" w:rsidR="00AC523A">
        <w:rPr>
          <w:rFonts w:ascii="Palatino Linotype" w:hAnsi="Palatino Linotype" w:eastAsia="Palatino Linotype" w:cs="Times New Roman"/>
          <w:color w:val="000000" w:themeColor="text1"/>
          <w:kern w:val="0"/>
          <w14:ligatures w14:val="none"/>
        </w:rPr>
        <w:t xml:space="preserve">$24 million with the proposed budget </w:t>
      </w:r>
      <w:proofErr w:type="gramStart"/>
      <w:r w:rsidRPr="00391600" w:rsidR="00AC523A">
        <w:rPr>
          <w:rFonts w:ascii="Palatino Linotype" w:hAnsi="Palatino Linotype" w:eastAsia="Palatino Linotype" w:cs="Times New Roman"/>
          <w:color w:val="000000" w:themeColor="text1"/>
          <w:kern w:val="0"/>
          <w14:ligatures w14:val="none"/>
        </w:rPr>
        <w:t>allocations</w:t>
      </w:r>
      <w:proofErr w:type="gramEnd"/>
      <w:r w:rsidRPr="00391600" w:rsidR="00AC523A">
        <w:rPr>
          <w:rFonts w:ascii="Palatino Linotype" w:hAnsi="Palatino Linotype" w:eastAsia="Palatino Linotype" w:cs="Times New Roman"/>
          <w:color w:val="000000" w:themeColor="text1"/>
          <w:kern w:val="0"/>
          <w14:ligatures w14:val="none"/>
        </w:rPr>
        <w:t xml:space="preserve"> to </w:t>
      </w:r>
      <w:r w:rsidRPr="00391600" w:rsidR="000F0AC8">
        <w:rPr>
          <w:rFonts w:ascii="Palatino Linotype" w:hAnsi="Palatino Linotype" w:eastAsia="Palatino Linotype" w:cs="Times New Roman"/>
          <w:color w:val="000000" w:themeColor="text1"/>
          <w:kern w:val="0"/>
          <w14:ligatures w14:val="none"/>
        </w:rPr>
        <w:t xml:space="preserve">three </w:t>
      </w:r>
      <w:r w:rsidRPr="00391600" w:rsidR="00AC523A">
        <w:rPr>
          <w:rFonts w:ascii="Palatino Linotype" w:hAnsi="Palatino Linotype" w:eastAsia="Palatino Linotype" w:cs="Times New Roman"/>
          <w:color w:val="000000" w:themeColor="text1"/>
          <w:kern w:val="0"/>
          <w14:ligatures w14:val="none"/>
        </w:rPr>
        <w:t>Initiatives</w:t>
      </w:r>
      <w:r w:rsidRPr="00391600" w:rsidR="002107FE">
        <w:rPr>
          <w:rFonts w:ascii="Palatino Linotype" w:hAnsi="Palatino Linotype" w:eastAsia="Palatino Linotype" w:cs="Times New Roman"/>
          <w:color w:val="000000" w:themeColor="text1"/>
          <w:kern w:val="0"/>
          <w14:ligatures w14:val="none"/>
        </w:rPr>
        <w:t xml:space="preserve"> shown below</w:t>
      </w:r>
      <w:r w:rsidRPr="00391600" w:rsidR="00AC523A">
        <w:rPr>
          <w:rFonts w:ascii="Palatino Linotype" w:hAnsi="Palatino Linotype" w:eastAsia="Palatino Linotype" w:cs="Times New Roman"/>
          <w:color w:val="000000" w:themeColor="text1"/>
          <w:kern w:val="0"/>
          <w14:ligatures w14:val="none"/>
        </w:rPr>
        <w:t>:</w:t>
      </w:r>
    </w:p>
    <w:tbl>
      <w:tblPr>
        <w:tblStyle w:val="TableGrid"/>
        <w:tblW w:w="0" w:type="auto"/>
        <w:tblLook w:val="04A0" w:firstRow="1" w:lastRow="0" w:firstColumn="1" w:lastColumn="0" w:noHBand="0" w:noVBand="1"/>
      </w:tblPr>
      <w:tblGrid>
        <w:gridCol w:w="2471"/>
        <w:gridCol w:w="4855"/>
        <w:gridCol w:w="326"/>
        <w:gridCol w:w="1698"/>
      </w:tblGrid>
      <w:tr w:rsidRPr="00391600" w:rsidR="00B55A62" w:rsidTr="6FAFEDE3" w14:paraId="3A40B3D3" w14:textId="77777777">
        <w:tc>
          <w:tcPr>
            <w:tcW w:w="9350" w:type="dxa"/>
            <w:gridSpan w:val="4"/>
          </w:tcPr>
          <w:p w:rsidRPr="00391600" w:rsidR="00B55A62" w:rsidP="006555A6" w:rsidRDefault="00B55A62" w14:paraId="2C2FA103" w14:textId="7E09D509">
            <w:pPr>
              <w:keepNext/>
              <w:spacing w:line="276" w:lineRule="auto"/>
              <w:jc w:val="center"/>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bCs/>
                <w:color w:val="000000" w:themeColor="text1"/>
                <w:kern w:val="0"/>
                <w14:ligatures w14:val="none"/>
              </w:rPr>
              <w:lastRenderedPageBreak/>
              <w:t xml:space="preserve">Table </w:t>
            </w:r>
            <w:r w:rsidRPr="00391600" w:rsidR="00A62009">
              <w:rPr>
                <w:rFonts w:ascii="Palatino Linotype" w:hAnsi="Palatino Linotype" w:eastAsia="Palatino Linotype" w:cs="Times New Roman"/>
                <w:b/>
                <w:bCs/>
                <w:color w:val="000000" w:themeColor="text1"/>
                <w:kern w:val="0"/>
                <w14:ligatures w14:val="none"/>
              </w:rPr>
              <w:t>4</w:t>
            </w:r>
            <w:r w:rsidRPr="00391600">
              <w:rPr>
                <w:rFonts w:ascii="Palatino Linotype" w:hAnsi="Palatino Linotype" w:eastAsia="Palatino Linotype" w:cs="Times New Roman"/>
                <w:b/>
                <w:bCs/>
                <w:color w:val="000000" w:themeColor="text1"/>
                <w:kern w:val="0"/>
                <w14:ligatures w14:val="none"/>
              </w:rPr>
              <w:t>: 2025 Gas RD&amp;D Plan Proposed Budget</w:t>
            </w:r>
            <w:r w:rsidRPr="00391600">
              <w:rPr>
                <w:rStyle w:val="FootnoteReference"/>
                <w:rFonts w:ascii="Palatino Linotype" w:hAnsi="Palatino Linotype" w:eastAsia="Palatino Linotype" w:cs="Times New Roman"/>
                <w:color w:val="000000" w:themeColor="text1"/>
                <w:kern w:val="0"/>
                <w14:ligatures w14:val="none"/>
              </w:rPr>
              <w:footnoteReference w:id="38"/>
            </w:r>
          </w:p>
        </w:tc>
      </w:tr>
      <w:tr w:rsidRPr="00391600" w:rsidR="00B55A62" w:rsidTr="6FAFEDE3" w14:paraId="21DFBE27" w14:textId="77777777">
        <w:tc>
          <w:tcPr>
            <w:tcW w:w="2471" w:type="dxa"/>
          </w:tcPr>
          <w:p w:rsidRPr="00391600" w:rsidR="00B55A62" w:rsidP="006555A6" w:rsidRDefault="00B55A62" w14:paraId="5F3F8748"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Investment Theme</w:t>
            </w:r>
          </w:p>
        </w:tc>
        <w:tc>
          <w:tcPr>
            <w:tcW w:w="4855" w:type="dxa"/>
          </w:tcPr>
          <w:p w:rsidRPr="00391600" w:rsidR="00B55A62" w:rsidP="006555A6" w:rsidRDefault="00B55A62" w14:paraId="2335C8FF"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Initiative Title</w:t>
            </w:r>
          </w:p>
        </w:tc>
        <w:tc>
          <w:tcPr>
            <w:tcW w:w="2024" w:type="dxa"/>
            <w:gridSpan w:val="2"/>
            <w:tcBorders>
              <w:bottom w:val="single" w:color="auto" w:sz="4" w:space="0"/>
            </w:tcBorders>
          </w:tcPr>
          <w:p w:rsidRPr="00391600" w:rsidR="00B55A62" w:rsidP="006555A6" w:rsidRDefault="00B55A62" w14:paraId="616CB16E" w14:textId="235D7A2D">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b/>
                <w:color w:val="000000" w:themeColor="text1"/>
                <w:sz w:val="22"/>
                <w:szCs w:val="22"/>
              </w:rPr>
              <w:t>2025 Plan Budget</w:t>
            </w:r>
          </w:p>
        </w:tc>
      </w:tr>
      <w:tr w:rsidRPr="00391600" w:rsidR="00B55A62" w:rsidTr="6FAFEDE3" w14:paraId="2DDBC4BF" w14:textId="77777777">
        <w:tc>
          <w:tcPr>
            <w:tcW w:w="2471" w:type="dxa"/>
            <w:vMerge w:val="restart"/>
          </w:tcPr>
          <w:p w:rsidRPr="00391600" w:rsidR="00B55A62" w:rsidP="006555A6" w:rsidRDefault="00B55A62" w14:paraId="1F8E94F1"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Gas Decommissioning</w:t>
            </w:r>
          </w:p>
        </w:tc>
        <w:tc>
          <w:tcPr>
            <w:tcW w:w="4855" w:type="dxa"/>
            <w:tcBorders>
              <w:right w:val="single" w:color="auto" w:sz="4" w:space="0"/>
            </w:tcBorders>
          </w:tcPr>
          <w:p w:rsidRPr="00391600" w:rsidR="00B55A62" w:rsidP="006555A6" w:rsidRDefault="00B55A62" w14:paraId="3BF4B2E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Social Science Research for Gas Decommissioning in the Mid and Long Term</w:t>
            </w:r>
          </w:p>
        </w:tc>
        <w:tc>
          <w:tcPr>
            <w:tcW w:w="326" w:type="dxa"/>
            <w:tcBorders>
              <w:top w:val="single" w:color="auto" w:sz="4" w:space="0"/>
              <w:left w:val="single" w:color="auto" w:sz="4" w:space="0"/>
              <w:bottom w:val="single" w:color="auto" w:sz="4" w:space="0"/>
              <w:right w:val="nil"/>
            </w:tcBorders>
          </w:tcPr>
          <w:p w:rsidRPr="00391600" w:rsidR="00B55A62" w:rsidP="00465E31" w:rsidRDefault="00B55A62" w14:paraId="0D0DAA43" w14:textId="48A2EE3C">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391600" w:rsidR="00B55A62" w:rsidP="00465E31" w:rsidRDefault="00B55A62" w14:paraId="3580EB9D" w14:textId="7F1376DF">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3,000,000</w:t>
            </w:r>
          </w:p>
        </w:tc>
      </w:tr>
      <w:tr w:rsidRPr="00391600" w:rsidR="00B55A62" w:rsidTr="6FAFEDE3" w14:paraId="15C5C38F" w14:textId="77777777">
        <w:tc>
          <w:tcPr>
            <w:tcW w:w="2471" w:type="dxa"/>
            <w:vMerge/>
          </w:tcPr>
          <w:p w:rsidRPr="00391600" w:rsidR="00B55A62" w:rsidP="006555A6" w:rsidRDefault="00B55A62" w14:paraId="63179DA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p>
        </w:tc>
        <w:tc>
          <w:tcPr>
            <w:tcW w:w="4855" w:type="dxa"/>
            <w:tcBorders>
              <w:right w:val="single" w:color="auto" w:sz="4" w:space="0"/>
            </w:tcBorders>
          </w:tcPr>
          <w:p w:rsidRPr="00391600" w:rsidR="00B55A62" w:rsidP="006555A6" w:rsidRDefault="00B55A62" w14:paraId="1C0776A5"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Pilot Projects to Advance Gas Decommissioning</w:t>
            </w:r>
          </w:p>
        </w:tc>
        <w:tc>
          <w:tcPr>
            <w:tcW w:w="326" w:type="dxa"/>
            <w:tcBorders>
              <w:top w:val="single" w:color="auto" w:sz="4" w:space="0"/>
              <w:left w:val="single" w:color="auto" w:sz="4" w:space="0"/>
              <w:bottom w:val="single" w:color="auto" w:sz="4" w:space="0"/>
              <w:right w:val="nil"/>
            </w:tcBorders>
          </w:tcPr>
          <w:p w:rsidRPr="00391600" w:rsidR="00B55A62" w:rsidP="00465E31" w:rsidRDefault="00B55A62" w14:paraId="7C145D72" w14:textId="2D9A542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391600" w:rsidR="00B55A62" w:rsidP="00465E31" w:rsidRDefault="00B55A62" w14:paraId="655F5827" w14:textId="28C445C5">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6,000,000</w:t>
            </w:r>
          </w:p>
        </w:tc>
      </w:tr>
      <w:tr w:rsidRPr="00391600" w:rsidR="00B55A62" w:rsidTr="6FAFEDE3" w14:paraId="3399C929" w14:textId="77777777">
        <w:tc>
          <w:tcPr>
            <w:tcW w:w="2471" w:type="dxa"/>
          </w:tcPr>
          <w:p w:rsidRPr="00391600" w:rsidR="00B55A62" w:rsidP="006555A6" w:rsidRDefault="00B55A62" w14:paraId="5EEC144C"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Building Decarbonization</w:t>
            </w:r>
          </w:p>
        </w:tc>
        <w:tc>
          <w:tcPr>
            <w:tcW w:w="4855" w:type="dxa"/>
            <w:tcBorders>
              <w:right w:val="single" w:color="auto" w:sz="4" w:space="0"/>
            </w:tcBorders>
          </w:tcPr>
          <w:p w:rsidRPr="00391600" w:rsidR="00B55A62" w:rsidP="006555A6" w:rsidRDefault="00B55A62" w14:paraId="21D38F2A"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Networked Geothermal Heat Pumps</w:t>
            </w:r>
          </w:p>
        </w:tc>
        <w:tc>
          <w:tcPr>
            <w:tcW w:w="326" w:type="dxa"/>
            <w:tcBorders>
              <w:top w:val="single" w:color="auto" w:sz="4" w:space="0"/>
              <w:left w:val="single" w:color="auto" w:sz="4" w:space="0"/>
              <w:bottom w:val="single" w:color="auto" w:sz="4" w:space="0"/>
              <w:right w:val="nil"/>
            </w:tcBorders>
          </w:tcPr>
          <w:p w:rsidRPr="00391600" w:rsidR="00B55A62" w:rsidP="00465E31" w:rsidRDefault="00B55A62" w14:paraId="4B36ABC8" w14:textId="149B4CA3">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391600" w:rsidR="00B55A62" w:rsidP="00465E31" w:rsidRDefault="00B55A62" w14:paraId="4C27F2C8" w14:textId="0CB55AAE">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12,600,000</w:t>
            </w:r>
          </w:p>
        </w:tc>
      </w:tr>
      <w:tr w:rsidRPr="00391600" w:rsidR="00B55A62" w:rsidTr="6FAFEDE3" w14:paraId="717F1458" w14:textId="77777777">
        <w:tc>
          <w:tcPr>
            <w:tcW w:w="7326" w:type="dxa"/>
            <w:gridSpan w:val="2"/>
            <w:tcBorders>
              <w:right w:val="single" w:color="auto" w:sz="4" w:space="0"/>
            </w:tcBorders>
          </w:tcPr>
          <w:p w:rsidRPr="00391600" w:rsidR="00B55A62" w:rsidP="006555A6" w:rsidRDefault="00B55A62" w14:paraId="2DC6EFF4" w14:textId="77777777">
            <w:pPr>
              <w:keepNext/>
              <w:spacing w:line="276" w:lineRule="auto"/>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Program Administration</w:t>
            </w:r>
          </w:p>
        </w:tc>
        <w:tc>
          <w:tcPr>
            <w:tcW w:w="326" w:type="dxa"/>
            <w:tcBorders>
              <w:top w:val="single" w:color="auto" w:sz="4" w:space="0"/>
              <w:left w:val="single" w:color="auto" w:sz="4" w:space="0"/>
              <w:bottom w:val="single" w:color="auto" w:sz="4" w:space="0"/>
              <w:right w:val="nil"/>
            </w:tcBorders>
          </w:tcPr>
          <w:p w:rsidRPr="00391600" w:rsidR="00B55A62" w:rsidP="00465E31" w:rsidRDefault="00B55A62" w14:paraId="042E1A1C" w14:textId="24D7D558">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391600" w:rsidR="00B55A62" w:rsidP="00465E31" w:rsidRDefault="00B55A62" w14:paraId="43F0371C" w14:textId="24647CF6">
            <w:pPr>
              <w:keepNext/>
              <w:spacing w:line="276" w:lineRule="auto"/>
              <w:jc w:val="right"/>
              <w:outlineLvl w:val="0"/>
              <w:rPr>
                <w:rFonts w:ascii="Palatino Linotype" w:hAnsi="Palatino Linotype" w:eastAsia="Palatino Linotype" w:cs="Times New Roman"/>
                <w:bCs/>
                <w:color w:val="000000" w:themeColor="text1"/>
                <w:kern w:val="0"/>
                <w:sz w:val="22"/>
                <w:szCs w:val="22"/>
                <w14:ligatures w14:val="none"/>
              </w:rPr>
            </w:pPr>
            <w:r w:rsidRPr="00391600">
              <w:rPr>
                <w:rFonts w:ascii="Palatino Linotype" w:hAnsi="Palatino Linotype" w:eastAsia="Palatino Linotype" w:cs="Times New Roman"/>
                <w:bCs/>
                <w:color w:val="000000" w:themeColor="text1"/>
                <w:kern w:val="0"/>
                <w:sz w:val="22"/>
                <w:szCs w:val="22"/>
                <w14:ligatures w14:val="none"/>
              </w:rPr>
              <w:t>2,400,000</w:t>
            </w:r>
          </w:p>
        </w:tc>
      </w:tr>
      <w:tr w:rsidRPr="00391600" w:rsidR="00B55A62" w:rsidTr="6FAFEDE3" w14:paraId="01AB7AC1" w14:textId="77777777">
        <w:tc>
          <w:tcPr>
            <w:tcW w:w="7326" w:type="dxa"/>
            <w:gridSpan w:val="2"/>
            <w:tcBorders>
              <w:right w:val="single" w:color="auto" w:sz="4" w:space="0"/>
            </w:tcBorders>
          </w:tcPr>
          <w:p w:rsidRPr="00391600" w:rsidR="00B55A62" w:rsidP="006555A6" w:rsidRDefault="00B55A62" w14:paraId="333C78BE" w14:textId="77777777">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ANNUAL TOTAL:</w:t>
            </w:r>
          </w:p>
        </w:tc>
        <w:tc>
          <w:tcPr>
            <w:tcW w:w="326" w:type="dxa"/>
            <w:tcBorders>
              <w:top w:val="single" w:color="auto" w:sz="4" w:space="0"/>
              <w:left w:val="single" w:color="auto" w:sz="4" w:space="0"/>
              <w:bottom w:val="single" w:color="auto" w:sz="4" w:space="0"/>
              <w:right w:val="nil"/>
            </w:tcBorders>
          </w:tcPr>
          <w:p w:rsidRPr="00391600" w:rsidR="00B55A62" w:rsidP="00465E31" w:rsidRDefault="00B55A62" w14:paraId="1EF366EE" w14:textId="0720596E">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w:t>
            </w:r>
          </w:p>
        </w:tc>
        <w:tc>
          <w:tcPr>
            <w:tcW w:w="1698" w:type="dxa"/>
            <w:tcBorders>
              <w:top w:val="single" w:color="auto" w:sz="4" w:space="0"/>
              <w:left w:val="nil"/>
              <w:bottom w:val="single" w:color="auto" w:sz="4" w:space="0"/>
              <w:right w:val="single" w:color="auto" w:sz="4" w:space="0"/>
            </w:tcBorders>
          </w:tcPr>
          <w:p w:rsidRPr="00391600" w:rsidR="00B55A62" w:rsidP="00465E31" w:rsidRDefault="00B55A62" w14:paraId="31F0E5C5" w14:textId="3E1AA23D">
            <w:pPr>
              <w:keepNext/>
              <w:spacing w:line="276" w:lineRule="auto"/>
              <w:jc w:val="right"/>
              <w:outlineLvl w:val="0"/>
              <w:rPr>
                <w:rFonts w:ascii="Palatino Linotype" w:hAnsi="Palatino Linotype" w:eastAsia="Palatino Linotype" w:cs="Times New Roman"/>
                <w:b/>
                <w:color w:val="000000" w:themeColor="text1"/>
                <w:kern w:val="0"/>
                <w:sz w:val="22"/>
                <w:szCs w:val="22"/>
                <w14:ligatures w14:val="none"/>
              </w:rPr>
            </w:pPr>
            <w:r w:rsidRPr="00391600">
              <w:rPr>
                <w:rFonts w:ascii="Palatino Linotype" w:hAnsi="Palatino Linotype" w:eastAsia="Palatino Linotype" w:cs="Times New Roman"/>
                <w:b/>
                <w:color w:val="000000" w:themeColor="text1"/>
                <w:kern w:val="0"/>
                <w:sz w:val="22"/>
                <w:szCs w:val="22"/>
                <w14:ligatures w14:val="none"/>
              </w:rPr>
              <w:t>24,000,000</w:t>
            </w:r>
          </w:p>
        </w:tc>
      </w:tr>
    </w:tbl>
    <w:p w:rsidRPr="00391600" w:rsidR="00E800FB" w:rsidP="003147DD" w:rsidRDefault="00E800FB" w14:paraId="14C9A175" w14:textId="77777777">
      <w:pPr>
        <w:keepNext/>
        <w:spacing w:after="0" w:line="276" w:lineRule="auto"/>
        <w:outlineLvl w:val="0"/>
        <w:rPr>
          <w:rFonts w:ascii="Palatino Linotype" w:hAnsi="Palatino Linotype" w:eastAsia="Palatino Linotype" w:cs="Times New Roman"/>
          <w:bCs/>
          <w:color w:val="000000" w:themeColor="text1"/>
          <w:kern w:val="0"/>
          <w14:ligatures w14:val="none"/>
        </w:rPr>
      </w:pPr>
    </w:p>
    <w:p w:rsidRPr="00391600" w:rsidR="00D149D0" w:rsidP="00FF0E6C" w:rsidRDefault="0012539A" w14:paraId="7A265355" w14:textId="2056069E">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 xml:space="preserve">Gas </w:t>
      </w:r>
      <w:r w:rsidRPr="00391600" w:rsidR="00A74C0B">
        <w:rPr>
          <w:rFonts w:ascii="Palatino Linotype" w:hAnsi="Palatino Linotype" w:eastAsia="Palatino Linotype" w:cs="Times New Roman"/>
          <w:bCs/>
          <w:color w:val="000000" w:themeColor="text1"/>
          <w:kern w:val="0"/>
          <w:u w:val="single"/>
          <w14:ligatures w14:val="none"/>
        </w:rPr>
        <w:t>Decommissioning</w:t>
      </w:r>
      <w:r w:rsidRPr="00391600">
        <w:rPr>
          <w:rFonts w:ascii="Palatino Linotype" w:hAnsi="Palatino Linotype" w:eastAsia="Palatino Linotype" w:cs="Times New Roman"/>
          <w:bCs/>
          <w:color w:val="000000" w:themeColor="text1"/>
          <w:kern w:val="0"/>
          <w:u w:val="single"/>
          <w14:ligatures w14:val="none"/>
        </w:rPr>
        <w:t xml:space="preserve"> Theme</w:t>
      </w:r>
      <w:r w:rsidRPr="00391600"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391600" w:rsidR="00F67139" w:rsidP="003147DD" w:rsidRDefault="00F94540" w14:paraId="0B0707E5" w14:textId="7810DDFE">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391600" w:rsidR="0012539A">
        <w:rPr>
          <w:rFonts w:ascii="Palatino Linotype" w:hAnsi="Palatino Linotype" w:eastAsia="Palatino Linotype" w:cs="Times New Roman"/>
          <w:color w:val="000000" w:themeColor="text1"/>
          <w:kern w:val="0"/>
          <w14:ligatures w14:val="none"/>
        </w:rPr>
        <w:t xml:space="preserve">within the </w:t>
      </w:r>
      <w:r w:rsidRPr="00391600" w:rsidR="00C84AC9">
        <w:rPr>
          <w:rFonts w:ascii="Palatino Linotype" w:hAnsi="Palatino Linotype" w:eastAsia="Palatino Linotype" w:cs="Times New Roman"/>
          <w:color w:val="000000" w:themeColor="text1"/>
          <w:kern w:val="0"/>
          <w14:ligatures w14:val="none"/>
        </w:rPr>
        <w:t>Gas Decommissioning</w:t>
      </w:r>
      <w:r w:rsidRPr="00391600" w:rsidR="00A74C0B">
        <w:rPr>
          <w:rFonts w:ascii="Palatino Linotype" w:hAnsi="Palatino Linotype" w:eastAsia="Palatino Linotype" w:cs="Times New Roman"/>
          <w:color w:val="000000" w:themeColor="text1"/>
          <w:kern w:val="0"/>
          <w14:ligatures w14:val="none"/>
        </w:rPr>
        <w:t xml:space="preserve"> Theme</w:t>
      </w:r>
      <w:r w:rsidRPr="00391600" w:rsidR="00C84AC9">
        <w:rPr>
          <w:rFonts w:ascii="Palatino Linotype" w:hAnsi="Palatino Linotype" w:eastAsia="Palatino Linotype" w:cs="Times New Roman"/>
          <w:color w:val="000000" w:themeColor="text1"/>
          <w:kern w:val="0"/>
          <w14:ligatures w14:val="none"/>
        </w:rPr>
        <w:t xml:space="preserve"> </w:t>
      </w:r>
      <w:r w:rsidRPr="00391600" w:rsidR="0012539A">
        <w:rPr>
          <w:rFonts w:ascii="Palatino Linotype" w:hAnsi="Palatino Linotype" w:eastAsia="Palatino Linotype" w:cs="Times New Roman"/>
          <w:color w:val="000000" w:themeColor="text1"/>
          <w:kern w:val="0"/>
          <w14:ligatures w14:val="none"/>
        </w:rPr>
        <w:t xml:space="preserve">to </w:t>
      </w:r>
      <w:r w:rsidRPr="00391600" w:rsidR="00F67139">
        <w:rPr>
          <w:rFonts w:ascii="Palatino Linotype" w:hAnsi="Palatino Linotype" w:eastAsia="Palatino Linotype" w:cs="Times New Roman"/>
          <w:color w:val="000000" w:themeColor="text1"/>
          <w:kern w:val="0"/>
          <w14:ligatures w14:val="none"/>
        </w:rPr>
        <w:t>address</w:t>
      </w:r>
      <w:r w:rsidRPr="00391600" w:rsidR="0083474F">
        <w:rPr>
          <w:rFonts w:ascii="Palatino Linotype" w:hAnsi="Palatino Linotype" w:eastAsia="Palatino Linotype" w:cs="Times New Roman"/>
          <w:color w:val="000000" w:themeColor="text1"/>
          <w:kern w:val="0"/>
          <w14:ligatures w14:val="none"/>
        </w:rPr>
        <w:t xml:space="preserve"> the</w:t>
      </w:r>
      <w:r w:rsidRPr="00391600" w:rsidR="00F36522">
        <w:rPr>
          <w:rFonts w:ascii="Palatino Linotype" w:hAnsi="Palatino Linotype" w:eastAsia="Palatino Linotype" w:cs="Times New Roman"/>
          <w:color w:val="000000" w:themeColor="text1"/>
          <w:kern w:val="0"/>
          <w14:ligatures w14:val="none"/>
        </w:rPr>
        <w:t xml:space="preserve"> </w:t>
      </w:r>
      <w:r w:rsidRPr="00391600" w:rsidR="00F67139">
        <w:rPr>
          <w:rFonts w:ascii="Palatino Linotype" w:hAnsi="Palatino Linotype" w:eastAsia="Palatino Linotype" w:cs="Times New Roman"/>
          <w:color w:val="000000" w:themeColor="text1"/>
          <w:kern w:val="0"/>
          <w14:ligatures w14:val="none"/>
        </w:rPr>
        <w:t>“substantial social, technological, political, and economic challenges to achieving the transition to cleaner energy resources</w:t>
      </w:r>
      <w:r w:rsidRPr="00391600" w:rsidR="0083474F">
        <w:rPr>
          <w:rFonts w:ascii="Palatino Linotype" w:hAnsi="Palatino Linotype" w:eastAsia="Palatino Linotype" w:cs="Times New Roman"/>
          <w:color w:val="000000" w:themeColor="text1"/>
          <w:kern w:val="0"/>
          <w14:ligatures w14:val="none"/>
        </w:rPr>
        <w:t>”</w:t>
      </w:r>
      <w:r w:rsidRPr="00391600" w:rsidR="004827D1">
        <w:rPr>
          <w:rFonts w:ascii="Palatino Linotype" w:hAnsi="Palatino Linotype" w:eastAsia="Palatino Linotype" w:cs="Times New Roman"/>
          <w:color w:val="000000" w:themeColor="text1"/>
          <w:kern w:val="0"/>
          <w14:ligatures w14:val="none"/>
        </w:rPr>
        <w:t xml:space="preserve"> </w:t>
      </w:r>
      <w:r w:rsidRPr="00391600" w:rsidR="002A56F7">
        <w:rPr>
          <w:rFonts w:ascii="Palatino Linotype" w:hAnsi="Palatino Linotype" w:eastAsia="Palatino Linotype" w:cs="Times New Roman"/>
          <w:color w:val="000000" w:themeColor="text1"/>
          <w:kern w:val="0"/>
          <w14:ligatures w14:val="none"/>
        </w:rPr>
        <w:t>and “</w:t>
      </w:r>
      <w:r w:rsidRPr="00391600" w:rsidR="004827D1">
        <w:rPr>
          <w:rFonts w:ascii="Palatino Linotype" w:hAnsi="Palatino Linotype" w:eastAsia="Palatino Linotype" w:cs="Times New Roman"/>
          <w:color w:val="000000" w:themeColor="text1"/>
          <w:kern w:val="0"/>
          <w14:ligatures w14:val="none"/>
        </w:rPr>
        <w:t>away from aging and high-maintenance portions of gas infrastructure</w:t>
      </w:r>
      <w:r w:rsidRPr="00391600" w:rsidR="000C3FB4">
        <w:rPr>
          <w:rFonts w:ascii="Palatino Linotype" w:hAnsi="Palatino Linotype" w:eastAsia="Palatino Linotype" w:cs="Times New Roman"/>
          <w:color w:val="000000" w:themeColor="text1"/>
          <w:kern w:val="0"/>
          <w14:ligatures w14:val="none"/>
        </w:rPr>
        <w:t>.”</w:t>
      </w:r>
      <w:r w:rsidRPr="00391600" w:rsidR="000C3FB4">
        <w:rPr>
          <w:rStyle w:val="FootnoteReference"/>
          <w:rFonts w:ascii="Palatino Linotype" w:hAnsi="Palatino Linotype" w:eastAsia="Palatino Linotype" w:cs="Times New Roman"/>
          <w:color w:val="000000" w:themeColor="text1"/>
          <w:kern w:val="0"/>
          <w14:ligatures w14:val="none"/>
        </w:rPr>
        <w:footnoteReference w:id="39"/>
      </w:r>
    </w:p>
    <w:p w:rsidRPr="00391600" w:rsidR="00D12F04" w:rsidP="003147DD" w:rsidRDefault="00D12F04" w14:paraId="4A1800C8"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0A3610" w:rsidP="0058104D" w:rsidRDefault="000A3610" w14:paraId="7A7981AF" w14:textId="5724AC1C">
      <w:pPr>
        <w:autoSpaceDE w:val="0"/>
        <w:autoSpaceDN w:val="0"/>
        <w:adjustRightInd w:val="0"/>
        <w:spacing w:line="276" w:lineRule="auto"/>
        <w:rPr>
          <w:rFonts w:ascii="Palatino Linotype" w:hAnsi="Palatino Linotype" w:cs="Tahoma"/>
          <w:i/>
          <w:iCs/>
          <w:color w:val="000000" w:themeColor="text1"/>
          <w:kern w:val="0"/>
        </w:rPr>
      </w:pPr>
      <w:r w:rsidRPr="00391600">
        <w:rPr>
          <w:rFonts w:ascii="Palatino Linotype" w:hAnsi="Palatino Linotype" w:cs="Tahoma"/>
          <w:i/>
          <w:iCs/>
          <w:color w:val="000000" w:themeColor="text1"/>
          <w:kern w:val="0"/>
        </w:rPr>
        <w:t>Social Science Research for Gas Decommissioning in the Mid</w:t>
      </w:r>
      <w:r w:rsidRPr="00391600" w:rsidR="00D90CAF">
        <w:rPr>
          <w:rFonts w:ascii="Palatino Linotype" w:hAnsi="Palatino Linotype" w:cs="Tahoma"/>
          <w:i/>
          <w:iCs/>
          <w:color w:val="000000" w:themeColor="text1"/>
          <w:kern w:val="0"/>
        </w:rPr>
        <w:t>-</w:t>
      </w:r>
      <w:r w:rsidRPr="00391600">
        <w:rPr>
          <w:rFonts w:ascii="Palatino Linotype" w:hAnsi="Palatino Linotype" w:cs="Tahoma"/>
          <w:i/>
          <w:iCs/>
          <w:color w:val="000000" w:themeColor="text1"/>
          <w:kern w:val="0"/>
        </w:rPr>
        <w:t xml:space="preserve"> and Long</w:t>
      </w:r>
      <w:r w:rsidRPr="00391600" w:rsidR="00D90CAF">
        <w:rPr>
          <w:rFonts w:ascii="Palatino Linotype" w:hAnsi="Palatino Linotype" w:cs="Tahoma"/>
          <w:i/>
          <w:iCs/>
          <w:color w:val="000000" w:themeColor="text1"/>
          <w:kern w:val="0"/>
        </w:rPr>
        <w:t>-</w:t>
      </w:r>
      <w:r w:rsidRPr="00391600">
        <w:rPr>
          <w:rFonts w:ascii="Palatino Linotype" w:hAnsi="Palatino Linotype" w:cs="Tahoma"/>
          <w:i/>
          <w:iCs/>
          <w:color w:val="000000" w:themeColor="text1"/>
          <w:kern w:val="0"/>
        </w:rPr>
        <w:t>Term</w:t>
      </w:r>
    </w:p>
    <w:p w:rsidRPr="00391600" w:rsidR="000A3610" w:rsidP="0058104D" w:rsidRDefault="00F94540" w14:paraId="4A58D70F" w14:textId="6BABEB05">
      <w:pPr>
        <w:autoSpaceDE w:val="0"/>
        <w:autoSpaceDN w:val="0"/>
        <w:adjustRightInd w:val="0"/>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391600" w:rsidR="00935B9C">
        <w:rPr>
          <w:rFonts w:ascii="Palatino Linotype" w:hAnsi="Palatino Linotype" w:eastAsia="Palatino Linotype" w:cs="Times New Roman"/>
          <w:color w:val="000000" w:themeColor="text1"/>
          <w:kern w:val="0"/>
          <w14:ligatures w14:val="none"/>
        </w:rPr>
        <w:t xml:space="preserve">within </w:t>
      </w:r>
      <w:r w:rsidRPr="00391600" w:rsidR="00C1765D">
        <w:rPr>
          <w:rFonts w:ascii="Palatino Linotype" w:hAnsi="Palatino Linotype" w:eastAsia="Palatino Linotype" w:cs="Times New Roman"/>
          <w:color w:val="000000" w:themeColor="text1"/>
          <w:kern w:val="0"/>
          <w14:ligatures w14:val="none"/>
        </w:rPr>
        <w:t xml:space="preserve">the </w:t>
      </w:r>
      <w:r w:rsidRPr="00391600" w:rsidR="00C1765D">
        <w:rPr>
          <w:rFonts w:ascii="Palatino Linotype" w:hAnsi="Palatino Linotype" w:cs="Tahoma"/>
          <w:color w:val="000000" w:themeColor="text1"/>
          <w:kern w:val="0"/>
        </w:rPr>
        <w:t xml:space="preserve">Social Science Research for Gas Decommissioning in the </w:t>
      </w:r>
      <w:r w:rsidRPr="00391600" w:rsidR="00D90CAF">
        <w:rPr>
          <w:rFonts w:ascii="Palatino Linotype" w:hAnsi="Palatino Linotype" w:cs="Tahoma"/>
          <w:color w:val="000000" w:themeColor="text1"/>
          <w:kern w:val="0"/>
        </w:rPr>
        <w:t>Mid- and Long-Term</w:t>
      </w:r>
      <w:r w:rsidRPr="00391600" w:rsidR="00935B9C">
        <w:rPr>
          <w:rFonts w:ascii="Palatino Linotype" w:hAnsi="Palatino Linotype" w:eastAsia="Palatino Linotype" w:cs="Times New Roman"/>
          <w:color w:val="000000" w:themeColor="text1"/>
          <w:kern w:val="0"/>
          <w14:ligatures w14:val="none"/>
        </w:rPr>
        <w:t xml:space="preserve"> Initiative t</w:t>
      </w:r>
      <w:r w:rsidRPr="00391600" w:rsidR="00953778">
        <w:rPr>
          <w:rFonts w:ascii="Palatino Linotype" w:hAnsi="Palatino Linotype" w:eastAsia="Palatino Linotype" w:cs="Times New Roman"/>
          <w:color w:val="000000" w:themeColor="text1"/>
          <w:kern w:val="0"/>
          <w14:ligatures w14:val="none"/>
        </w:rPr>
        <w:t xml:space="preserve">o </w:t>
      </w:r>
      <w:r w:rsidRPr="00391600" w:rsidR="00F570C5">
        <w:rPr>
          <w:rFonts w:ascii="Palatino Linotype" w:hAnsi="Palatino Linotype" w:eastAsia="Palatino Linotype" w:cs="Times New Roman"/>
          <w:color w:val="000000" w:themeColor="text1"/>
          <w:kern w:val="0"/>
          <w14:ligatures w14:val="none"/>
        </w:rPr>
        <w:t>create “a portfolio of research that investigates societal elements”</w:t>
      </w:r>
      <w:r w:rsidRPr="00391600" w:rsidR="00953778">
        <w:rPr>
          <w:rFonts w:ascii="Palatino Linotype" w:hAnsi="Palatino Linotype" w:eastAsia="Palatino Linotype" w:cs="Times New Roman"/>
          <w:color w:val="000000" w:themeColor="text1"/>
          <w:kern w:val="0"/>
          <w14:ligatures w14:val="none"/>
        </w:rPr>
        <w:t xml:space="preserve"> </w:t>
      </w:r>
      <w:r w:rsidRPr="00391600" w:rsidR="00F570C5">
        <w:rPr>
          <w:rFonts w:ascii="Palatino Linotype" w:hAnsi="Palatino Linotype" w:eastAsia="Palatino Linotype" w:cs="Times New Roman"/>
          <w:color w:val="000000" w:themeColor="text1"/>
          <w:kern w:val="0"/>
          <w14:ligatures w14:val="none"/>
        </w:rPr>
        <w:t>and “[provides]</w:t>
      </w:r>
      <w:r w:rsidRPr="00391600" w:rsidR="00426F1B">
        <w:rPr>
          <w:rFonts w:ascii="Palatino Linotype" w:hAnsi="Palatino Linotype" w:eastAsia="Palatino Linotype" w:cs="Times New Roman"/>
          <w:color w:val="000000" w:themeColor="text1"/>
          <w:kern w:val="0"/>
          <w14:ligatures w14:val="none"/>
        </w:rPr>
        <w:t xml:space="preserve"> supply chain, communications, tools, and community development recommendations that could help enable the transition</w:t>
      </w:r>
      <w:r w:rsidRPr="00391600" w:rsidR="00953778">
        <w:rPr>
          <w:rFonts w:ascii="Palatino Linotype" w:hAnsi="Palatino Linotype" w:eastAsia="Palatino Linotype" w:cs="Times New Roman"/>
          <w:color w:val="000000" w:themeColor="text1"/>
          <w:kern w:val="0"/>
          <w14:ligatures w14:val="none"/>
        </w:rPr>
        <w:t>.”</w:t>
      </w:r>
      <w:r w:rsidRPr="00391600" w:rsidR="00953778">
        <w:rPr>
          <w:rStyle w:val="FootnoteReference"/>
          <w:rFonts w:ascii="Palatino Linotype" w:hAnsi="Palatino Linotype" w:eastAsia="Palatino Linotype" w:cs="Times New Roman"/>
          <w:color w:val="000000" w:themeColor="text1"/>
          <w:kern w:val="0"/>
          <w14:ligatures w14:val="none"/>
        </w:rPr>
        <w:footnoteReference w:id="40"/>
      </w:r>
      <w:r w:rsidRPr="00391600" w:rsidR="00426F1B">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935B9C">
        <w:rPr>
          <w:rFonts w:ascii="Palatino Linotype" w:hAnsi="Palatino Linotype" w:eastAsia="Palatino Linotype" w:cs="Times New Roman"/>
          <w:color w:val="000000" w:themeColor="text1"/>
          <w:kern w:val="0"/>
          <w14:ligatures w14:val="none"/>
        </w:rPr>
        <w:t xml:space="preserve">CEC </w:t>
      </w:r>
      <w:r w:rsidRPr="00391600" w:rsidR="008E5C4C">
        <w:rPr>
          <w:rFonts w:ascii="Palatino Linotype" w:hAnsi="Palatino Linotype" w:eastAsia="Palatino Linotype" w:cs="Times New Roman"/>
          <w:color w:val="000000" w:themeColor="text1"/>
          <w:kern w:val="0"/>
          <w14:ligatures w14:val="none"/>
        </w:rPr>
        <w:t xml:space="preserve">proposes to </w:t>
      </w:r>
      <w:r w:rsidRPr="00391600" w:rsidR="00935B9C">
        <w:rPr>
          <w:rFonts w:ascii="Palatino Linotype" w:hAnsi="Palatino Linotype" w:eastAsia="Palatino Linotype" w:cs="Times New Roman"/>
          <w:color w:val="000000" w:themeColor="text1"/>
          <w:kern w:val="0"/>
          <w14:ligatures w14:val="none"/>
        </w:rPr>
        <w:t>allocates $</w:t>
      </w:r>
      <w:r w:rsidRPr="00391600" w:rsidR="00C1765D">
        <w:rPr>
          <w:rFonts w:ascii="Palatino Linotype" w:hAnsi="Palatino Linotype" w:eastAsia="Palatino Linotype" w:cs="Times New Roman"/>
          <w:color w:val="000000" w:themeColor="text1"/>
          <w:kern w:val="0"/>
          <w14:ligatures w14:val="none"/>
        </w:rPr>
        <w:t>3</w:t>
      </w:r>
      <w:r w:rsidRPr="00391600" w:rsidR="00935B9C">
        <w:rPr>
          <w:rFonts w:ascii="Palatino Linotype" w:hAnsi="Palatino Linotype" w:eastAsia="Palatino Linotype" w:cs="Times New Roman"/>
          <w:color w:val="000000" w:themeColor="text1"/>
          <w:kern w:val="0"/>
          <w14:ligatures w14:val="none"/>
        </w:rPr>
        <w:t xml:space="preserve">,000,000 </w:t>
      </w:r>
      <w:r w:rsidRPr="00391600" w:rsidR="008E5C4C">
        <w:rPr>
          <w:rFonts w:ascii="Palatino Linotype" w:hAnsi="Palatino Linotype" w:eastAsia="Palatino Linotype" w:cs="Times New Roman"/>
          <w:color w:val="000000" w:themeColor="text1"/>
          <w:kern w:val="0"/>
          <w14:ligatures w14:val="none"/>
        </w:rPr>
        <w:t xml:space="preserve">in its 2025 Plan </w:t>
      </w:r>
      <w:r w:rsidRPr="00391600" w:rsidR="00935B9C">
        <w:rPr>
          <w:rFonts w:ascii="Palatino Linotype" w:hAnsi="Palatino Linotype" w:eastAsia="Palatino Linotype" w:cs="Times New Roman"/>
          <w:color w:val="000000" w:themeColor="text1"/>
          <w:kern w:val="0"/>
          <w14:ligatures w14:val="none"/>
        </w:rPr>
        <w:t>to this Initiative.</w:t>
      </w:r>
      <w:r w:rsidRPr="00391600" w:rsidR="00DD07C6">
        <w:rPr>
          <w:rStyle w:val="FootnoteReference"/>
          <w:rFonts w:ascii="Palatino Linotype" w:hAnsi="Palatino Linotype" w:eastAsia="Palatino Linotype" w:cs="Times New Roman"/>
          <w:color w:val="000000" w:themeColor="text1"/>
          <w:kern w:val="0"/>
          <w14:ligatures w14:val="none"/>
        </w:rPr>
        <w:footnoteReference w:id="41"/>
      </w:r>
    </w:p>
    <w:p w:rsidRPr="00391600" w:rsidR="00D170A1" w:rsidP="00414B0A" w:rsidRDefault="00D170A1" w14:paraId="67C43125" w14:textId="77777777">
      <w:pPr>
        <w:autoSpaceDE w:val="0"/>
        <w:autoSpaceDN w:val="0"/>
        <w:adjustRightInd w:val="0"/>
        <w:spacing w:after="0" w:line="276" w:lineRule="auto"/>
        <w:rPr>
          <w:rFonts w:ascii="Palatino Linotype" w:hAnsi="Palatino Linotype" w:cs="Tahoma"/>
          <w:i/>
          <w:iCs/>
          <w:color w:val="000000" w:themeColor="text1"/>
          <w:kern w:val="0"/>
        </w:rPr>
      </w:pPr>
    </w:p>
    <w:p w:rsidRPr="00391600" w:rsidR="000A3610" w:rsidP="0058104D" w:rsidRDefault="000A3610" w14:paraId="0D010230" w14:textId="588E579E">
      <w:pPr>
        <w:autoSpaceDE w:val="0"/>
        <w:autoSpaceDN w:val="0"/>
        <w:adjustRightInd w:val="0"/>
        <w:spacing w:line="276" w:lineRule="auto"/>
        <w:rPr>
          <w:rFonts w:ascii="Palatino Linotype" w:hAnsi="Palatino Linotype" w:cs="Tahoma"/>
          <w:i/>
          <w:iCs/>
          <w:color w:val="000000" w:themeColor="text1"/>
          <w:kern w:val="0"/>
        </w:rPr>
      </w:pPr>
      <w:r w:rsidRPr="00391600">
        <w:rPr>
          <w:rFonts w:ascii="Palatino Linotype" w:hAnsi="Palatino Linotype" w:cs="Tahoma"/>
          <w:i/>
          <w:iCs/>
          <w:color w:val="000000" w:themeColor="text1"/>
          <w:kern w:val="0"/>
        </w:rPr>
        <w:t xml:space="preserve">Pilot Projects to Advance Gas Decommissioning </w:t>
      </w:r>
    </w:p>
    <w:p w:rsidRPr="00391600" w:rsidR="00D22015" w:rsidP="0058104D" w:rsidRDefault="00F94540" w14:paraId="755E0433" w14:textId="51FD244C">
      <w:pPr>
        <w:autoSpaceDE w:val="0"/>
        <w:autoSpaceDN w:val="0"/>
        <w:adjustRightInd w:val="0"/>
        <w:spacing w:after="0" w:line="276" w:lineRule="auto"/>
        <w:rPr>
          <w:rFonts w:ascii="Palatino Linotype" w:hAnsi="Palatino Linotype" w:cs="Tahoma"/>
          <w:color w:val="000000" w:themeColor="text1"/>
          <w:kern w:val="0"/>
          <w:u w:val="singl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391600" w:rsidR="00D22015">
        <w:rPr>
          <w:rFonts w:ascii="Palatino Linotype" w:hAnsi="Palatino Linotype" w:eastAsia="Palatino Linotype" w:cs="Times New Roman"/>
          <w:color w:val="000000" w:themeColor="text1"/>
          <w:kern w:val="0"/>
          <w14:ligatures w14:val="none"/>
        </w:rPr>
        <w:t xml:space="preserve">within the </w:t>
      </w:r>
      <w:r w:rsidRPr="00391600" w:rsidR="00D22015">
        <w:rPr>
          <w:rFonts w:ascii="Palatino Linotype" w:hAnsi="Palatino Linotype" w:cs="Tahoma"/>
          <w:color w:val="000000" w:themeColor="text1"/>
          <w:kern w:val="0"/>
        </w:rPr>
        <w:t xml:space="preserve">Pilot Projects to Advance Gas Decommissioning </w:t>
      </w:r>
      <w:r w:rsidRPr="00391600" w:rsidR="00D22015">
        <w:rPr>
          <w:rFonts w:ascii="Palatino Linotype" w:hAnsi="Palatino Linotype" w:eastAsia="Palatino Linotype" w:cs="Times New Roman"/>
          <w:color w:val="000000" w:themeColor="text1"/>
          <w:kern w:val="0"/>
          <w14:ligatures w14:val="none"/>
        </w:rPr>
        <w:t xml:space="preserve">Initiative </w:t>
      </w:r>
      <w:r w:rsidRPr="00391600" w:rsidR="0024158F">
        <w:rPr>
          <w:rFonts w:ascii="Palatino Linotype" w:hAnsi="Palatino Linotype" w:eastAsia="Palatino Linotype" w:cs="Times New Roman"/>
          <w:color w:val="000000" w:themeColor="text1"/>
          <w:kern w:val="0"/>
          <w14:ligatures w14:val="none"/>
        </w:rPr>
        <w:t xml:space="preserve">which </w:t>
      </w:r>
      <w:r w:rsidRPr="00391600" w:rsidR="00EB2157">
        <w:rPr>
          <w:rFonts w:ascii="Palatino Linotype" w:hAnsi="Palatino Linotype" w:eastAsia="Palatino Linotype" w:cs="Times New Roman"/>
          <w:color w:val="000000" w:themeColor="text1"/>
          <w:kern w:val="0"/>
          <w14:ligatures w14:val="none"/>
        </w:rPr>
        <w:t>will involve “</w:t>
      </w:r>
      <w:r w:rsidRPr="00391600" w:rsidR="002F02BE">
        <w:rPr>
          <w:rFonts w:ascii="Palatino Linotype" w:hAnsi="Palatino Linotype" w:eastAsia="Palatino Linotype" w:cs="Times New Roman"/>
          <w:color w:val="000000" w:themeColor="text1"/>
          <w:kern w:val="0"/>
          <w14:ligatures w14:val="none"/>
        </w:rPr>
        <w:t xml:space="preserve">gas decommissioning pilot demonstrations to gather empirical data on technical, economic, and environmental </w:t>
      </w:r>
      <w:r w:rsidRPr="00391600" w:rsidR="002F02BE">
        <w:rPr>
          <w:rFonts w:ascii="Palatino Linotype" w:hAnsi="Palatino Linotype" w:eastAsia="Palatino Linotype" w:cs="Times New Roman"/>
          <w:color w:val="000000" w:themeColor="text1"/>
          <w:kern w:val="0"/>
          <w14:ligatures w14:val="none"/>
        </w:rPr>
        <w:lastRenderedPageBreak/>
        <w:t>feasibility and assess practical implications and</w:t>
      </w:r>
      <w:r w:rsidRPr="00391600" w:rsidR="004837C3">
        <w:rPr>
          <w:rFonts w:ascii="Palatino Linotype" w:hAnsi="Palatino Linotype" w:eastAsia="Palatino Linotype" w:cs="Times New Roman"/>
          <w:color w:val="000000" w:themeColor="text1"/>
          <w:kern w:val="0"/>
          <w14:ligatures w14:val="none"/>
        </w:rPr>
        <w:t xml:space="preserve"> challenges of midterm gas decommissioning</w:t>
      </w:r>
      <w:r w:rsidRPr="00391600" w:rsidR="00EB2157">
        <w:rPr>
          <w:rFonts w:ascii="Palatino Linotype" w:hAnsi="Palatino Linotype" w:eastAsia="Palatino Linotype" w:cs="Times New Roman"/>
          <w:color w:val="000000" w:themeColor="text1"/>
          <w:kern w:val="0"/>
          <w14:ligatures w14:val="none"/>
        </w:rPr>
        <w:t>.”</w:t>
      </w:r>
      <w:r w:rsidRPr="00391600" w:rsidR="00EB2157">
        <w:rPr>
          <w:rStyle w:val="FootnoteReference"/>
          <w:rFonts w:ascii="Palatino Linotype" w:hAnsi="Palatino Linotype" w:eastAsia="Palatino Linotype" w:cs="Times New Roman"/>
          <w:color w:val="000000" w:themeColor="text1"/>
          <w:kern w:val="0"/>
          <w14:ligatures w14:val="none"/>
        </w:rPr>
        <w:footnoteReference w:id="42"/>
      </w:r>
      <w:r w:rsidRPr="00391600" w:rsidR="004837C3">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D22015">
        <w:rPr>
          <w:rFonts w:ascii="Palatino Linotype" w:hAnsi="Palatino Linotype" w:eastAsia="Palatino Linotype" w:cs="Times New Roman"/>
          <w:color w:val="000000" w:themeColor="text1"/>
          <w:kern w:val="0"/>
          <w14:ligatures w14:val="none"/>
        </w:rPr>
        <w:t xml:space="preserve">CEC </w:t>
      </w:r>
      <w:r w:rsidRPr="00391600" w:rsidR="008E5C4C">
        <w:rPr>
          <w:rFonts w:ascii="Palatino Linotype" w:hAnsi="Palatino Linotype" w:eastAsia="Palatino Linotype" w:cs="Times New Roman"/>
          <w:color w:val="000000" w:themeColor="text1"/>
          <w:kern w:val="0"/>
          <w14:ligatures w14:val="none"/>
        </w:rPr>
        <w:t xml:space="preserve">proposes to </w:t>
      </w:r>
      <w:r w:rsidRPr="00391600" w:rsidR="00D22015">
        <w:rPr>
          <w:rFonts w:ascii="Palatino Linotype" w:hAnsi="Palatino Linotype" w:eastAsia="Palatino Linotype" w:cs="Times New Roman"/>
          <w:color w:val="000000" w:themeColor="text1"/>
          <w:kern w:val="0"/>
          <w14:ligatures w14:val="none"/>
        </w:rPr>
        <w:t xml:space="preserve">allocate $6,000,000 </w:t>
      </w:r>
      <w:r w:rsidRPr="00391600" w:rsidR="008E5C4C">
        <w:rPr>
          <w:rFonts w:ascii="Palatino Linotype" w:hAnsi="Palatino Linotype" w:eastAsia="Palatino Linotype" w:cs="Times New Roman"/>
          <w:color w:val="000000" w:themeColor="text1"/>
          <w:kern w:val="0"/>
          <w14:ligatures w14:val="none"/>
        </w:rPr>
        <w:t xml:space="preserve">in its 2025 Plan </w:t>
      </w:r>
      <w:r w:rsidRPr="00391600" w:rsidR="00D22015">
        <w:rPr>
          <w:rFonts w:ascii="Palatino Linotype" w:hAnsi="Palatino Linotype" w:eastAsia="Palatino Linotype" w:cs="Times New Roman"/>
          <w:color w:val="000000" w:themeColor="text1"/>
          <w:kern w:val="0"/>
          <w14:ligatures w14:val="none"/>
        </w:rPr>
        <w:t>to this Initiative.</w:t>
      </w:r>
      <w:r w:rsidRPr="00391600" w:rsidR="00221BF7">
        <w:rPr>
          <w:rStyle w:val="FootnoteReference"/>
          <w:rFonts w:ascii="Palatino Linotype" w:hAnsi="Palatino Linotype" w:eastAsia="Palatino Linotype" w:cs="Times New Roman"/>
          <w:color w:val="000000" w:themeColor="text1"/>
          <w:kern w:val="0"/>
          <w14:ligatures w14:val="none"/>
        </w:rPr>
        <w:footnoteReference w:id="43"/>
      </w:r>
    </w:p>
    <w:p w:rsidRPr="00391600" w:rsidR="0012539A" w:rsidP="003147DD" w:rsidRDefault="0012539A" w14:paraId="0B9CF2B4"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391600" w:rsidR="0012539A" w:rsidP="00F94540" w:rsidRDefault="00311F69" w14:paraId="670C33EE" w14:textId="79751A53">
      <w:pPr>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 xml:space="preserve">Building </w:t>
      </w:r>
      <w:r w:rsidRPr="00391600" w:rsidR="0012539A">
        <w:rPr>
          <w:rFonts w:ascii="Palatino Linotype" w:hAnsi="Palatino Linotype" w:eastAsia="Palatino Linotype" w:cs="Times New Roman"/>
          <w:bCs/>
          <w:color w:val="000000" w:themeColor="text1"/>
          <w:kern w:val="0"/>
          <w:u w:val="single"/>
          <w14:ligatures w14:val="none"/>
        </w:rPr>
        <w:t>Decarbonization Theme</w:t>
      </w:r>
      <w:r w:rsidRPr="00391600" w:rsidR="008127CE">
        <w:rPr>
          <w:rFonts w:ascii="Palatino Linotype" w:hAnsi="Palatino Linotype" w:eastAsia="Palatino Linotype" w:cs="Times New Roman"/>
          <w:bCs/>
          <w:color w:val="000000" w:themeColor="text1"/>
          <w:kern w:val="0"/>
          <w:u w:val="single"/>
          <w14:ligatures w14:val="none"/>
        </w:rPr>
        <w:t xml:space="preserve"> Proposed Initiatives</w:t>
      </w:r>
    </w:p>
    <w:p w:rsidRPr="00391600" w:rsidR="0012539A" w:rsidP="003147DD" w:rsidRDefault="00F94540" w14:paraId="2A5F8E8C" w14:textId="161DA829">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Initiatives </w:t>
      </w:r>
      <w:r w:rsidRPr="00391600" w:rsidR="0012539A">
        <w:rPr>
          <w:rFonts w:ascii="Palatino Linotype" w:hAnsi="Palatino Linotype" w:eastAsia="Palatino Linotype" w:cs="Times New Roman"/>
          <w:color w:val="000000" w:themeColor="text1"/>
          <w:kern w:val="0"/>
          <w14:ligatures w14:val="none"/>
        </w:rPr>
        <w:t xml:space="preserve">within the </w:t>
      </w:r>
      <w:r w:rsidRPr="00391600" w:rsidR="00D93D36">
        <w:rPr>
          <w:rFonts w:ascii="Palatino Linotype" w:hAnsi="Palatino Linotype" w:eastAsia="Palatino Linotype" w:cs="Times New Roman"/>
          <w:color w:val="000000" w:themeColor="text1"/>
          <w:kern w:val="0"/>
          <w14:ligatures w14:val="none"/>
        </w:rPr>
        <w:t>Building Decarbonization</w:t>
      </w:r>
      <w:r w:rsidRPr="00391600" w:rsidR="00311F69">
        <w:rPr>
          <w:rFonts w:ascii="Palatino Linotype" w:hAnsi="Palatino Linotype" w:eastAsia="Palatino Linotype" w:cs="Times New Roman"/>
          <w:color w:val="000000" w:themeColor="text1"/>
          <w:kern w:val="0"/>
          <w14:ligatures w14:val="none"/>
        </w:rPr>
        <w:t xml:space="preserve"> Theme</w:t>
      </w:r>
      <w:r w:rsidRPr="00391600" w:rsidR="0012539A">
        <w:rPr>
          <w:rFonts w:ascii="Palatino Linotype" w:hAnsi="Palatino Linotype" w:eastAsia="Palatino Linotype" w:cs="Times New Roman"/>
          <w:color w:val="000000" w:themeColor="text1"/>
          <w:kern w:val="0"/>
          <w14:ligatures w14:val="none"/>
        </w:rPr>
        <w:t xml:space="preserve"> to</w:t>
      </w:r>
      <w:r w:rsidRPr="00391600" w:rsidR="0010624E">
        <w:rPr>
          <w:rFonts w:ascii="Palatino Linotype" w:hAnsi="Palatino Linotype" w:eastAsia="Palatino Linotype" w:cs="Times New Roman"/>
          <w:color w:val="000000" w:themeColor="text1"/>
          <w:kern w:val="0"/>
          <w14:ligatures w14:val="none"/>
        </w:rPr>
        <w:t xml:space="preserve"> s</w:t>
      </w:r>
      <w:r w:rsidRPr="00391600" w:rsidR="00897706">
        <w:rPr>
          <w:rFonts w:ascii="Palatino Linotype" w:hAnsi="Palatino Linotype" w:eastAsia="Palatino Linotype" w:cs="Times New Roman"/>
          <w:color w:val="000000" w:themeColor="text1"/>
          <w:kern w:val="0"/>
          <w14:ligatures w14:val="none"/>
        </w:rPr>
        <w:t xml:space="preserve">upport </w:t>
      </w:r>
      <w:r w:rsidRPr="00391600" w:rsidR="0010624E">
        <w:rPr>
          <w:rFonts w:ascii="Palatino Linotype" w:hAnsi="Palatino Linotype" w:eastAsia="Palatino Linotype" w:cs="Times New Roman"/>
          <w:color w:val="000000" w:themeColor="text1"/>
          <w:kern w:val="0"/>
          <w14:ligatures w14:val="none"/>
        </w:rPr>
        <w:t>“</w:t>
      </w:r>
      <w:r w:rsidRPr="00391600" w:rsidR="00897706">
        <w:rPr>
          <w:rFonts w:ascii="Palatino Linotype" w:hAnsi="Palatino Linotype" w:eastAsia="Palatino Linotype" w:cs="Times New Roman"/>
          <w:color w:val="000000" w:themeColor="text1"/>
          <w:kern w:val="0"/>
          <w14:ligatures w14:val="none"/>
        </w:rPr>
        <w:t>the shift to community-scale approaches that enable scaling, higher efficiencies, and greater impacts</w:t>
      </w:r>
      <w:r w:rsidRPr="00391600" w:rsidR="00A24E0F">
        <w:rPr>
          <w:rFonts w:ascii="Palatino Linotype" w:hAnsi="Palatino Linotype" w:eastAsia="Palatino Linotype" w:cs="Times New Roman"/>
          <w:color w:val="000000" w:themeColor="text1"/>
          <w:kern w:val="0"/>
          <w14:ligatures w14:val="none"/>
        </w:rPr>
        <w:t>,</w:t>
      </w:r>
      <w:r w:rsidRPr="00391600" w:rsidR="0010624E">
        <w:rPr>
          <w:rFonts w:ascii="Palatino Linotype" w:hAnsi="Palatino Linotype" w:eastAsia="Palatino Linotype" w:cs="Times New Roman"/>
          <w:color w:val="000000" w:themeColor="text1"/>
          <w:kern w:val="0"/>
          <w14:ligatures w14:val="none"/>
        </w:rPr>
        <w:t>”</w:t>
      </w:r>
      <w:r w:rsidRPr="00391600" w:rsidR="00A24E0F">
        <w:rPr>
          <w:rFonts w:ascii="Palatino Linotype" w:hAnsi="Palatino Linotype" w:eastAsia="Palatino Linotype" w:cs="Times New Roman"/>
          <w:color w:val="000000" w:themeColor="text1"/>
          <w:kern w:val="0"/>
          <w14:ligatures w14:val="none"/>
        </w:rPr>
        <w:t xml:space="preserve"> including</w:t>
      </w:r>
      <w:r w:rsidRPr="00391600" w:rsidR="000F2927">
        <w:rPr>
          <w:rFonts w:ascii="Palatino Linotype" w:hAnsi="Palatino Linotype" w:eastAsia="Palatino Linotype" w:cs="Times New Roman"/>
          <w:color w:val="000000" w:themeColor="text1"/>
          <w:kern w:val="0"/>
          <w14:ligatures w14:val="none"/>
        </w:rPr>
        <w:t xml:space="preserve"> </w:t>
      </w:r>
      <w:r w:rsidRPr="00391600" w:rsidR="0010624E">
        <w:rPr>
          <w:rFonts w:ascii="Palatino Linotype" w:hAnsi="Palatino Linotype" w:eastAsia="Palatino Linotype" w:cs="Times New Roman"/>
          <w:color w:val="000000" w:themeColor="text1"/>
          <w:kern w:val="0"/>
          <w14:ligatures w14:val="none"/>
        </w:rPr>
        <w:t xml:space="preserve">by </w:t>
      </w:r>
      <w:r w:rsidRPr="00391600" w:rsidR="004A0BA5">
        <w:rPr>
          <w:rFonts w:ascii="Palatino Linotype" w:hAnsi="Palatino Linotype" w:eastAsia="Palatino Linotype" w:cs="Times New Roman"/>
          <w:color w:val="000000" w:themeColor="text1"/>
          <w:kern w:val="0"/>
          <w14:ligatures w14:val="none"/>
        </w:rPr>
        <w:t xml:space="preserve">harnessing </w:t>
      </w:r>
      <w:r w:rsidRPr="00391600" w:rsidR="00A40D89">
        <w:rPr>
          <w:rFonts w:ascii="Palatino Linotype" w:hAnsi="Palatino Linotype" w:eastAsia="Palatino Linotype" w:cs="Times New Roman"/>
          <w:color w:val="000000" w:themeColor="text1"/>
          <w:kern w:val="0"/>
          <w14:ligatures w14:val="none"/>
        </w:rPr>
        <w:t>n</w:t>
      </w:r>
      <w:r w:rsidRPr="00391600" w:rsidR="005C0E1E">
        <w:rPr>
          <w:rFonts w:ascii="Palatino Linotype" w:hAnsi="Palatino Linotype" w:eastAsia="Palatino Linotype" w:cs="Times New Roman"/>
          <w:color w:val="000000" w:themeColor="text1"/>
          <w:kern w:val="0"/>
          <w14:ligatures w14:val="none"/>
        </w:rPr>
        <w:t xml:space="preserve">etworked geothermal heat pump (GHP) </w:t>
      </w:r>
      <w:r w:rsidRPr="00391600" w:rsidR="004A0BA5">
        <w:rPr>
          <w:rFonts w:ascii="Palatino Linotype" w:hAnsi="Palatino Linotype" w:eastAsia="Palatino Linotype" w:cs="Times New Roman"/>
          <w:color w:val="000000" w:themeColor="text1"/>
          <w:kern w:val="0"/>
          <w14:ligatures w14:val="none"/>
        </w:rPr>
        <w:t xml:space="preserve">technology </w:t>
      </w:r>
      <w:r w:rsidRPr="00391600" w:rsidR="00A40D89">
        <w:rPr>
          <w:rFonts w:ascii="Palatino Linotype" w:hAnsi="Palatino Linotype" w:eastAsia="Palatino Linotype" w:cs="Times New Roman"/>
          <w:color w:val="000000" w:themeColor="text1"/>
          <w:kern w:val="0"/>
          <w14:ligatures w14:val="none"/>
        </w:rPr>
        <w:t>as a means of</w:t>
      </w:r>
      <w:r w:rsidRPr="00391600" w:rsidR="00554500">
        <w:rPr>
          <w:rFonts w:ascii="Palatino Linotype" w:hAnsi="Palatino Linotype" w:eastAsia="Palatino Linotype" w:cs="Times New Roman"/>
          <w:color w:val="000000" w:themeColor="text1"/>
          <w:kern w:val="0"/>
          <w14:ligatures w14:val="none"/>
        </w:rPr>
        <w:t xml:space="preserve"> </w:t>
      </w:r>
      <w:r w:rsidRPr="00391600" w:rsidR="00A40D89">
        <w:rPr>
          <w:rFonts w:ascii="Palatino Linotype" w:hAnsi="Palatino Linotype" w:eastAsia="Palatino Linotype" w:cs="Times New Roman"/>
          <w:color w:val="000000" w:themeColor="text1"/>
          <w:kern w:val="0"/>
          <w14:ligatures w14:val="none"/>
        </w:rPr>
        <w:t>“</w:t>
      </w:r>
      <w:r w:rsidRPr="00391600" w:rsidR="00554500">
        <w:rPr>
          <w:rFonts w:ascii="Palatino Linotype" w:hAnsi="Palatino Linotype" w:eastAsia="Palatino Linotype" w:cs="Times New Roman"/>
          <w:color w:val="000000" w:themeColor="text1"/>
          <w:kern w:val="0"/>
          <w14:ligatures w14:val="none"/>
        </w:rPr>
        <w:t>decreasing overall energy consumption, replacing fossil gas use, and enabling high thermal efficiencies at a large scale</w:t>
      </w:r>
      <w:r w:rsidRPr="00391600" w:rsidR="004A0BA5">
        <w:rPr>
          <w:rFonts w:ascii="Palatino Linotype" w:hAnsi="Palatino Linotype" w:eastAsia="Palatino Linotype" w:cs="Times New Roman"/>
          <w:color w:val="000000" w:themeColor="text1"/>
          <w:kern w:val="0"/>
          <w14:ligatures w14:val="none"/>
        </w:rPr>
        <w:t>.”</w:t>
      </w:r>
      <w:r w:rsidRPr="00391600" w:rsidR="004A0BA5">
        <w:rPr>
          <w:rStyle w:val="FootnoteReference"/>
          <w:rFonts w:ascii="Palatino Linotype" w:hAnsi="Palatino Linotype" w:eastAsia="Palatino Linotype" w:cs="Times New Roman"/>
          <w:color w:val="000000" w:themeColor="text1"/>
          <w:kern w:val="0"/>
          <w14:ligatures w14:val="none"/>
        </w:rPr>
        <w:footnoteReference w:id="44"/>
      </w:r>
    </w:p>
    <w:p w:rsidRPr="00391600" w:rsidR="005C0E1E" w:rsidP="003147DD" w:rsidRDefault="005C0E1E" w14:paraId="56EC5C81"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A24E0F" w:rsidP="0058104D" w:rsidRDefault="00D93D36" w14:paraId="396AC545" w14:textId="7CEB015A">
      <w:pPr>
        <w:spacing w:line="276" w:lineRule="auto"/>
        <w:rPr>
          <w:rFonts w:ascii="Palatino Linotype" w:hAnsi="Palatino Linotype" w:eastAsia="Palatino Linotype" w:cs="Times New Roman"/>
          <w:bCs/>
          <w:i/>
          <w:iCs/>
          <w:color w:val="000000" w:themeColor="text1"/>
          <w:kern w:val="0"/>
          <w14:ligatures w14:val="none"/>
        </w:rPr>
      </w:pPr>
      <w:r w:rsidRPr="00391600">
        <w:rPr>
          <w:rFonts w:ascii="Palatino Linotype" w:hAnsi="Palatino Linotype" w:eastAsia="Palatino Linotype" w:cs="Times New Roman"/>
          <w:bCs/>
          <w:i/>
          <w:iCs/>
          <w:color w:val="000000" w:themeColor="text1"/>
          <w:kern w:val="0"/>
          <w14:ligatures w14:val="none"/>
        </w:rPr>
        <w:t xml:space="preserve">Networked Geothermal </w:t>
      </w:r>
      <w:r w:rsidRPr="00391600" w:rsidR="007D1139">
        <w:rPr>
          <w:rFonts w:ascii="Palatino Linotype" w:hAnsi="Palatino Linotype" w:eastAsia="Palatino Linotype" w:cs="Times New Roman"/>
          <w:bCs/>
          <w:i/>
          <w:iCs/>
          <w:color w:val="000000" w:themeColor="text1"/>
          <w:kern w:val="0"/>
          <w14:ligatures w14:val="none"/>
        </w:rPr>
        <w:t>Heat Pumps</w:t>
      </w:r>
    </w:p>
    <w:p w:rsidRPr="00391600" w:rsidR="007D1139" w:rsidP="0058104D" w:rsidRDefault="00F94540" w14:paraId="0245020B" w14:textId="32F3B9EB">
      <w:pPr>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4A79C1">
        <w:rPr>
          <w:rFonts w:ascii="Palatino Linotype" w:hAnsi="Palatino Linotype" w:eastAsia="Palatino Linotype" w:cs="Times New Roman"/>
          <w:color w:val="000000" w:themeColor="text1"/>
          <w:kern w:val="0"/>
          <w14:ligatures w14:val="none"/>
        </w:rPr>
        <w:t xml:space="preserve">CEC states that it seeks to develop projects </w:t>
      </w:r>
      <w:r w:rsidRPr="00391600" w:rsidR="00E33BA7">
        <w:rPr>
          <w:rFonts w:ascii="Palatino Linotype" w:hAnsi="Palatino Linotype" w:eastAsia="Palatino Linotype" w:cs="Times New Roman"/>
          <w:color w:val="000000" w:themeColor="text1"/>
          <w:kern w:val="0"/>
          <w14:ligatures w14:val="none"/>
        </w:rPr>
        <w:t xml:space="preserve">within the Networked Geothermal Heat Pumps Initiative </w:t>
      </w:r>
      <w:r w:rsidRPr="00391600" w:rsidR="00B46F6C">
        <w:rPr>
          <w:rFonts w:ascii="Palatino Linotype" w:hAnsi="Palatino Linotype" w:eastAsia="Palatino Linotype" w:cs="Times New Roman"/>
          <w:color w:val="000000" w:themeColor="text1"/>
          <w:kern w:val="0"/>
          <w14:ligatures w14:val="none"/>
        </w:rPr>
        <w:t xml:space="preserve">to “assess the potential cost-effectiveness and comparative environmental advantages of deploying networked geothermal technology as </w:t>
      </w:r>
      <w:r w:rsidRPr="00391600" w:rsidR="000C4CBF">
        <w:rPr>
          <w:rFonts w:ascii="Palatino Linotype" w:hAnsi="Palatino Linotype" w:eastAsia="Palatino Linotype" w:cs="Times New Roman"/>
          <w:color w:val="000000" w:themeColor="text1"/>
          <w:kern w:val="0"/>
          <w14:ligatures w14:val="none"/>
        </w:rPr>
        <w:br/>
      </w:r>
      <w:r w:rsidRPr="00391600" w:rsidR="00B46F6C">
        <w:rPr>
          <w:rFonts w:ascii="Palatino Linotype" w:hAnsi="Palatino Linotype" w:eastAsia="Palatino Linotype" w:cs="Times New Roman"/>
          <w:color w:val="000000" w:themeColor="text1"/>
          <w:kern w:val="0"/>
          <w14:ligatures w14:val="none"/>
        </w:rPr>
        <w:t xml:space="preserve">a zero-emission heating and cooling alternative for gas customers in California through a two-phase approach,” including </w:t>
      </w:r>
      <w:r w:rsidRPr="00391600" w:rsidR="005E574A">
        <w:rPr>
          <w:rFonts w:ascii="Palatino Linotype" w:hAnsi="Palatino Linotype" w:eastAsia="Palatino Linotype" w:cs="Times New Roman"/>
          <w:color w:val="000000" w:themeColor="text1"/>
          <w:kern w:val="0"/>
          <w14:ligatures w14:val="none"/>
        </w:rPr>
        <w:t>one or more p</w:t>
      </w:r>
      <w:r w:rsidRPr="00391600" w:rsidR="00024E40">
        <w:rPr>
          <w:rFonts w:ascii="Palatino Linotype" w:hAnsi="Palatino Linotype" w:eastAsia="Palatino Linotype" w:cs="Times New Roman"/>
          <w:color w:val="000000" w:themeColor="text1"/>
          <w:kern w:val="0"/>
          <w14:ligatures w14:val="none"/>
        </w:rPr>
        <w:t>ilot demonstrations.</w:t>
      </w:r>
      <w:r w:rsidRPr="00391600" w:rsidR="00024E40">
        <w:rPr>
          <w:rStyle w:val="FootnoteReference"/>
          <w:rFonts w:ascii="Palatino Linotype" w:hAnsi="Palatino Linotype" w:eastAsia="Palatino Linotype" w:cs="Times New Roman"/>
          <w:color w:val="000000" w:themeColor="text1"/>
          <w:kern w:val="0"/>
          <w14:ligatures w14:val="none"/>
        </w:rPr>
        <w:footnoteReference w:id="45"/>
      </w:r>
      <w:r w:rsidRPr="00391600" w:rsidR="00CB1919">
        <w:rPr>
          <w:rFonts w:ascii="Palatino Linotype" w:hAnsi="Palatino Linotype" w:eastAsia="Palatino Linotype"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The </w:t>
      </w:r>
      <w:r w:rsidRPr="00391600" w:rsidR="00E33BA7">
        <w:rPr>
          <w:rFonts w:ascii="Palatino Linotype" w:hAnsi="Palatino Linotype" w:eastAsia="Palatino Linotype" w:cs="Times New Roman"/>
          <w:color w:val="000000" w:themeColor="text1"/>
          <w:kern w:val="0"/>
          <w14:ligatures w14:val="none"/>
        </w:rPr>
        <w:t xml:space="preserve">CEC </w:t>
      </w:r>
      <w:r w:rsidRPr="00391600" w:rsidR="008E5C4C">
        <w:rPr>
          <w:rFonts w:ascii="Palatino Linotype" w:hAnsi="Palatino Linotype" w:eastAsia="Palatino Linotype" w:cs="Times New Roman"/>
          <w:color w:val="000000" w:themeColor="text1"/>
          <w:kern w:val="0"/>
          <w14:ligatures w14:val="none"/>
        </w:rPr>
        <w:t xml:space="preserve">proposes to </w:t>
      </w:r>
      <w:r w:rsidRPr="00391600" w:rsidR="00E33BA7">
        <w:rPr>
          <w:rFonts w:ascii="Palatino Linotype" w:hAnsi="Palatino Linotype" w:eastAsia="Palatino Linotype" w:cs="Times New Roman"/>
          <w:color w:val="000000" w:themeColor="text1"/>
          <w:kern w:val="0"/>
          <w14:ligatures w14:val="none"/>
        </w:rPr>
        <w:t>allocate $</w:t>
      </w:r>
      <w:r w:rsidRPr="00391600" w:rsidR="001E0717">
        <w:rPr>
          <w:rFonts w:ascii="Palatino Linotype" w:hAnsi="Palatino Linotype" w:eastAsia="Palatino Linotype" w:cs="Times New Roman"/>
          <w:color w:val="000000" w:themeColor="text1"/>
          <w:kern w:val="0"/>
          <w14:ligatures w14:val="none"/>
        </w:rPr>
        <w:t>12</w:t>
      </w:r>
      <w:r w:rsidRPr="00391600" w:rsidR="00E33BA7">
        <w:rPr>
          <w:rFonts w:ascii="Palatino Linotype" w:hAnsi="Palatino Linotype" w:eastAsia="Palatino Linotype" w:cs="Times New Roman"/>
          <w:color w:val="000000" w:themeColor="text1"/>
          <w:kern w:val="0"/>
          <w14:ligatures w14:val="none"/>
        </w:rPr>
        <w:t>,</w:t>
      </w:r>
      <w:r w:rsidRPr="00391600" w:rsidR="001E0717">
        <w:rPr>
          <w:rFonts w:ascii="Palatino Linotype" w:hAnsi="Palatino Linotype" w:eastAsia="Palatino Linotype" w:cs="Times New Roman"/>
          <w:color w:val="000000" w:themeColor="text1"/>
          <w:kern w:val="0"/>
          <w14:ligatures w14:val="none"/>
        </w:rPr>
        <w:t>6</w:t>
      </w:r>
      <w:r w:rsidRPr="00391600" w:rsidR="00E33BA7">
        <w:rPr>
          <w:rFonts w:ascii="Palatino Linotype" w:hAnsi="Palatino Linotype" w:eastAsia="Palatino Linotype" w:cs="Times New Roman"/>
          <w:color w:val="000000" w:themeColor="text1"/>
          <w:kern w:val="0"/>
          <w14:ligatures w14:val="none"/>
        </w:rPr>
        <w:t xml:space="preserve">00,000 </w:t>
      </w:r>
      <w:r w:rsidRPr="00391600" w:rsidR="008E5C4C">
        <w:rPr>
          <w:rFonts w:ascii="Palatino Linotype" w:hAnsi="Palatino Linotype" w:eastAsia="Palatino Linotype" w:cs="Times New Roman"/>
          <w:color w:val="000000" w:themeColor="text1"/>
          <w:kern w:val="0"/>
          <w14:ligatures w14:val="none"/>
        </w:rPr>
        <w:t xml:space="preserve">in its 2025 Plan </w:t>
      </w:r>
      <w:r w:rsidRPr="00391600" w:rsidR="00E33BA7">
        <w:rPr>
          <w:rFonts w:ascii="Palatino Linotype" w:hAnsi="Palatino Linotype" w:eastAsia="Palatino Linotype" w:cs="Times New Roman"/>
          <w:color w:val="000000" w:themeColor="text1"/>
          <w:kern w:val="0"/>
          <w14:ligatures w14:val="none"/>
        </w:rPr>
        <w:t>to this Initiative</w:t>
      </w:r>
      <w:r w:rsidRPr="00391600" w:rsidR="00221BF7">
        <w:rPr>
          <w:rFonts w:ascii="Palatino Linotype" w:hAnsi="Palatino Linotype" w:eastAsia="Palatino Linotype" w:cs="Times New Roman"/>
          <w:color w:val="000000" w:themeColor="text1"/>
          <w:kern w:val="0"/>
          <w14:ligatures w14:val="none"/>
        </w:rPr>
        <w:t>.</w:t>
      </w:r>
      <w:r w:rsidRPr="00391600" w:rsidR="00221BF7">
        <w:rPr>
          <w:rStyle w:val="FootnoteReference"/>
          <w:rFonts w:ascii="Palatino Linotype" w:hAnsi="Palatino Linotype" w:eastAsia="Palatino Linotype" w:cs="Times New Roman"/>
          <w:color w:val="000000" w:themeColor="text1"/>
          <w:kern w:val="0"/>
          <w14:ligatures w14:val="none"/>
        </w:rPr>
        <w:footnoteReference w:id="46"/>
      </w:r>
    </w:p>
    <w:p w:rsidRPr="00391600" w:rsidR="00D4575E" w:rsidP="003147DD" w:rsidRDefault="00D4575E" w14:paraId="64B2B231" w14:textId="77777777">
      <w:pPr>
        <w:spacing w:after="0" w:line="276" w:lineRule="auto"/>
        <w:rPr>
          <w:rFonts w:ascii="Palatino Linotype" w:hAnsi="Palatino Linotype" w:eastAsia="Palatino Linotype" w:cs="Times New Roman"/>
          <w:bCs/>
          <w:color w:val="000000" w:themeColor="text1"/>
          <w:kern w:val="0"/>
          <w:u w:val="single"/>
          <w14:ligatures w14:val="none"/>
        </w:rPr>
      </w:pPr>
    </w:p>
    <w:p w:rsidRPr="00391600" w:rsidR="00782092" w:rsidP="00530D42" w:rsidRDefault="00782092" w14:paraId="5830D664" w14:textId="4B2D1E05">
      <w:pPr>
        <w:keepNext/>
        <w:spacing w:line="276" w:lineRule="auto"/>
        <w:rPr>
          <w:rFonts w:ascii="Palatino Linotype" w:hAnsi="Palatino Linotype" w:eastAsia="Palatino Linotype" w:cs="Times New Roman"/>
          <w:bCs/>
          <w:color w:val="000000" w:themeColor="text1"/>
          <w:kern w:val="0"/>
          <w:u w:val="single"/>
          <w14:ligatures w14:val="none"/>
        </w:rPr>
      </w:pPr>
      <w:r w:rsidRPr="00391600">
        <w:rPr>
          <w:rFonts w:ascii="Palatino Linotype" w:hAnsi="Palatino Linotype" w:eastAsia="Palatino Linotype" w:cs="Times New Roman"/>
          <w:bCs/>
          <w:color w:val="000000" w:themeColor="text1"/>
          <w:kern w:val="0"/>
          <w:u w:val="single"/>
          <w14:ligatures w14:val="none"/>
        </w:rPr>
        <w:t>Program Administration</w:t>
      </w:r>
    </w:p>
    <w:p w:rsidRPr="00391600" w:rsidR="00D61EB8" w:rsidP="00530D42" w:rsidRDefault="005603DF" w14:paraId="55882FA6" w14:textId="34B2F087">
      <w:pPr>
        <w:keepNext/>
        <w:spacing w:after="0" w:line="276" w:lineRule="auto"/>
        <w:rPr>
          <w:rFonts w:ascii="Palatino Linotype" w:hAnsi="Palatino Linotype" w:eastAsia="Palatino Linotype" w:cs="Times New Roman"/>
          <w:bCs/>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CEC proposes </w:t>
      </w:r>
      <w:proofErr w:type="gramStart"/>
      <w:r w:rsidRPr="00391600">
        <w:rPr>
          <w:rFonts w:ascii="Palatino Linotype" w:hAnsi="Palatino Linotype" w:eastAsia="Palatino Linotype" w:cs="Times New Roman"/>
          <w:color w:val="000000" w:themeColor="text1"/>
          <w:kern w:val="0"/>
          <w14:ligatures w14:val="none"/>
        </w:rPr>
        <w:t>to allocate</w:t>
      </w:r>
      <w:proofErr w:type="gramEnd"/>
      <w:r w:rsidRPr="00391600">
        <w:rPr>
          <w:rFonts w:ascii="Palatino Linotype" w:hAnsi="Palatino Linotype" w:eastAsia="Palatino Linotype" w:cs="Times New Roman"/>
          <w:color w:val="000000" w:themeColor="text1"/>
          <w:kern w:val="0"/>
          <w14:ligatures w14:val="none"/>
        </w:rPr>
        <w:t xml:space="preserve"> ten percent of its FY 2024-2025 budget to administrative costs, </w:t>
      </w:r>
      <w:r w:rsidRPr="00391600" w:rsidR="0058104D">
        <w:rPr>
          <w:rFonts w:ascii="Palatino Linotype" w:hAnsi="Palatino Linotype" w:eastAsia="Palatino Linotype" w:cs="Times New Roman"/>
          <w:color w:val="000000" w:themeColor="text1"/>
          <w:kern w:val="0"/>
          <w14:ligatures w14:val="none"/>
        </w:rPr>
        <w:t>totaling</w:t>
      </w:r>
      <w:r w:rsidRPr="00391600">
        <w:rPr>
          <w:rFonts w:ascii="Palatino Linotype" w:hAnsi="Palatino Linotype" w:eastAsia="Palatino Linotype" w:cs="Times New Roman"/>
          <w:color w:val="000000" w:themeColor="text1"/>
          <w:kern w:val="0"/>
          <w14:ligatures w14:val="none"/>
        </w:rPr>
        <w:t xml:space="preserve"> $2.4 million </w:t>
      </w:r>
      <w:r w:rsidRPr="00391600" w:rsidR="00782092">
        <w:rPr>
          <w:rFonts w:ascii="Palatino Linotype" w:hAnsi="Palatino Linotype" w:eastAsia="Palatino Linotype" w:cs="Times New Roman"/>
          <w:color w:val="000000" w:themeColor="text1"/>
          <w:kern w:val="0"/>
          <w14:ligatures w14:val="none"/>
        </w:rPr>
        <w:t>in its 2025 Plan.</w:t>
      </w:r>
      <w:r w:rsidRPr="00391600" w:rsidR="00EE39ED">
        <w:rPr>
          <w:rStyle w:val="FootnoteReference"/>
          <w:rFonts w:ascii="Palatino Linotype" w:hAnsi="Palatino Linotype" w:eastAsia="Palatino Linotype" w:cs="Times New Roman"/>
          <w:color w:val="000000" w:themeColor="text1"/>
          <w:kern w:val="0"/>
          <w14:ligatures w14:val="none"/>
        </w:rPr>
        <w:footnoteReference w:id="47"/>
      </w:r>
      <w:r w:rsidRPr="00391600" w:rsidR="00782092">
        <w:rPr>
          <w:rFonts w:ascii="Palatino Linotype" w:hAnsi="Palatino Linotype" w:eastAsia="Palatino Linotype" w:cs="Times New Roman"/>
          <w:color w:val="000000" w:themeColor="text1"/>
          <w:kern w:val="0"/>
          <w14:ligatures w14:val="none"/>
        </w:rPr>
        <w:t xml:space="preserve"> </w:t>
      </w:r>
    </w:p>
    <w:p w:rsidRPr="00391600" w:rsidR="00596D39" w:rsidP="003147DD" w:rsidRDefault="00596D39" w14:paraId="06E93475" w14:textId="77777777">
      <w:pPr>
        <w:spacing w:after="0" w:line="276" w:lineRule="auto"/>
        <w:rPr>
          <w:rFonts w:ascii="Palatino Linotype" w:hAnsi="Palatino Linotype" w:eastAsia="Palatino Linotype" w:cs="Times New Roman"/>
          <w:bCs/>
          <w:color w:val="000000" w:themeColor="text1"/>
          <w:kern w:val="0"/>
          <w14:ligatures w14:val="none"/>
        </w:rPr>
      </w:pPr>
    </w:p>
    <w:p w:rsidRPr="00391600" w:rsidR="00A76F4A" w:rsidP="003147DD" w:rsidRDefault="00A76F4A" w14:paraId="030741A5"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bCs/>
          <w:caps/>
          <w:color w:val="000000" w:themeColor="text1"/>
          <w:kern w:val="28"/>
          <w:u w:val="single"/>
          <w14:ligatures w14:val="none"/>
        </w:rPr>
        <w:t>Notice</w:t>
      </w:r>
    </w:p>
    <w:p w:rsidRPr="00391600" w:rsidR="00AF74D5" w:rsidP="1B3767A6" w:rsidRDefault="00980D82" w14:paraId="408FBCEB" w14:textId="28C6D675">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Notice of </w:t>
      </w:r>
      <w:r w:rsidRPr="00391600" w:rsidR="0058104D">
        <w:rPr>
          <w:rFonts w:ascii="Palatino Linotype" w:hAnsi="Palatino Linotype" w:eastAsia="Palatino Linotype" w:cs="Times New Roman"/>
          <w:color w:val="000000" w:themeColor="text1"/>
          <w:kern w:val="0"/>
          <w14:ligatures w14:val="none"/>
        </w:rPr>
        <w:t>CEC</w:t>
      </w:r>
      <w:r w:rsidRPr="00391600" w:rsidR="00796A9F">
        <w:rPr>
          <w:rFonts w:ascii="Palatino Linotype" w:hAnsi="Palatino Linotype" w:eastAsia="Palatino Linotype" w:cs="Times New Roman"/>
          <w:color w:val="000000" w:themeColor="text1"/>
          <w:kern w:val="0"/>
          <w14:ligatures w14:val="none"/>
        </w:rPr>
        <w:t xml:space="preserve"> 12</w:t>
      </w:r>
      <w:r w:rsidRPr="00391600">
        <w:rPr>
          <w:rFonts w:ascii="Palatino Linotype" w:hAnsi="Palatino Linotype" w:eastAsia="Palatino Linotype" w:cs="Times New Roman"/>
          <w:color w:val="000000" w:themeColor="text1"/>
          <w:kern w:val="0"/>
          <w14:ligatures w14:val="none"/>
        </w:rPr>
        <w:t xml:space="preserve">-G </w:t>
      </w:r>
      <w:r w:rsidRPr="00391600" w:rsidR="00796A9F">
        <w:rPr>
          <w:rFonts w:ascii="Palatino Linotype" w:hAnsi="Palatino Linotype" w:eastAsia="Palatino Linotype" w:cs="Times New Roman"/>
          <w:color w:val="000000" w:themeColor="text1"/>
          <w:kern w:val="0"/>
          <w14:ligatures w14:val="none"/>
        </w:rPr>
        <w:t xml:space="preserve">was made by publication </w:t>
      </w:r>
      <w:proofErr w:type="gramStart"/>
      <w:r w:rsidRPr="00391600" w:rsidR="00796A9F">
        <w:rPr>
          <w:rFonts w:ascii="Palatino Linotype" w:hAnsi="Palatino Linotype" w:eastAsia="Palatino Linotype" w:cs="Times New Roman"/>
          <w:color w:val="000000" w:themeColor="text1"/>
          <w:kern w:val="0"/>
          <w14:ligatures w14:val="none"/>
        </w:rPr>
        <w:t>on</w:t>
      </w:r>
      <w:proofErr w:type="gramEnd"/>
      <w:r w:rsidRPr="00391600" w:rsidR="00796A9F">
        <w:rPr>
          <w:rFonts w:ascii="Palatino Linotype" w:hAnsi="Palatino Linotype" w:eastAsia="Palatino Linotype" w:cs="Times New Roman"/>
          <w:color w:val="000000" w:themeColor="text1"/>
          <w:kern w:val="0"/>
          <w14:ligatures w14:val="none"/>
        </w:rPr>
        <w:t xml:space="preserve"> the Commission’s Daily Calendar on</w:t>
      </w:r>
      <w:r w:rsidRPr="00391600" w:rsidR="000D43EA">
        <w:rPr>
          <w:rFonts w:ascii="Palatino Linotype" w:hAnsi="Palatino Linotype" w:eastAsia="Palatino Linotype" w:cs="Times New Roman"/>
          <w:color w:val="000000" w:themeColor="text1"/>
          <w:kern w:val="0"/>
          <w14:ligatures w14:val="none"/>
        </w:rPr>
        <w:t xml:space="preserve"> August </w:t>
      </w:r>
      <w:r w:rsidRPr="00391600" w:rsidR="00771193">
        <w:rPr>
          <w:rFonts w:ascii="Palatino Linotype" w:hAnsi="Palatino Linotype" w:eastAsia="Palatino Linotype" w:cs="Times New Roman"/>
          <w:color w:val="000000" w:themeColor="text1"/>
          <w:kern w:val="0"/>
          <w14:ligatures w14:val="none"/>
        </w:rPr>
        <w:t>25</w:t>
      </w:r>
      <w:r w:rsidRPr="00391600" w:rsidR="000D43EA">
        <w:rPr>
          <w:rFonts w:ascii="Palatino Linotype" w:hAnsi="Palatino Linotype" w:eastAsia="Palatino Linotype" w:cs="Times New Roman"/>
          <w:color w:val="000000" w:themeColor="text1"/>
          <w:kern w:val="0"/>
          <w14:ligatures w14:val="none"/>
        </w:rPr>
        <w:t>, 2025.</w:t>
      </w:r>
      <w:r w:rsidRPr="00391600" w:rsidR="00796A9F">
        <w:rPr>
          <w:rFonts w:ascii="Palatino Linotype" w:hAnsi="Palatino Linotype" w:eastAsia="Palatino Linotype" w:cs="Times New Roman"/>
          <w:color w:val="000000" w:themeColor="text1"/>
          <w:kern w:val="0"/>
          <w14:ligatures w14:val="none"/>
        </w:rPr>
        <w:t xml:space="preserve"> Notice of </w:t>
      </w:r>
      <w:r w:rsidRPr="00391600" w:rsidR="0058104D">
        <w:rPr>
          <w:rFonts w:ascii="Palatino Linotype" w:hAnsi="Palatino Linotype" w:eastAsia="Palatino Linotype" w:cs="Times New Roman"/>
          <w:color w:val="000000" w:themeColor="text1"/>
          <w:kern w:val="0"/>
          <w14:ligatures w14:val="none"/>
        </w:rPr>
        <w:t>CEC AL</w:t>
      </w:r>
      <w:r w:rsidRPr="00391600" w:rsidR="00796A9F">
        <w:rPr>
          <w:rFonts w:ascii="Palatino Linotype" w:hAnsi="Palatino Linotype" w:eastAsia="Palatino Linotype" w:cs="Times New Roman"/>
          <w:color w:val="000000" w:themeColor="text1"/>
          <w:kern w:val="0"/>
          <w14:ligatures w14:val="none"/>
        </w:rPr>
        <w:t xml:space="preserve"> </w:t>
      </w:r>
      <w:r w:rsidRPr="00391600" w:rsidR="001D2450">
        <w:rPr>
          <w:rFonts w:ascii="Palatino Linotype" w:hAnsi="Palatino Linotype" w:eastAsia="Palatino Linotype" w:cs="Times New Roman"/>
          <w:color w:val="000000" w:themeColor="text1"/>
          <w:kern w:val="0"/>
          <w14:ligatures w14:val="none"/>
        </w:rPr>
        <w:t xml:space="preserve">10-G-A </w:t>
      </w:r>
      <w:r w:rsidRPr="00391600" w:rsidR="00796A9F">
        <w:rPr>
          <w:rFonts w:ascii="Palatino Linotype" w:hAnsi="Palatino Linotype" w:eastAsia="Palatino Linotype" w:cs="Times New Roman"/>
          <w:color w:val="000000" w:themeColor="text1"/>
          <w:kern w:val="0"/>
          <w14:ligatures w14:val="none"/>
        </w:rPr>
        <w:t xml:space="preserve">was made by publication on the </w:t>
      </w:r>
      <w:r w:rsidRPr="00391600" w:rsidR="00796A9F">
        <w:rPr>
          <w:rFonts w:ascii="Palatino Linotype" w:hAnsi="Palatino Linotype" w:eastAsia="Palatino Linotype" w:cs="Times New Roman"/>
          <w:color w:val="000000" w:themeColor="text1"/>
          <w:kern w:val="0"/>
          <w14:ligatures w14:val="none"/>
        </w:rPr>
        <w:lastRenderedPageBreak/>
        <w:t>Co</w:t>
      </w:r>
      <w:r w:rsidRPr="00391600" w:rsidR="00796A9F">
        <w:rPr>
          <w:rFonts w:ascii="Palatino Linotype" w:hAnsi="Palatino Linotype" w:eastAsiaTheme="minorEastAsia"/>
          <w:color w:val="000000" w:themeColor="text1"/>
        </w:rPr>
        <w:t xml:space="preserve">mmission’s Daily Calendar on </w:t>
      </w:r>
      <w:r w:rsidRPr="00391600" w:rsidR="00771193">
        <w:rPr>
          <w:rFonts w:ascii="Palatino Linotype" w:hAnsi="Palatino Linotype" w:eastAsiaTheme="minorEastAsia"/>
          <w:color w:val="000000" w:themeColor="text1"/>
        </w:rPr>
        <w:t>October 8, 2025</w:t>
      </w:r>
      <w:r w:rsidRPr="00391600" w:rsidR="00796A9F">
        <w:rPr>
          <w:rFonts w:ascii="Palatino Linotype" w:hAnsi="Palatino Linotype" w:eastAsiaTheme="minorEastAsia"/>
          <w:color w:val="000000" w:themeColor="text1"/>
        </w:rPr>
        <w:t>.</w:t>
      </w:r>
      <w:r w:rsidRPr="00391600" w:rsidR="4D1E809A">
        <w:rPr>
          <w:rFonts w:ascii="Palatino Linotype" w:hAnsi="Palatino Linotype" w:eastAsiaTheme="minorEastAsia"/>
          <w:color w:val="000000" w:themeColor="text1"/>
        </w:rPr>
        <w:t xml:space="preserve"> CEC states that a copy of the Advice Letter</w:t>
      </w:r>
      <w:r w:rsidRPr="00391600" w:rsidR="00530D42">
        <w:rPr>
          <w:rFonts w:ascii="Palatino Linotype" w:hAnsi="Palatino Linotype" w:eastAsiaTheme="minorEastAsia"/>
          <w:color w:val="000000" w:themeColor="text1"/>
        </w:rPr>
        <w:t>s</w:t>
      </w:r>
      <w:r w:rsidRPr="00391600" w:rsidR="4D1E809A">
        <w:rPr>
          <w:rFonts w:ascii="Palatino Linotype" w:hAnsi="Palatino Linotype" w:eastAsiaTheme="minorEastAsia"/>
          <w:color w:val="000000" w:themeColor="text1"/>
        </w:rPr>
        <w:t xml:space="preserve"> w</w:t>
      </w:r>
      <w:r w:rsidRPr="00391600" w:rsidR="00530D42">
        <w:rPr>
          <w:rFonts w:ascii="Palatino Linotype" w:hAnsi="Palatino Linotype" w:eastAsiaTheme="minorEastAsia"/>
          <w:color w:val="000000" w:themeColor="text1"/>
        </w:rPr>
        <w:t>ere</w:t>
      </w:r>
      <w:r w:rsidRPr="00391600" w:rsidR="4D1E809A">
        <w:rPr>
          <w:rFonts w:ascii="Palatino Linotype" w:hAnsi="Palatino Linotype" w:eastAsiaTheme="minorEastAsia"/>
          <w:color w:val="000000" w:themeColor="text1"/>
        </w:rPr>
        <w:t xml:space="preserve"> mailed and distributed in accordance with Section 4 of General Order 96-B.</w:t>
      </w:r>
    </w:p>
    <w:p w:rsidRPr="00391600" w:rsidR="00FF0E6C" w:rsidP="003147DD" w:rsidRDefault="00FF0E6C" w14:paraId="49D87050"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A76F4A" w:rsidP="003147DD" w:rsidRDefault="00A76F4A" w14:paraId="3DC7474D" w14:textId="77777777">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bCs/>
          <w:caps/>
          <w:color w:val="000000" w:themeColor="text1"/>
          <w:kern w:val="28"/>
          <w:u w:val="single"/>
          <w14:ligatures w14:val="none"/>
        </w:rPr>
        <w:t>Protests</w:t>
      </w:r>
    </w:p>
    <w:p w:rsidRPr="00391600" w:rsidR="00965AA3" w:rsidP="003147DD" w:rsidRDefault="00970E43" w14:paraId="3E6F4088" w14:textId="010875DD">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CEC AL</w:t>
      </w:r>
      <w:r w:rsidRPr="00391600" w:rsidR="00E7721E">
        <w:rPr>
          <w:rFonts w:ascii="Palatino Linotype" w:hAnsi="Palatino Linotype" w:eastAsia="Palatino Linotype" w:cs="Times New Roman"/>
          <w:color w:val="000000" w:themeColor="text1"/>
          <w:kern w:val="0"/>
          <w14:ligatures w14:val="none"/>
        </w:rPr>
        <w:t xml:space="preserve"> </w:t>
      </w:r>
      <w:r w:rsidRPr="00391600" w:rsidR="00D35CAC">
        <w:rPr>
          <w:rFonts w:ascii="Palatino Linotype" w:hAnsi="Palatino Linotype" w:eastAsia="Palatino Linotype" w:cs="Times New Roman"/>
          <w:color w:val="000000" w:themeColor="text1"/>
          <w:kern w:val="0"/>
          <w14:ligatures w14:val="none"/>
        </w:rPr>
        <w:t>12</w:t>
      </w:r>
      <w:r w:rsidRPr="00391600" w:rsidR="00980D82">
        <w:rPr>
          <w:rFonts w:ascii="Palatino Linotype" w:hAnsi="Palatino Linotype" w:eastAsia="Palatino Linotype" w:cs="Times New Roman"/>
          <w:color w:val="000000" w:themeColor="text1"/>
          <w:kern w:val="0"/>
          <w14:ligatures w14:val="none"/>
        </w:rPr>
        <w:t xml:space="preserve">-G </w:t>
      </w:r>
      <w:r w:rsidRPr="00391600" w:rsidR="00E7721E">
        <w:rPr>
          <w:rFonts w:ascii="Palatino Linotype" w:hAnsi="Palatino Linotype" w:eastAsia="Palatino Linotype" w:cs="Times New Roman"/>
          <w:color w:val="000000" w:themeColor="text1"/>
          <w:kern w:val="0"/>
          <w14:ligatures w14:val="none"/>
        </w:rPr>
        <w:t>w</w:t>
      </w:r>
      <w:r w:rsidRPr="00391600" w:rsidR="00D35CAC">
        <w:rPr>
          <w:rFonts w:ascii="Palatino Linotype" w:hAnsi="Palatino Linotype" w:eastAsia="Palatino Linotype" w:cs="Times New Roman"/>
          <w:color w:val="000000" w:themeColor="text1"/>
          <w:kern w:val="0"/>
          <w14:ligatures w14:val="none"/>
        </w:rPr>
        <w:t>as</w:t>
      </w:r>
      <w:r w:rsidRPr="00391600" w:rsidR="00E7721E">
        <w:rPr>
          <w:rFonts w:ascii="Palatino Linotype" w:hAnsi="Palatino Linotype" w:eastAsia="Palatino Linotype" w:cs="Times New Roman"/>
          <w:color w:val="000000" w:themeColor="text1"/>
          <w:kern w:val="0"/>
          <w14:ligatures w14:val="none"/>
        </w:rPr>
        <w:t xml:space="preserve"> not protested</w:t>
      </w:r>
      <w:r w:rsidRPr="00391600" w:rsidR="001D2450">
        <w:rPr>
          <w:rFonts w:ascii="Palatino Linotype" w:hAnsi="Palatino Linotype" w:eastAsia="Palatino Linotype" w:cs="Times New Roman"/>
          <w:color w:val="000000" w:themeColor="text1"/>
          <w:kern w:val="0"/>
          <w14:ligatures w14:val="none"/>
        </w:rPr>
        <w:t>.</w:t>
      </w:r>
    </w:p>
    <w:p w:rsidRPr="00391600" w:rsidR="00D170A1" w:rsidP="003147DD" w:rsidRDefault="00D170A1" w14:paraId="20473B1C"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D91658" w:rsidP="00965AA3" w:rsidRDefault="00970E43" w14:paraId="7C1F88B3" w14:textId="5DE54C91">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CEC AL</w:t>
      </w:r>
      <w:r w:rsidRPr="00391600" w:rsidR="00AF6A00">
        <w:rPr>
          <w:rFonts w:ascii="Palatino Linotype" w:hAnsi="Palatino Linotype" w:eastAsia="Palatino Linotype" w:cs="Times New Roman"/>
          <w:color w:val="000000" w:themeColor="text1"/>
          <w:kern w:val="0"/>
          <w14:ligatures w14:val="none"/>
        </w:rPr>
        <w:t xml:space="preserve"> 10-G was protested by </w:t>
      </w:r>
      <w:r w:rsidRPr="00391600" w:rsidR="003B0763">
        <w:rPr>
          <w:rFonts w:ascii="Palatino Linotype" w:hAnsi="Palatino Linotype" w:eastAsia="Palatino Linotype" w:cs="Times New Roman"/>
          <w:color w:val="000000" w:themeColor="text1"/>
          <w:kern w:val="0"/>
          <w14:ligatures w14:val="none"/>
        </w:rPr>
        <w:t xml:space="preserve">the Public Advocates Office at the </w:t>
      </w:r>
      <w:r w:rsidRPr="00391600" w:rsidR="008E4250">
        <w:rPr>
          <w:rFonts w:ascii="Palatino Linotype" w:hAnsi="Palatino Linotype" w:eastAsia="Palatino Linotype" w:cs="Times New Roman"/>
          <w:color w:val="000000" w:themeColor="text1"/>
          <w:kern w:val="0"/>
          <w14:ligatures w14:val="none"/>
        </w:rPr>
        <w:t>CPUC</w:t>
      </w:r>
      <w:r w:rsidRPr="00391600" w:rsidR="003B0763">
        <w:rPr>
          <w:rFonts w:ascii="Palatino Linotype" w:hAnsi="Palatino Linotype" w:eastAsia="Palatino Linotype" w:cs="Times New Roman"/>
          <w:color w:val="000000" w:themeColor="text1"/>
          <w:kern w:val="0"/>
          <w14:ligatures w14:val="none"/>
        </w:rPr>
        <w:t xml:space="preserve"> (Cal</w:t>
      </w:r>
      <w:r w:rsidRPr="00391600" w:rsidR="006149C3">
        <w:rPr>
          <w:rFonts w:ascii="Palatino Linotype" w:hAnsi="Palatino Linotype" w:eastAsia="Palatino Linotype" w:cs="Times New Roman"/>
          <w:color w:val="000000" w:themeColor="text1"/>
          <w:kern w:val="0"/>
          <w14:ligatures w14:val="none"/>
        </w:rPr>
        <w:t xml:space="preserve"> </w:t>
      </w:r>
      <w:r w:rsidRPr="00391600" w:rsidR="003B0763">
        <w:rPr>
          <w:rFonts w:ascii="Palatino Linotype" w:hAnsi="Palatino Linotype" w:eastAsia="Palatino Linotype" w:cs="Times New Roman"/>
          <w:color w:val="000000" w:themeColor="text1"/>
          <w:kern w:val="0"/>
          <w14:ligatures w14:val="none"/>
        </w:rPr>
        <w:t>Advocates)</w:t>
      </w:r>
      <w:r w:rsidRPr="00391600" w:rsidR="008E4250">
        <w:rPr>
          <w:rFonts w:ascii="Palatino Linotype" w:hAnsi="Palatino Linotype" w:eastAsia="Palatino Linotype" w:cs="Times New Roman"/>
          <w:color w:val="000000" w:themeColor="text1"/>
          <w:kern w:val="0"/>
          <w14:ligatures w14:val="none"/>
        </w:rPr>
        <w:t xml:space="preserve"> on April 17, 2025. CEC issued a reply to this protest </w:t>
      </w:r>
      <w:r w:rsidRPr="00391600" w:rsidR="00D35CAC">
        <w:rPr>
          <w:rFonts w:ascii="Palatino Linotype" w:hAnsi="Palatino Linotype" w:eastAsia="Palatino Linotype" w:cs="Times New Roman"/>
          <w:color w:val="000000" w:themeColor="text1"/>
          <w:kern w:val="0"/>
          <w14:ligatures w14:val="none"/>
        </w:rPr>
        <w:t xml:space="preserve">on April 30, 2025. </w:t>
      </w:r>
      <w:r w:rsidRPr="00391600" w:rsidR="00D45FFF">
        <w:rPr>
          <w:rFonts w:ascii="Palatino Linotype" w:hAnsi="Palatino Linotype" w:eastAsia="Palatino Linotype" w:cs="Times New Roman"/>
          <w:color w:val="000000" w:themeColor="text1"/>
          <w:kern w:val="0"/>
          <w14:ligatures w14:val="none"/>
        </w:rPr>
        <w:t xml:space="preserve">Cal Advocates </w:t>
      </w:r>
      <w:r w:rsidRPr="00391600" w:rsidR="00715D37">
        <w:rPr>
          <w:rFonts w:ascii="Palatino Linotype" w:hAnsi="Palatino Linotype" w:eastAsia="Palatino Linotype" w:cs="Times New Roman"/>
          <w:color w:val="000000" w:themeColor="text1"/>
          <w:kern w:val="0"/>
          <w14:ligatures w14:val="none"/>
        </w:rPr>
        <w:t>assert</w:t>
      </w:r>
      <w:r w:rsidRPr="00391600" w:rsidR="009025BC">
        <w:rPr>
          <w:rFonts w:ascii="Palatino Linotype" w:hAnsi="Palatino Linotype" w:eastAsia="Palatino Linotype" w:cs="Times New Roman"/>
          <w:color w:val="000000" w:themeColor="text1"/>
          <w:kern w:val="0"/>
          <w14:ligatures w14:val="none"/>
        </w:rPr>
        <w:t>ed</w:t>
      </w:r>
      <w:r w:rsidRPr="00391600" w:rsidR="00715D37">
        <w:rPr>
          <w:rFonts w:ascii="Palatino Linotype" w:hAnsi="Palatino Linotype" w:eastAsia="Palatino Linotype" w:cs="Times New Roman"/>
          <w:color w:val="000000" w:themeColor="text1"/>
          <w:kern w:val="0"/>
          <w14:ligatures w14:val="none"/>
        </w:rPr>
        <w:t xml:space="preserve"> </w:t>
      </w:r>
      <w:r w:rsidRPr="00391600" w:rsidR="00F412E0">
        <w:rPr>
          <w:rFonts w:ascii="Palatino Linotype" w:hAnsi="Palatino Linotype" w:eastAsia="Palatino Linotype" w:cs="Times New Roman"/>
          <w:color w:val="000000" w:themeColor="text1"/>
          <w:kern w:val="0"/>
          <w14:ligatures w14:val="none"/>
        </w:rPr>
        <w:t>that</w:t>
      </w:r>
      <w:r w:rsidRPr="00391600" w:rsidR="009025BC">
        <w:rPr>
          <w:rFonts w:ascii="Palatino Linotype" w:hAnsi="Palatino Linotype" w:eastAsia="Palatino Linotype" w:cs="Times New Roman"/>
          <w:color w:val="000000" w:themeColor="text1"/>
          <w:kern w:val="0"/>
          <w14:ligatures w14:val="none"/>
        </w:rPr>
        <w:t>, in AL 10-G,</w:t>
      </w:r>
      <w:r w:rsidRPr="00391600" w:rsidR="00F412E0">
        <w:rPr>
          <w:rFonts w:ascii="Palatino Linotype" w:hAnsi="Palatino Linotype" w:eastAsia="Palatino Linotype" w:cs="Times New Roman"/>
          <w:color w:val="000000" w:themeColor="text1"/>
          <w:kern w:val="0"/>
          <w14:ligatures w14:val="none"/>
        </w:rPr>
        <w:t xml:space="preserve"> </w:t>
      </w:r>
      <w:r w:rsidRPr="00391600" w:rsidR="005C7E08">
        <w:rPr>
          <w:rFonts w:ascii="Palatino Linotype" w:hAnsi="Palatino Linotype" w:eastAsia="Palatino Linotype" w:cs="Times New Roman"/>
          <w:color w:val="000000" w:themeColor="text1"/>
          <w:kern w:val="0"/>
          <w14:ligatures w14:val="none"/>
        </w:rPr>
        <w:t xml:space="preserve">CEC does not sufficiently demonstrate </w:t>
      </w:r>
      <w:r w:rsidRPr="00391600" w:rsidR="002C7423">
        <w:rPr>
          <w:rFonts w:ascii="Palatino Linotype" w:hAnsi="Palatino Linotype" w:eastAsia="Palatino Linotype" w:cs="Times New Roman"/>
          <w:color w:val="000000" w:themeColor="text1"/>
          <w:kern w:val="0"/>
          <w14:ligatures w14:val="none"/>
        </w:rPr>
        <w:t xml:space="preserve">compliance with </w:t>
      </w:r>
      <w:r w:rsidRPr="00391600" w:rsidR="00BE6F9B">
        <w:rPr>
          <w:rFonts w:ascii="Palatino Linotype" w:hAnsi="Palatino Linotype" w:eastAsia="Palatino Linotype" w:cs="Times New Roman"/>
          <w:color w:val="000000" w:themeColor="text1"/>
          <w:kern w:val="0"/>
          <w14:ligatures w14:val="none"/>
        </w:rPr>
        <w:t>Public Utilities Code Section 740.1;</w:t>
      </w:r>
      <w:r w:rsidRPr="00391600" w:rsidR="0019372D">
        <w:rPr>
          <w:rStyle w:val="FootnoteReference"/>
          <w:rFonts w:ascii="Palatino Linotype" w:hAnsi="Palatino Linotype" w:eastAsia="Palatino Linotype" w:cs="Times New Roman"/>
          <w:color w:val="000000" w:themeColor="text1"/>
          <w:kern w:val="0"/>
          <w14:ligatures w14:val="none"/>
        </w:rPr>
        <w:footnoteReference w:id="48"/>
      </w:r>
      <w:r w:rsidRPr="00391600" w:rsidR="00BE6F9B">
        <w:rPr>
          <w:rFonts w:ascii="Palatino Linotype" w:hAnsi="Palatino Linotype" w:eastAsia="Palatino Linotype" w:cs="Times New Roman"/>
          <w:color w:val="000000" w:themeColor="text1"/>
          <w:kern w:val="0"/>
          <w14:ligatures w14:val="none"/>
        </w:rPr>
        <w:t xml:space="preserve"> D.04-08-010;</w:t>
      </w:r>
      <w:r w:rsidRPr="00391600" w:rsidR="0019372D">
        <w:rPr>
          <w:rStyle w:val="FootnoteReference"/>
          <w:rFonts w:ascii="Palatino Linotype" w:hAnsi="Palatino Linotype" w:eastAsia="Palatino Linotype" w:cs="Times New Roman"/>
          <w:color w:val="000000" w:themeColor="text1"/>
          <w:kern w:val="0"/>
          <w14:ligatures w14:val="none"/>
        </w:rPr>
        <w:t xml:space="preserve"> </w:t>
      </w:r>
      <w:r w:rsidRPr="00391600" w:rsidR="0019372D">
        <w:rPr>
          <w:rStyle w:val="FootnoteReference"/>
          <w:rFonts w:ascii="Palatino Linotype" w:hAnsi="Palatino Linotype" w:eastAsia="Palatino Linotype" w:cs="Times New Roman"/>
          <w:color w:val="000000" w:themeColor="text1"/>
          <w:kern w:val="0"/>
          <w14:ligatures w14:val="none"/>
        </w:rPr>
        <w:footnoteReference w:id="49"/>
      </w:r>
      <w:r w:rsidRPr="00391600" w:rsidR="00BE6F9B">
        <w:rPr>
          <w:rFonts w:ascii="Palatino Linotype" w:hAnsi="Palatino Linotype" w:eastAsia="Palatino Linotype" w:cs="Times New Roman"/>
          <w:color w:val="000000" w:themeColor="text1"/>
          <w:kern w:val="0"/>
          <w14:ligatures w14:val="none"/>
        </w:rPr>
        <w:t xml:space="preserve"> and CPUC Resolution G-360</w:t>
      </w:r>
      <w:r w:rsidRPr="00391600" w:rsidR="00C268EB">
        <w:rPr>
          <w:rFonts w:ascii="Palatino Linotype" w:hAnsi="Palatino Linotype" w:eastAsia="Palatino Linotype" w:cs="Times New Roman"/>
          <w:color w:val="000000" w:themeColor="text1"/>
          <w:kern w:val="0"/>
          <w14:ligatures w14:val="none"/>
        </w:rPr>
        <w:t>3</w:t>
      </w:r>
      <w:r w:rsidRPr="00391600" w:rsidR="00BE6F9B">
        <w:rPr>
          <w:rFonts w:ascii="Palatino Linotype" w:hAnsi="Palatino Linotype" w:eastAsia="Palatino Linotype" w:cs="Times New Roman"/>
          <w:color w:val="000000" w:themeColor="text1"/>
          <w:kern w:val="0"/>
          <w14:ligatures w14:val="none"/>
        </w:rPr>
        <w:t>,</w:t>
      </w:r>
      <w:r w:rsidRPr="00391600" w:rsidR="0019372D">
        <w:rPr>
          <w:rStyle w:val="FootnoteReference"/>
          <w:rFonts w:ascii="Palatino Linotype" w:hAnsi="Palatino Linotype" w:eastAsia="Palatino Linotype" w:cs="Times New Roman"/>
          <w:color w:val="000000" w:themeColor="text1"/>
          <w:kern w:val="0"/>
          <w14:ligatures w14:val="none"/>
        </w:rPr>
        <w:footnoteReference w:id="50"/>
      </w:r>
      <w:r w:rsidRPr="00391600" w:rsidR="00BE6F9B">
        <w:rPr>
          <w:rFonts w:ascii="Palatino Linotype" w:hAnsi="Palatino Linotype" w:eastAsia="Palatino Linotype" w:cs="Times New Roman"/>
          <w:color w:val="000000" w:themeColor="text1"/>
          <w:kern w:val="0"/>
          <w14:ligatures w14:val="none"/>
        </w:rPr>
        <w:t xml:space="preserve"> </w:t>
      </w:r>
      <w:r w:rsidRPr="00391600" w:rsidR="0019372D">
        <w:rPr>
          <w:rFonts w:ascii="Palatino Linotype" w:hAnsi="Palatino Linotype" w:eastAsia="Palatino Linotype" w:cs="Times New Roman"/>
          <w:color w:val="000000" w:themeColor="text1"/>
          <w:kern w:val="0"/>
          <w14:ligatures w14:val="none"/>
        </w:rPr>
        <w:t xml:space="preserve">which require that Gas RD&amp;D investments </w:t>
      </w:r>
      <w:r w:rsidRPr="00391600" w:rsidR="000E7C8E">
        <w:rPr>
          <w:rFonts w:ascii="Palatino Linotype" w:hAnsi="Palatino Linotype" w:eastAsia="Palatino Linotype" w:cs="Times New Roman"/>
          <w:color w:val="000000" w:themeColor="text1"/>
          <w:kern w:val="0"/>
          <w14:ligatures w14:val="none"/>
        </w:rPr>
        <w:t xml:space="preserve">be coordinated with and not duplicative of existing Gas RD&amp;D efforts underway. </w:t>
      </w:r>
      <w:r w:rsidRPr="00391600" w:rsidR="003601BF">
        <w:rPr>
          <w:rFonts w:ascii="Palatino Linotype" w:hAnsi="Palatino Linotype" w:eastAsia="Palatino Linotype" w:cs="Times New Roman"/>
          <w:color w:val="000000" w:themeColor="text1"/>
          <w:kern w:val="0"/>
          <w14:ligatures w14:val="none"/>
        </w:rPr>
        <w:t xml:space="preserve">Specifically, </w:t>
      </w:r>
      <w:r w:rsidRPr="00391600" w:rsidR="00E472EF">
        <w:rPr>
          <w:rFonts w:ascii="Palatino Linotype" w:hAnsi="Palatino Linotype" w:eastAsia="Palatino Linotype" w:cs="Times New Roman"/>
          <w:color w:val="000000" w:themeColor="text1"/>
          <w:kern w:val="0"/>
          <w14:ligatures w14:val="none"/>
        </w:rPr>
        <w:t>Cal Advocates</w:t>
      </w:r>
      <w:r w:rsidRPr="00391600" w:rsidR="00156830">
        <w:rPr>
          <w:rFonts w:ascii="Palatino Linotype" w:hAnsi="Palatino Linotype" w:eastAsia="Palatino Linotype" w:cs="Times New Roman"/>
          <w:color w:val="000000" w:themeColor="text1"/>
          <w:kern w:val="0"/>
          <w14:ligatures w14:val="none"/>
        </w:rPr>
        <w:t xml:space="preserve"> </w:t>
      </w:r>
      <w:r w:rsidRPr="00391600" w:rsidR="00155417">
        <w:rPr>
          <w:rFonts w:ascii="Palatino Linotype" w:hAnsi="Palatino Linotype" w:eastAsia="Palatino Linotype" w:cs="Times New Roman"/>
          <w:color w:val="000000" w:themeColor="text1"/>
          <w:kern w:val="0"/>
          <w14:ligatures w14:val="none"/>
        </w:rPr>
        <w:t>state</w:t>
      </w:r>
      <w:r w:rsidRPr="00391600" w:rsidR="008949E4">
        <w:rPr>
          <w:rFonts w:ascii="Palatino Linotype" w:hAnsi="Palatino Linotype" w:eastAsia="Palatino Linotype" w:cs="Times New Roman"/>
          <w:color w:val="000000" w:themeColor="text1"/>
          <w:kern w:val="0"/>
          <w14:ligatures w14:val="none"/>
        </w:rPr>
        <w:t>d</w:t>
      </w:r>
      <w:r w:rsidRPr="00391600" w:rsidR="00155417">
        <w:rPr>
          <w:rFonts w:ascii="Palatino Linotype" w:hAnsi="Palatino Linotype" w:eastAsia="Palatino Linotype" w:cs="Times New Roman"/>
          <w:color w:val="000000" w:themeColor="text1"/>
          <w:kern w:val="0"/>
          <w14:ligatures w14:val="none"/>
        </w:rPr>
        <w:t xml:space="preserve"> that </w:t>
      </w:r>
      <w:r w:rsidRPr="00391600" w:rsidR="003F1E5D">
        <w:rPr>
          <w:rFonts w:ascii="Palatino Linotype" w:hAnsi="Palatino Linotype" w:eastAsia="Palatino Linotype" w:cs="Times New Roman"/>
          <w:color w:val="000000" w:themeColor="text1"/>
          <w:kern w:val="0"/>
          <w14:ligatures w14:val="none"/>
        </w:rPr>
        <w:t xml:space="preserve">CEC </w:t>
      </w:r>
      <w:r w:rsidRPr="00391600" w:rsidR="00C07E3C">
        <w:rPr>
          <w:rFonts w:ascii="Palatino Linotype" w:hAnsi="Palatino Linotype" w:eastAsia="Palatino Linotype" w:cs="Times New Roman"/>
          <w:color w:val="000000" w:themeColor="text1"/>
          <w:kern w:val="0"/>
          <w14:ligatures w14:val="none"/>
        </w:rPr>
        <w:t xml:space="preserve">should further demonstrate </w:t>
      </w:r>
      <w:r w:rsidRPr="00391600" w:rsidR="00324B0F">
        <w:rPr>
          <w:rFonts w:ascii="Palatino Linotype" w:hAnsi="Palatino Linotype" w:eastAsia="Palatino Linotype" w:cs="Times New Roman"/>
          <w:color w:val="000000" w:themeColor="text1"/>
          <w:kern w:val="0"/>
          <w14:ligatures w14:val="none"/>
        </w:rPr>
        <w:t xml:space="preserve">how </w:t>
      </w:r>
      <w:r w:rsidRPr="00391600" w:rsidR="005D48D2">
        <w:rPr>
          <w:rFonts w:ascii="Palatino Linotype" w:hAnsi="Palatino Linotype" w:eastAsia="Palatino Linotype" w:cs="Times New Roman"/>
          <w:color w:val="000000" w:themeColor="text1"/>
          <w:kern w:val="0"/>
          <w14:ligatures w14:val="none"/>
        </w:rPr>
        <w:t xml:space="preserve">the </w:t>
      </w:r>
      <w:r w:rsidRPr="00391600" w:rsidR="00380AAF">
        <w:rPr>
          <w:rFonts w:ascii="Palatino Linotype" w:hAnsi="Palatino Linotype" w:eastAsia="Palatino Linotype" w:cs="Times New Roman"/>
          <w:color w:val="000000" w:themeColor="text1"/>
          <w:kern w:val="0"/>
          <w14:ligatures w14:val="none"/>
        </w:rPr>
        <w:t xml:space="preserve">(1) </w:t>
      </w:r>
      <w:r w:rsidRPr="00391600" w:rsidR="005D48D2">
        <w:rPr>
          <w:rFonts w:ascii="Palatino Linotype" w:hAnsi="Palatino Linotype" w:eastAsia="Palatino Linotype" w:cs="Times New Roman"/>
          <w:color w:val="000000" w:themeColor="text1"/>
          <w:kern w:val="0"/>
          <w14:ligatures w14:val="none"/>
        </w:rPr>
        <w:t>Social Science Research for Gas Decommissioning in the Mid</w:t>
      </w:r>
      <w:r w:rsidRPr="00391600" w:rsidR="000E303F">
        <w:rPr>
          <w:rFonts w:ascii="Palatino Linotype" w:hAnsi="Palatino Linotype" w:eastAsia="Palatino Linotype" w:cs="Times New Roman"/>
          <w:color w:val="000000" w:themeColor="text1"/>
          <w:kern w:val="0"/>
          <w14:ligatures w14:val="none"/>
        </w:rPr>
        <w:t>-</w:t>
      </w:r>
      <w:r w:rsidRPr="00391600" w:rsidR="005D48D2">
        <w:rPr>
          <w:rFonts w:ascii="Palatino Linotype" w:hAnsi="Palatino Linotype" w:eastAsia="Palatino Linotype" w:cs="Times New Roman"/>
          <w:color w:val="000000" w:themeColor="text1"/>
          <w:kern w:val="0"/>
          <w14:ligatures w14:val="none"/>
        </w:rPr>
        <w:t xml:space="preserve"> and Long</w:t>
      </w:r>
      <w:r w:rsidRPr="00391600" w:rsidR="000E303F">
        <w:rPr>
          <w:rFonts w:ascii="Palatino Linotype" w:hAnsi="Palatino Linotype" w:eastAsia="Palatino Linotype" w:cs="Times New Roman"/>
          <w:color w:val="000000" w:themeColor="text1"/>
          <w:kern w:val="0"/>
          <w14:ligatures w14:val="none"/>
        </w:rPr>
        <w:t>-</w:t>
      </w:r>
      <w:r w:rsidRPr="00391600" w:rsidR="005D48D2">
        <w:rPr>
          <w:rFonts w:ascii="Palatino Linotype" w:hAnsi="Palatino Linotype" w:eastAsia="Palatino Linotype" w:cs="Times New Roman"/>
          <w:color w:val="000000" w:themeColor="text1"/>
          <w:kern w:val="0"/>
          <w14:ligatures w14:val="none"/>
        </w:rPr>
        <w:t xml:space="preserve">Term and </w:t>
      </w:r>
      <w:r w:rsidRPr="00391600" w:rsidR="00380AAF">
        <w:rPr>
          <w:rFonts w:ascii="Palatino Linotype" w:hAnsi="Palatino Linotype" w:eastAsia="Palatino Linotype" w:cs="Times New Roman"/>
          <w:color w:val="000000" w:themeColor="text1"/>
          <w:kern w:val="0"/>
          <w14:ligatures w14:val="none"/>
        </w:rPr>
        <w:t xml:space="preserve">(2) </w:t>
      </w:r>
      <w:r w:rsidRPr="00391600" w:rsidR="005D48D2">
        <w:rPr>
          <w:rFonts w:ascii="Palatino Linotype" w:hAnsi="Palatino Linotype" w:eastAsia="Palatino Linotype" w:cs="Times New Roman"/>
          <w:color w:val="000000" w:themeColor="text1"/>
          <w:kern w:val="0"/>
          <w14:ligatures w14:val="none"/>
        </w:rPr>
        <w:t>Pilot Projects to Advance Gas Decommissioning</w:t>
      </w:r>
      <w:r w:rsidRPr="00391600" w:rsidR="0040026A">
        <w:rPr>
          <w:rFonts w:ascii="Palatino Linotype" w:hAnsi="Palatino Linotype" w:eastAsia="Palatino Linotype" w:cs="Times New Roman"/>
          <w:color w:val="000000" w:themeColor="text1"/>
          <w:kern w:val="0"/>
          <w14:ligatures w14:val="none"/>
        </w:rPr>
        <w:t xml:space="preserve"> Initiatives </w:t>
      </w:r>
      <w:r w:rsidRPr="00391600" w:rsidR="00324B0F">
        <w:rPr>
          <w:rFonts w:ascii="Palatino Linotype" w:hAnsi="Palatino Linotype" w:eastAsia="Palatino Linotype" w:cs="Times New Roman"/>
          <w:color w:val="000000" w:themeColor="text1"/>
          <w:kern w:val="0"/>
          <w14:ligatures w14:val="none"/>
        </w:rPr>
        <w:t xml:space="preserve">are </w:t>
      </w:r>
      <w:r w:rsidRPr="00391600" w:rsidR="00795883">
        <w:rPr>
          <w:rFonts w:ascii="Palatino Linotype" w:hAnsi="Palatino Linotype" w:eastAsia="Palatino Linotype" w:cs="Times New Roman"/>
          <w:color w:val="000000" w:themeColor="text1"/>
          <w:kern w:val="0"/>
          <w14:ligatures w14:val="none"/>
        </w:rPr>
        <w:t xml:space="preserve">coordinated with and </w:t>
      </w:r>
      <w:r w:rsidRPr="00391600" w:rsidR="00C70735">
        <w:rPr>
          <w:rFonts w:ascii="Palatino Linotype" w:hAnsi="Palatino Linotype" w:eastAsia="Palatino Linotype" w:cs="Times New Roman"/>
          <w:color w:val="000000" w:themeColor="text1"/>
          <w:kern w:val="0"/>
          <w14:ligatures w14:val="none"/>
        </w:rPr>
        <w:t>distinct from</w:t>
      </w:r>
      <w:r w:rsidRPr="00391600" w:rsidR="00795883">
        <w:rPr>
          <w:rFonts w:ascii="Palatino Linotype" w:hAnsi="Palatino Linotype" w:eastAsia="Palatino Linotype" w:cs="Times New Roman"/>
          <w:color w:val="000000" w:themeColor="text1"/>
          <w:kern w:val="0"/>
          <w14:ligatures w14:val="none"/>
        </w:rPr>
        <w:t xml:space="preserve"> efforts underway related to </w:t>
      </w:r>
      <w:r w:rsidRPr="00391600" w:rsidR="003F1E5D">
        <w:rPr>
          <w:rFonts w:ascii="Palatino Linotype" w:hAnsi="Palatino Linotype" w:eastAsia="Palatino Linotype" w:cs="Times New Roman"/>
          <w:color w:val="000000" w:themeColor="text1"/>
          <w:kern w:val="0"/>
          <w14:ligatures w14:val="none"/>
        </w:rPr>
        <w:t>Senate Bill (SB) 1221</w:t>
      </w:r>
      <w:r w:rsidRPr="00391600" w:rsidR="00831D5F">
        <w:rPr>
          <w:rFonts w:ascii="Palatino Linotype" w:hAnsi="Palatino Linotype" w:eastAsia="Palatino Linotype" w:cs="Times New Roman"/>
          <w:color w:val="000000" w:themeColor="text1"/>
          <w:kern w:val="0"/>
          <w14:ligatures w14:val="none"/>
        </w:rPr>
        <w:t>;</w:t>
      </w:r>
      <w:r w:rsidRPr="00391600" w:rsidR="00036DB0">
        <w:rPr>
          <w:rStyle w:val="FootnoteReference"/>
          <w:rFonts w:ascii="Palatino Linotype" w:hAnsi="Palatino Linotype" w:eastAsia="Palatino Linotype" w:cs="Times New Roman"/>
          <w:color w:val="000000" w:themeColor="text1"/>
          <w:kern w:val="0"/>
          <w14:ligatures w14:val="none"/>
        </w:rPr>
        <w:footnoteReference w:id="51"/>
      </w:r>
      <w:r w:rsidRPr="00391600" w:rsidR="00397489">
        <w:rPr>
          <w:rFonts w:ascii="Palatino Linotype" w:hAnsi="Palatino Linotype" w:eastAsia="Palatino Linotype" w:cs="Times New Roman"/>
          <w:color w:val="000000" w:themeColor="text1"/>
          <w:kern w:val="0"/>
          <w14:ligatures w14:val="none"/>
        </w:rPr>
        <w:t xml:space="preserve"> </w:t>
      </w:r>
      <w:r w:rsidRPr="00391600" w:rsidR="009F77FE">
        <w:rPr>
          <w:rFonts w:ascii="Palatino Linotype" w:hAnsi="Palatino Linotype" w:eastAsia="Palatino Linotype" w:cs="Times New Roman"/>
          <w:color w:val="000000" w:themeColor="text1"/>
          <w:kern w:val="0"/>
          <w14:ligatures w14:val="none"/>
        </w:rPr>
        <w:t>CPUC’s Long-Term Gas Planning Proceeding</w:t>
      </w:r>
      <w:r w:rsidRPr="00391600" w:rsidR="008A1CF0">
        <w:rPr>
          <w:rFonts w:ascii="Palatino Linotype" w:hAnsi="Palatino Linotype" w:eastAsia="Palatino Linotype" w:cs="Times New Roman"/>
          <w:color w:val="000000" w:themeColor="text1"/>
          <w:kern w:val="0"/>
          <w14:ligatures w14:val="none"/>
        </w:rPr>
        <w:t>;</w:t>
      </w:r>
      <w:r w:rsidRPr="00391600" w:rsidR="008A1CF0">
        <w:rPr>
          <w:rStyle w:val="FootnoteReference"/>
          <w:rFonts w:ascii="Palatino Linotype" w:hAnsi="Palatino Linotype" w:eastAsia="Palatino Linotype" w:cs="Times New Roman"/>
          <w:color w:val="000000" w:themeColor="text1"/>
          <w:kern w:val="0"/>
          <w14:ligatures w14:val="none"/>
        </w:rPr>
        <w:footnoteReference w:id="52"/>
      </w:r>
      <w:r w:rsidRPr="00391600" w:rsidR="008A1CF0">
        <w:rPr>
          <w:rFonts w:ascii="Palatino Linotype" w:hAnsi="Palatino Linotype" w:eastAsia="Palatino Linotype" w:cs="Times New Roman"/>
          <w:color w:val="000000" w:themeColor="text1"/>
          <w:kern w:val="0"/>
          <w14:ligatures w14:val="none"/>
        </w:rPr>
        <w:t xml:space="preserve"> </w:t>
      </w:r>
      <w:r w:rsidRPr="00391600" w:rsidR="00795883">
        <w:rPr>
          <w:rFonts w:ascii="Palatino Linotype" w:hAnsi="Palatino Linotype" w:eastAsia="Palatino Linotype" w:cs="Times New Roman"/>
          <w:color w:val="000000" w:themeColor="text1"/>
          <w:kern w:val="0"/>
          <w14:ligatures w14:val="none"/>
        </w:rPr>
        <w:t xml:space="preserve">and </w:t>
      </w:r>
      <w:r w:rsidRPr="00391600" w:rsidR="00BC6A1C">
        <w:rPr>
          <w:rFonts w:ascii="Palatino Linotype" w:hAnsi="Palatino Linotype" w:eastAsia="Palatino Linotype" w:cs="Times New Roman"/>
          <w:color w:val="000000" w:themeColor="text1"/>
          <w:kern w:val="0"/>
          <w14:ligatures w14:val="none"/>
        </w:rPr>
        <w:t xml:space="preserve">those </w:t>
      </w:r>
      <w:r w:rsidRPr="00391600" w:rsidR="00795883">
        <w:rPr>
          <w:rFonts w:ascii="Palatino Linotype" w:hAnsi="Palatino Linotype" w:eastAsia="Palatino Linotype" w:cs="Times New Roman"/>
          <w:color w:val="000000" w:themeColor="text1"/>
          <w:kern w:val="0"/>
          <w14:ligatures w14:val="none"/>
        </w:rPr>
        <w:t xml:space="preserve">conducted by </w:t>
      </w:r>
      <w:r w:rsidRPr="00391600" w:rsidR="00BC6A1C">
        <w:rPr>
          <w:rFonts w:ascii="Palatino Linotype" w:hAnsi="Palatino Linotype" w:eastAsia="Palatino Linotype" w:cs="Times New Roman"/>
          <w:color w:val="000000" w:themeColor="text1"/>
          <w:kern w:val="0"/>
          <w14:ligatures w14:val="none"/>
        </w:rPr>
        <w:t xml:space="preserve">other research stakeholders. </w:t>
      </w:r>
      <w:r w:rsidRPr="00391600" w:rsidR="00A26C1A">
        <w:rPr>
          <w:rFonts w:ascii="Palatino Linotype" w:hAnsi="Palatino Linotype" w:eastAsia="Palatino Linotype" w:cs="Times New Roman"/>
          <w:color w:val="000000" w:themeColor="text1"/>
          <w:kern w:val="0"/>
          <w14:ligatures w14:val="none"/>
        </w:rPr>
        <w:t>Cal Advocates als</w:t>
      </w:r>
      <w:r w:rsidRPr="00391600" w:rsidR="009708EA">
        <w:rPr>
          <w:rFonts w:ascii="Palatino Linotype" w:hAnsi="Palatino Linotype" w:eastAsia="Palatino Linotype" w:cs="Times New Roman"/>
          <w:color w:val="000000" w:themeColor="text1"/>
          <w:kern w:val="0"/>
          <w14:ligatures w14:val="none"/>
        </w:rPr>
        <w:t>o</w:t>
      </w:r>
      <w:r w:rsidRPr="00391600" w:rsidR="006E5359">
        <w:rPr>
          <w:rFonts w:ascii="Palatino Linotype" w:hAnsi="Palatino Linotype" w:eastAsia="Palatino Linotype" w:cs="Times New Roman"/>
          <w:color w:val="000000" w:themeColor="text1"/>
          <w:kern w:val="0"/>
          <w14:ligatures w14:val="none"/>
        </w:rPr>
        <w:t xml:space="preserve"> stated</w:t>
      </w:r>
      <w:r w:rsidRPr="00391600" w:rsidR="00A26C1A">
        <w:rPr>
          <w:rFonts w:ascii="Palatino Linotype" w:hAnsi="Palatino Linotype" w:eastAsia="Palatino Linotype" w:cs="Times New Roman"/>
          <w:color w:val="000000" w:themeColor="text1"/>
          <w:kern w:val="0"/>
          <w14:ligatures w14:val="none"/>
        </w:rPr>
        <w:t xml:space="preserve"> that the CEC does not demonstrate how the </w:t>
      </w:r>
      <w:r w:rsidRPr="00391600" w:rsidR="002E50A1">
        <w:rPr>
          <w:rFonts w:ascii="Palatino Linotype" w:hAnsi="Palatino Linotype" w:eastAsia="Palatino Linotype" w:cs="Times New Roman"/>
          <w:color w:val="000000" w:themeColor="text1"/>
          <w:kern w:val="0"/>
          <w14:ligatures w14:val="none"/>
        </w:rPr>
        <w:t>Social Science Research for Gas Decommissioning in the Mid</w:t>
      </w:r>
      <w:r w:rsidRPr="00391600" w:rsidR="00E260BE">
        <w:rPr>
          <w:rFonts w:ascii="Palatino Linotype" w:hAnsi="Palatino Linotype" w:eastAsia="Palatino Linotype" w:cs="Times New Roman"/>
          <w:color w:val="000000" w:themeColor="text1"/>
          <w:kern w:val="0"/>
          <w14:ligatures w14:val="none"/>
        </w:rPr>
        <w:t>-</w:t>
      </w:r>
      <w:r w:rsidRPr="00391600" w:rsidR="002E50A1">
        <w:rPr>
          <w:rFonts w:ascii="Palatino Linotype" w:hAnsi="Palatino Linotype" w:eastAsia="Palatino Linotype" w:cs="Times New Roman"/>
          <w:color w:val="000000" w:themeColor="text1"/>
          <w:kern w:val="0"/>
          <w14:ligatures w14:val="none"/>
        </w:rPr>
        <w:t xml:space="preserve"> and Long</w:t>
      </w:r>
      <w:r w:rsidRPr="00391600" w:rsidR="00E260BE">
        <w:rPr>
          <w:rFonts w:ascii="Palatino Linotype" w:hAnsi="Palatino Linotype" w:eastAsia="Palatino Linotype" w:cs="Times New Roman"/>
          <w:color w:val="000000" w:themeColor="text1"/>
          <w:kern w:val="0"/>
          <w14:ligatures w14:val="none"/>
        </w:rPr>
        <w:t>-</w:t>
      </w:r>
      <w:r w:rsidRPr="00391600" w:rsidR="002E50A1">
        <w:rPr>
          <w:rFonts w:ascii="Palatino Linotype" w:hAnsi="Palatino Linotype" w:eastAsia="Palatino Linotype" w:cs="Times New Roman"/>
          <w:color w:val="000000" w:themeColor="text1"/>
          <w:kern w:val="0"/>
          <w14:ligatures w14:val="none"/>
        </w:rPr>
        <w:t>Term</w:t>
      </w:r>
      <w:r w:rsidRPr="00391600" w:rsidR="00A26C1A">
        <w:rPr>
          <w:rFonts w:ascii="Palatino Linotype" w:hAnsi="Palatino Linotype" w:eastAsia="Palatino Linotype" w:cs="Times New Roman"/>
          <w:color w:val="000000" w:themeColor="text1"/>
          <w:kern w:val="0"/>
          <w14:ligatures w14:val="none"/>
        </w:rPr>
        <w:t xml:space="preserve"> Initiative is complementary to and distinct from the </w:t>
      </w:r>
      <w:r w:rsidRPr="00391600" w:rsidR="00F8378A">
        <w:rPr>
          <w:rFonts w:ascii="Palatino Linotype" w:hAnsi="Palatino Linotype"/>
          <w:color w:val="000000" w:themeColor="text1"/>
        </w:rPr>
        <w:t>University of California, Los Angeles (UCLA)</w:t>
      </w:r>
      <w:r w:rsidRPr="00391600" w:rsidR="00AC2AD1">
        <w:rPr>
          <w:rFonts w:ascii="Palatino Linotype" w:hAnsi="Palatino Linotype" w:eastAsia="Palatino Linotype" w:cs="Times New Roman"/>
          <w:color w:val="000000" w:themeColor="text1"/>
          <w:kern w:val="0"/>
          <w14:ligatures w14:val="none"/>
        </w:rPr>
        <w:t xml:space="preserve"> Mindful Gas Decommissioning Research Project</w:t>
      </w:r>
      <w:r w:rsidRPr="00391600" w:rsidR="00A26C1A">
        <w:rPr>
          <w:rFonts w:ascii="Palatino Linotype" w:hAnsi="Palatino Linotype" w:eastAsia="Palatino Linotype" w:cs="Times New Roman"/>
          <w:color w:val="000000" w:themeColor="text1"/>
          <w:kern w:val="0"/>
          <w14:ligatures w14:val="none"/>
        </w:rPr>
        <w:t>.</w:t>
      </w:r>
      <w:r w:rsidRPr="00391600" w:rsidR="00F8378A">
        <w:rPr>
          <w:rStyle w:val="FootnoteReference"/>
          <w:rFonts w:ascii="Palatino Linotype" w:hAnsi="Palatino Linotype" w:eastAsia="Palatino Linotype" w:cs="Times New Roman"/>
          <w:color w:val="000000" w:themeColor="text1"/>
          <w:kern w:val="0"/>
          <w14:ligatures w14:val="none"/>
        </w:rPr>
        <w:footnoteReference w:id="53"/>
      </w:r>
      <w:r w:rsidRPr="00391600" w:rsidR="00A26C1A">
        <w:rPr>
          <w:rFonts w:ascii="Palatino Linotype" w:hAnsi="Palatino Linotype" w:eastAsia="Palatino Linotype" w:cs="Times New Roman"/>
          <w:color w:val="000000" w:themeColor="text1"/>
          <w:kern w:val="0"/>
          <w14:ligatures w14:val="none"/>
        </w:rPr>
        <w:t xml:space="preserve"> </w:t>
      </w:r>
      <w:r w:rsidRPr="00391600" w:rsidR="00266E9B">
        <w:rPr>
          <w:rFonts w:ascii="Palatino Linotype" w:hAnsi="Palatino Linotype" w:eastAsia="Palatino Linotype" w:cs="Times New Roman"/>
          <w:color w:val="000000" w:themeColor="text1"/>
          <w:kern w:val="0"/>
          <w14:ligatures w14:val="none"/>
        </w:rPr>
        <w:t>Cal Advocates also ar</w:t>
      </w:r>
      <w:r w:rsidRPr="00391600" w:rsidR="006E5359">
        <w:rPr>
          <w:rFonts w:ascii="Palatino Linotype" w:hAnsi="Palatino Linotype" w:eastAsia="Palatino Linotype" w:cs="Times New Roman"/>
          <w:color w:val="000000" w:themeColor="text1"/>
          <w:kern w:val="0"/>
          <w14:ligatures w14:val="none"/>
        </w:rPr>
        <w:t>gued</w:t>
      </w:r>
      <w:r w:rsidRPr="00391600" w:rsidR="00266E9B">
        <w:rPr>
          <w:rFonts w:ascii="Palatino Linotype" w:hAnsi="Palatino Linotype" w:eastAsia="Palatino Linotype" w:cs="Times New Roman"/>
          <w:color w:val="000000" w:themeColor="text1"/>
          <w:kern w:val="0"/>
          <w14:ligatures w14:val="none"/>
        </w:rPr>
        <w:t xml:space="preserve"> that CEC does not explain how the </w:t>
      </w:r>
      <w:r w:rsidRPr="00391600" w:rsidR="002E50A1">
        <w:rPr>
          <w:rFonts w:ascii="Palatino Linotype" w:hAnsi="Palatino Linotype" w:eastAsia="Palatino Linotype" w:cs="Times New Roman"/>
          <w:color w:val="000000" w:themeColor="text1"/>
          <w:kern w:val="0"/>
          <w14:ligatures w14:val="none"/>
        </w:rPr>
        <w:t>Pilot Projects to Advance Gas Decommissioning</w:t>
      </w:r>
      <w:r w:rsidRPr="00391600" w:rsidR="00266E9B">
        <w:rPr>
          <w:rFonts w:ascii="Palatino Linotype" w:hAnsi="Palatino Linotype" w:eastAsia="Palatino Linotype" w:cs="Times New Roman"/>
          <w:color w:val="000000" w:themeColor="text1"/>
          <w:kern w:val="0"/>
          <w14:ligatures w14:val="none"/>
        </w:rPr>
        <w:t xml:space="preserve"> Initiative is coordinated with and distinct from </w:t>
      </w:r>
      <w:r w:rsidRPr="00391600" w:rsidR="00F46F90">
        <w:rPr>
          <w:rFonts w:ascii="Palatino Linotype" w:hAnsi="Palatino Linotype" w:eastAsia="Palatino Linotype" w:cs="Times New Roman"/>
          <w:color w:val="000000" w:themeColor="text1"/>
          <w:kern w:val="0"/>
          <w14:ligatures w14:val="none"/>
        </w:rPr>
        <w:t xml:space="preserve">investments </w:t>
      </w:r>
      <w:r w:rsidRPr="00391600" w:rsidR="00FF4C3D">
        <w:rPr>
          <w:rFonts w:ascii="Palatino Linotype" w:hAnsi="Palatino Linotype" w:eastAsia="Palatino Linotype" w:cs="Times New Roman"/>
          <w:color w:val="000000" w:themeColor="text1"/>
          <w:kern w:val="0"/>
          <w14:ligatures w14:val="none"/>
        </w:rPr>
        <w:t xml:space="preserve">proposed </w:t>
      </w:r>
      <w:r w:rsidRPr="00391600" w:rsidR="00F46F90">
        <w:rPr>
          <w:rFonts w:ascii="Palatino Linotype" w:hAnsi="Palatino Linotype" w:eastAsia="Palatino Linotype" w:cs="Times New Roman"/>
          <w:color w:val="000000" w:themeColor="text1"/>
          <w:kern w:val="0"/>
          <w14:ligatures w14:val="none"/>
        </w:rPr>
        <w:t>in</w:t>
      </w:r>
      <w:r w:rsidRPr="00391600" w:rsidR="007D27C8">
        <w:rPr>
          <w:rFonts w:ascii="Palatino Linotype" w:hAnsi="Palatino Linotype" w:eastAsia="Palatino Linotype" w:cs="Times New Roman"/>
          <w:color w:val="000000" w:themeColor="text1"/>
          <w:kern w:val="0"/>
          <w14:ligatures w14:val="none"/>
        </w:rPr>
        <w:t xml:space="preserve"> </w:t>
      </w:r>
      <w:r w:rsidRPr="00391600" w:rsidR="007D27C8">
        <w:rPr>
          <w:rFonts w:ascii="Palatino Linotype" w:hAnsi="Palatino Linotype" w:eastAsia="Palatino Linotype" w:cs="Times New Roman"/>
          <w:color w:val="000000" w:themeColor="text1"/>
        </w:rPr>
        <w:t>Southern California Gas’ (S</w:t>
      </w:r>
      <w:r w:rsidRPr="00391600" w:rsidR="00D86396">
        <w:rPr>
          <w:rFonts w:ascii="Palatino Linotype" w:hAnsi="Palatino Linotype" w:eastAsia="Palatino Linotype" w:cs="Times New Roman"/>
          <w:color w:val="000000" w:themeColor="text1"/>
        </w:rPr>
        <w:t>oCalGas</w:t>
      </w:r>
      <w:r w:rsidRPr="00391600" w:rsidR="007D27C8">
        <w:rPr>
          <w:rFonts w:ascii="Palatino Linotype" w:hAnsi="Palatino Linotype" w:eastAsia="Palatino Linotype" w:cs="Times New Roman"/>
          <w:color w:val="000000" w:themeColor="text1"/>
        </w:rPr>
        <w:t>)</w:t>
      </w:r>
      <w:r w:rsidRPr="00391600" w:rsidR="00F46F90">
        <w:rPr>
          <w:rFonts w:ascii="Palatino Linotype" w:hAnsi="Palatino Linotype" w:eastAsia="Palatino Linotype" w:cs="Times New Roman"/>
          <w:color w:val="000000" w:themeColor="text1"/>
          <w:kern w:val="0"/>
          <w14:ligatures w14:val="none"/>
        </w:rPr>
        <w:t xml:space="preserve"> 2023 Gas R&amp;D Investment Plan</w:t>
      </w:r>
      <w:r w:rsidRPr="00391600" w:rsidR="00C84C4C">
        <w:rPr>
          <w:rStyle w:val="FootnoteReference"/>
          <w:rFonts w:ascii="Palatino Linotype" w:hAnsi="Palatino Linotype" w:eastAsia="Palatino Linotype" w:cs="Times New Roman"/>
          <w:color w:val="000000" w:themeColor="text1"/>
          <w:kern w:val="0"/>
          <w14:ligatures w14:val="none"/>
        </w:rPr>
        <w:footnoteReference w:id="54"/>
      </w:r>
      <w:r w:rsidRPr="00391600" w:rsidR="00FF4C3D">
        <w:rPr>
          <w:rFonts w:ascii="Palatino Linotype" w:hAnsi="Palatino Linotype" w:eastAsia="Palatino Linotype" w:cs="Times New Roman"/>
          <w:color w:val="000000" w:themeColor="text1"/>
          <w:kern w:val="0"/>
          <w14:ligatures w14:val="none"/>
        </w:rPr>
        <w:t xml:space="preserve"> as approved and modified in CPUC Resolution G-</w:t>
      </w:r>
      <w:r w:rsidRPr="00391600" w:rsidR="00F4075D">
        <w:rPr>
          <w:rFonts w:ascii="Palatino Linotype" w:hAnsi="Palatino Linotype" w:eastAsia="Palatino Linotype" w:cs="Times New Roman"/>
          <w:color w:val="000000" w:themeColor="text1"/>
          <w:kern w:val="0"/>
          <w14:ligatures w14:val="none"/>
        </w:rPr>
        <w:t>3601</w:t>
      </w:r>
      <w:r w:rsidRPr="00391600" w:rsidR="00FF4C3D">
        <w:rPr>
          <w:rFonts w:ascii="Palatino Linotype" w:hAnsi="Palatino Linotype" w:eastAsia="Palatino Linotype" w:cs="Times New Roman"/>
          <w:color w:val="000000" w:themeColor="text1"/>
          <w:kern w:val="0"/>
          <w14:ligatures w14:val="none"/>
        </w:rPr>
        <w:t>.</w:t>
      </w:r>
      <w:r w:rsidRPr="00391600" w:rsidR="00BB7E9C">
        <w:rPr>
          <w:rStyle w:val="FootnoteReference"/>
          <w:rFonts w:ascii="Palatino Linotype" w:hAnsi="Palatino Linotype" w:eastAsia="Palatino Linotype" w:cs="Times New Roman"/>
          <w:color w:val="000000" w:themeColor="text1"/>
          <w:kern w:val="0"/>
          <w14:ligatures w14:val="none"/>
        </w:rPr>
        <w:footnoteReference w:id="55"/>
      </w:r>
      <w:r w:rsidRPr="00391600" w:rsidR="00266E9B">
        <w:rPr>
          <w:rFonts w:ascii="Palatino Linotype" w:hAnsi="Palatino Linotype" w:eastAsia="Palatino Linotype" w:cs="Times New Roman"/>
          <w:color w:val="000000" w:themeColor="text1"/>
          <w:kern w:val="0"/>
          <w14:ligatures w14:val="none"/>
        </w:rPr>
        <w:t xml:space="preserve"> </w:t>
      </w:r>
      <w:r w:rsidRPr="00391600" w:rsidR="00D91658">
        <w:rPr>
          <w:rFonts w:ascii="Palatino Linotype" w:hAnsi="Palatino Linotype" w:eastAsia="Palatino Linotype" w:cs="Times New Roman"/>
          <w:color w:val="000000" w:themeColor="text1"/>
          <w:kern w:val="0"/>
          <w14:ligatures w14:val="none"/>
        </w:rPr>
        <w:t>Cal Advocates also highlighted where CEC discusses that “[w]</w:t>
      </w:r>
      <w:proofErr w:type="spellStart"/>
      <w:r w:rsidRPr="00391600" w:rsidR="00D91658">
        <w:rPr>
          <w:rFonts w:ascii="Palatino Linotype" w:hAnsi="Palatino Linotype" w:eastAsia="Palatino Linotype" w:cs="Times New Roman"/>
          <w:color w:val="000000" w:themeColor="text1"/>
          <w:kern w:val="0"/>
          <w14:ligatures w14:val="none"/>
        </w:rPr>
        <w:t>hile</w:t>
      </w:r>
      <w:proofErr w:type="spellEnd"/>
      <w:r w:rsidRPr="00391600" w:rsidR="00D91658">
        <w:rPr>
          <w:rFonts w:ascii="Palatino Linotype" w:hAnsi="Palatino Linotype" w:eastAsia="Palatino Linotype" w:cs="Times New Roman"/>
          <w:color w:val="000000" w:themeColor="text1"/>
          <w:kern w:val="0"/>
          <w14:ligatures w14:val="none"/>
        </w:rPr>
        <w:t xml:space="preserve"> network geothermal demonstrations are advancing </w:t>
      </w:r>
      <w:r w:rsidRPr="00391600" w:rsidR="00D91658">
        <w:rPr>
          <w:rFonts w:ascii="Palatino Linotype" w:hAnsi="Palatino Linotype" w:eastAsia="Palatino Linotype" w:cs="Times New Roman"/>
          <w:color w:val="000000" w:themeColor="text1"/>
          <w:kern w:val="0"/>
          <w14:ligatures w14:val="none"/>
        </w:rPr>
        <w:lastRenderedPageBreak/>
        <w:t>in other states, research that accounts for California’s climate, population, and other unique features is critical to understanding the role this technology can play in helping California achieve its climate and clean energy goals”</w:t>
      </w:r>
      <w:r w:rsidRPr="00391600" w:rsidR="00D91658">
        <w:rPr>
          <w:rStyle w:val="FootnoteReference"/>
          <w:rFonts w:ascii="Palatino Linotype" w:hAnsi="Palatino Linotype" w:eastAsia="Palatino Linotype" w:cs="Times New Roman"/>
          <w:color w:val="000000" w:themeColor="text1"/>
          <w:kern w:val="0"/>
          <w14:ligatures w14:val="none"/>
        </w:rPr>
        <w:footnoteReference w:id="56"/>
      </w:r>
      <w:r w:rsidRPr="00391600" w:rsidR="00D91658">
        <w:rPr>
          <w:rFonts w:ascii="Palatino Linotype" w:hAnsi="Palatino Linotype" w:eastAsia="Palatino Linotype" w:cs="Times New Roman"/>
          <w:color w:val="000000" w:themeColor="text1"/>
          <w:kern w:val="0"/>
          <w14:ligatures w14:val="none"/>
        </w:rPr>
        <w:t xml:space="preserve"> and recommended that CEC be required to identify more specific gaps it seeks to address with the Network Geothermal Heat Pumps Initiative.</w:t>
      </w:r>
    </w:p>
    <w:p w:rsidRPr="00391600" w:rsidR="00F345B5" w:rsidP="00965AA3" w:rsidRDefault="00D91658" w14:paraId="30E9C707" w14:textId="21FD152D">
      <w:pPr>
        <w:spacing w:before="240" w:after="6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CEC submit</w:t>
      </w:r>
      <w:r w:rsidRPr="00391600" w:rsidR="00970E43">
        <w:rPr>
          <w:rFonts w:ascii="Palatino Linotype" w:hAnsi="Palatino Linotype" w:eastAsia="Palatino Linotype" w:cs="Times New Roman"/>
          <w:color w:val="000000" w:themeColor="text1"/>
          <w:kern w:val="0"/>
          <w14:ligatures w14:val="none"/>
        </w:rPr>
        <w:t>ted</w:t>
      </w:r>
      <w:r w:rsidRPr="00391600">
        <w:rPr>
          <w:rFonts w:ascii="Palatino Linotype" w:hAnsi="Palatino Linotype" w:eastAsia="Palatino Linotype" w:cs="Times New Roman"/>
          <w:color w:val="000000" w:themeColor="text1"/>
          <w:kern w:val="0"/>
          <w14:ligatures w14:val="none"/>
        </w:rPr>
        <w:t xml:space="preserve"> a supplement to </w:t>
      </w:r>
      <w:r w:rsidRPr="00391600" w:rsidR="00970E43">
        <w:rPr>
          <w:rFonts w:ascii="Palatino Linotype" w:hAnsi="Palatino Linotype" w:eastAsia="Palatino Linotype" w:cs="Times New Roman"/>
          <w:color w:val="000000" w:themeColor="text1"/>
          <w:kern w:val="0"/>
          <w14:ligatures w14:val="none"/>
        </w:rPr>
        <w:t xml:space="preserve">CEC </w:t>
      </w:r>
      <w:r w:rsidRPr="00391600">
        <w:rPr>
          <w:rFonts w:ascii="Palatino Linotype" w:hAnsi="Palatino Linotype" w:eastAsia="Palatino Linotype" w:cs="Times New Roman"/>
          <w:color w:val="000000" w:themeColor="text1"/>
          <w:kern w:val="0"/>
          <w14:ligatures w14:val="none"/>
        </w:rPr>
        <w:t xml:space="preserve">AL 10-G to demonstrate how proposed investments will avoid unnecessarily duplicating prior, current, or future research per Gas RD&amp;D program requirements, including information provided in CEC’s reply to Cal Advocates’ protest. </w:t>
      </w:r>
      <w:r w:rsidRPr="00391600" w:rsidR="00722562">
        <w:rPr>
          <w:rFonts w:ascii="Palatino Linotype" w:hAnsi="Palatino Linotype" w:eastAsia="Palatino Linotype" w:cs="Times New Roman"/>
          <w:color w:val="000000" w:themeColor="text1"/>
          <w:kern w:val="0"/>
          <w14:ligatures w14:val="none"/>
        </w:rPr>
        <w:t xml:space="preserve">CEC </w:t>
      </w:r>
      <w:r w:rsidRPr="00391600" w:rsidR="00EA4554">
        <w:rPr>
          <w:rFonts w:ascii="Palatino Linotype" w:hAnsi="Palatino Linotype" w:eastAsia="Palatino Linotype" w:cs="Times New Roman"/>
          <w:color w:val="000000" w:themeColor="text1"/>
          <w:kern w:val="0"/>
          <w14:ligatures w14:val="none"/>
        </w:rPr>
        <w:t>provided the following</w:t>
      </w:r>
      <w:r w:rsidRPr="00391600" w:rsidR="009C24E2">
        <w:rPr>
          <w:rFonts w:ascii="Palatino Linotype" w:hAnsi="Palatino Linotype" w:eastAsia="Palatino Linotype" w:cs="Times New Roman"/>
          <w:color w:val="000000" w:themeColor="text1"/>
          <w:kern w:val="0"/>
          <w14:ligatures w14:val="none"/>
        </w:rPr>
        <w:t xml:space="preserve"> additional</w:t>
      </w:r>
      <w:r w:rsidRPr="00391600" w:rsidR="00EA4554">
        <w:rPr>
          <w:rFonts w:ascii="Palatino Linotype" w:hAnsi="Palatino Linotype" w:eastAsia="Palatino Linotype" w:cs="Times New Roman"/>
          <w:color w:val="000000" w:themeColor="text1"/>
          <w:kern w:val="0"/>
          <w14:ligatures w14:val="none"/>
        </w:rPr>
        <w:t xml:space="preserve"> information</w:t>
      </w:r>
      <w:r w:rsidRPr="00391600" w:rsidR="009C24E2">
        <w:rPr>
          <w:rFonts w:ascii="Palatino Linotype" w:hAnsi="Palatino Linotype" w:eastAsia="Palatino Linotype" w:cs="Times New Roman"/>
          <w:color w:val="000000" w:themeColor="text1"/>
          <w:kern w:val="0"/>
          <w14:ligatures w14:val="none"/>
        </w:rPr>
        <w:t xml:space="preserve"> in its supplement </w:t>
      </w:r>
      <w:r w:rsidRPr="00391600" w:rsidR="00970E43">
        <w:rPr>
          <w:rFonts w:ascii="Palatino Linotype" w:hAnsi="Palatino Linotype" w:eastAsia="Palatino Linotype" w:cs="Times New Roman"/>
          <w:color w:val="000000" w:themeColor="text1"/>
          <w:kern w:val="0"/>
          <w14:ligatures w14:val="none"/>
        </w:rPr>
        <w:t xml:space="preserve">CEC </w:t>
      </w:r>
      <w:r w:rsidRPr="00391600" w:rsidR="009C24E2">
        <w:rPr>
          <w:rFonts w:ascii="Palatino Linotype" w:hAnsi="Palatino Linotype" w:eastAsia="Palatino Linotype" w:cs="Times New Roman"/>
          <w:color w:val="000000" w:themeColor="text1"/>
          <w:kern w:val="0"/>
          <w14:ligatures w14:val="none"/>
        </w:rPr>
        <w:t>AL 10-G-A</w:t>
      </w:r>
      <w:r w:rsidRPr="00391600" w:rsidR="00970E43">
        <w:rPr>
          <w:rFonts w:ascii="Palatino Linotype" w:hAnsi="Palatino Linotype" w:eastAsia="Palatino Linotype" w:cs="Times New Roman"/>
          <w:color w:val="000000" w:themeColor="text1"/>
          <w:kern w:val="0"/>
          <w14:ligatures w14:val="none"/>
        </w:rPr>
        <w:t>, related to</w:t>
      </w:r>
      <w:r w:rsidRPr="00391600" w:rsidR="00F345B5">
        <w:rPr>
          <w:rFonts w:ascii="Palatino Linotype" w:hAnsi="Palatino Linotype" w:eastAsia="Palatino Linotype" w:cs="Times New Roman"/>
          <w:color w:val="000000" w:themeColor="text1"/>
          <w:kern w:val="0"/>
          <w14:ligatures w14:val="none"/>
        </w:rPr>
        <w:t xml:space="preserve">: </w:t>
      </w:r>
    </w:p>
    <w:p w:rsidRPr="00391600" w:rsidR="00D91658" w:rsidP="00BB33C1" w:rsidRDefault="00D91658" w14:paraId="7D41BE16" w14:textId="52465257">
      <w:pPr>
        <w:pStyle w:val="ListParagraph"/>
        <w:numPr>
          <w:ilvl w:val="0"/>
          <w:numId w:val="43"/>
        </w:numPr>
        <w:spacing w:before="240" w:after="6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Social Science Research for Gas Decommissioning in the Mid- and Long-Term &amp; Pilot Projects to Advance Gas Decommissioning Initiatives</w:t>
      </w:r>
      <w:r w:rsidRPr="00391600" w:rsidR="00C87D4C">
        <w:rPr>
          <w:rFonts w:ascii="Palatino Linotype" w:hAnsi="Palatino Linotype" w:eastAsia="Palatino Linotype" w:cs="Times New Roman"/>
          <w:color w:val="000000" w:themeColor="text1"/>
          <w:kern w:val="0"/>
          <w14:ligatures w14:val="none"/>
        </w:rPr>
        <w:t xml:space="preserve">. Specifically, the CEC stated: </w:t>
      </w:r>
      <w:r w:rsidRPr="00391600">
        <w:rPr>
          <w:rFonts w:ascii="Palatino Linotype" w:hAnsi="Palatino Linotype" w:eastAsia="Palatino Linotype" w:cs="Times New Roman"/>
          <w:color w:val="000000" w:themeColor="text1"/>
          <w:kern w:val="0"/>
          <w14:ligatures w14:val="none"/>
        </w:rPr>
        <w:t xml:space="preserve"> </w:t>
      </w:r>
    </w:p>
    <w:p w:rsidRPr="00391600" w:rsidR="00C85570" w:rsidP="00C87D4C" w:rsidRDefault="00F345B5" w14:paraId="73629534" w14:textId="6C7812E7">
      <w:pPr>
        <w:spacing w:before="240" w:after="0" w:line="276" w:lineRule="auto"/>
        <w:ind w:left="360"/>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I</w:t>
      </w:r>
      <w:r w:rsidRPr="00391600" w:rsidR="00722562">
        <w:rPr>
          <w:rFonts w:ascii="Palatino Linotype" w:hAnsi="Palatino Linotype" w:eastAsia="Palatino Linotype" w:cs="Times New Roman"/>
          <w:i/>
          <w:iCs/>
          <w:color w:val="000000" w:themeColor="text1"/>
          <w:kern w:val="0"/>
          <w14:ligatures w14:val="none"/>
        </w:rPr>
        <w:t>n August 2024, CEC staff presented early initiative outlines to IOUs for feedback. CEC and SoCalGas staff discussed and agreed on the feasibility of developing pilot projects in Northern California and Southern California based on preliminary studies by E3 and RAND. CEC staff and IOUs collectively agreed that further assessment is needed on system integration and community outreach methods. CEC and IOUs agreed to continue coordination with one another throughout SB 1221 implementation.</w:t>
      </w:r>
      <w:r w:rsidRPr="00391600" w:rsidR="00722562">
        <w:rPr>
          <w:rStyle w:val="FootnoteReference"/>
          <w:rFonts w:ascii="Palatino Linotype" w:hAnsi="Palatino Linotype" w:eastAsia="Palatino Linotype" w:cs="Times New Roman"/>
          <w:i/>
          <w:iCs/>
          <w:color w:val="000000" w:themeColor="text1"/>
          <w:kern w:val="0"/>
          <w14:ligatures w14:val="none"/>
        </w:rPr>
        <w:footnoteReference w:id="57"/>
      </w:r>
    </w:p>
    <w:p w:rsidRPr="00391600" w:rsidR="00F345B5" w:rsidP="00C87D4C" w:rsidRDefault="00F345B5" w14:paraId="34152F63" w14:textId="491D2DB2">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 xml:space="preserve">SoCalGas proposed several research areas in its 2023 RD&amp;D Program Research Plan on gas decarbonization that complement but differ from the CEC’s proposed initiatives on gas decommissioning. The SoCalGas plan describes that its programs would aim </w:t>
      </w:r>
      <w:proofErr w:type="gramStart"/>
      <w:r w:rsidRPr="00391600">
        <w:rPr>
          <w:rFonts w:ascii="Palatino Linotype" w:hAnsi="Palatino Linotype" w:eastAsia="Palatino Linotype" w:cs="Times New Roman"/>
          <w:i/>
          <w:iCs/>
          <w:color w:val="000000" w:themeColor="text1"/>
          <w:kern w:val="0"/>
          <w14:ligatures w14:val="none"/>
        </w:rPr>
        <w:t>to:</w:t>
      </w:r>
      <w:proofErr w:type="gramEnd"/>
      <w:r w:rsidRPr="00391600">
        <w:rPr>
          <w:rFonts w:ascii="Palatino Linotype" w:hAnsi="Palatino Linotype" w:eastAsia="Palatino Linotype" w:cs="Times New Roman"/>
          <w:i/>
          <w:iCs/>
          <w:color w:val="000000" w:themeColor="text1"/>
          <w:kern w:val="0"/>
          <w14:ligatures w14:val="none"/>
        </w:rPr>
        <w:t xml:space="preserve"> 1) advance clean gas production technology for gas decarbonization (Low Carbon Resources Program), 2) enhance pipeline safety (Gas Operations Program), and 3) improve gas equipment efficiency (Customer End-Use Applications Program). While these efforts enhance strategies for reducing GHG emissions from the existing gas system, they differ in approach from zonal gas decommissioning, which involves retiring portions of California’s fossil gas infrastructure.</w:t>
      </w:r>
      <w:r w:rsidRPr="00391600">
        <w:rPr>
          <w:rStyle w:val="FootnoteReference"/>
          <w:rFonts w:ascii="Palatino Linotype" w:hAnsi="Palatino Linotype" w:eastAsia="Palatino Linotype" w:cs="Times New Roman"/>
          <w:i/>
          <w:iCs/>
          <w:color w:val="000000" w:themeColor="text1"/>
          <w:kern w:val="0"/>
          <w14:ligatures w14:val="none"/>
        </w:rPr>
        <w:footnoteReference w:id="58"/>
      </w:r>
    </w:p>
    <w:p w:rsidRPr="00391600" w:rsidR="00722562" w:rsidP="003147DD" w:rsidRDefault="00722562" w14:paraId="5F6A34C8" w14:textId="77777777">
      <w:pPr>
        <w:spacing w:after="60" w:line="276" w:lineRule="auto"/>
        <w:rPr>
          <w:rFonts w:ascii="Palatino Linotype" w:hAnsi="Palatino Linotype" w:eastAsia="Palatino Linotype" w:cs="Times New Roman"/>
          <w:color w:val="000000" w:themeColor="text1"/>
          <w:kern w:val="0"/>
          <w14:ligatures w14:val="none"/>
        </w:rPr>
      </w:pPr>
    </w:p>
    <w:p w:rsidRPr="00391600" w:rsidR="00D91658" w:rsidP="00BB33C1" w:rsidRDefault="00D91658" w14:paraId="4E3C92C9" w14:textId="0344D5DC">
      <w:pPr>
        <w:pStyle w:val="ListParagraph"/>
        <w:numPr>
          <w:ilvl w:val="0"/>
          <w:numId w:val="43"/>
        </w:numPr>
        <w:spacing w:after="6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Network Geothermal Heat Pumps Initiative</w:t>
      </w:r>
      <w:r w:rsidRPr="00391600" w:rsidR="00241071">
        <w:rPr>
          <w:rFonts w:ascii="Palatino Linotype" w:hAnsi="Palatino Linotype" w:eastAsia="Palatino Linotype" w:cs="Times New Roman"/>
          <w:color w:val="000000" w:themeColor="text1"/>
          <w:kern w:val="0"/>
          <w14:ligatures w14:val="none"/>
        </w:rPr>
        <w:t>. Specifically, the CEC stated:</w:t>
      </w:r>
    </w:p>
    <w:p w:rsidRPr="00391600" w:rsidR="00EA4554" w:rsidP="007B36CC" w:rsidRDefault="00AD7618" w14:paraId="72FA1E8B" w14:textId="07DD7F1C">
      <w:pPr>
        <w:spacing w:before="240" w:after="60" w:line="276" w:lineRule="auto"/>
        <w:ind w:left="360"/>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While networked geothermal demonstrations are advancing in other states, research that accounts for California’s climate, population, and other unique features is critical to understanding the role this technology can play in helping California achieve its climate and clean air goals</w:t>
      </w:r>
      <w:r w:rsidRPr="00391600" w:rsidR="00D930CA">
        <w:rPr>
          <w:rFonts w:ascii="Palatino Linotype" w:hAnsi="Palatino Linotype" w:eastAsia="Palatino Linotype" w:cs="Times New Roman"/>
          <w:i/>
          <w:iCs/>
          <w:color w:val="000000" w:themeColor="text1"/>
          <w:kern w:val="0"/>
          <w14:ligatures w14:val="none"/>
        </w:rPr>
        <w:t xml:space="preserve">… </w:t>
      </w:r>
      <w:r w:rsidRPr="00391600" w:rsidR="00A40932">
        <w:rPr>
          <w:rFonts w:ascii="Palatino Linotype" w:hAnsi="Palatino Linotype" w:eastAsia="Palatino Linotype" w:cs="Times New Roman"/>
          <w:i/>
          <w:iCs/>
          <w:color w:val="000000" w:themeColor="text1"/>
          <w:kern w:val="0"/>
          <w14:ligatures w14:val="none"/>
        </w:rPr>
        <w:t>Nearly all current and planned studies and pilots are concentrated in cold climates where the heating load makes up the predominant share of space conditioning. California’s cooling loads vary, and there will be a need to determine the applicability and feasibility of networked geothermal as a versatile technology for California’s heavily populated coastal regions, which have experienced an increasing trend in annual cooling degree days, as well as for more inland and temperate regions. The initiative further seeks to study the benefits of Networked GHPs as an alternative to water-intense air-conditioning in large buildings, a particularly relevant R&amp;D work stream for California, where water is often scarce.</w:t>
      </w:r>
      <w:r w:rsidRPr="00391600" w:rsidR="00A40932">
        <w:rPr>
          <w:rStyle w:val="FootnoteReference"/>
          <w:rFonts w:ascii="Palatino Linotype" w:hAnsi="Palatino Linotype" w:eastAsia="Palatino Linotype" w:cs="Times New Roman"/>
          <w:i/>
          <w:iCs/>
          <w:color w:val="000000" w:themeColor="text1"/>
          <w:kern w:val="0"/>
          <w14:ligatures w14:val="none"/>
        </w:rPr>
        <w:footnoteReference w:id="59"/>
      </w:r>
    </w:p>
    <w:p w:rsidRPr="00391600" w:rsidR="005C3D7A" w:rsidP="003147DD" w:rsidRDefault="005C3D7A" w14:paraId="0C67C80B"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EE068B" w:rsidP="00C01D32" w:rsidRDefault="00A76F4A" w14:paraId="62DD81F0" w14:textId="52F13DC0">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caps/>
          <w:color w:val="000000" w:themeColor="text1"/>
          <w:kern w:val="28"/>
          <w:u w:val="single"/>
          <w14:ligatures w14:val="none"/>
        </w:rPr>
        <w:t>Discussion</w:t>
      </w:r>
    </w:p>
    <w:p w:rsidRPr="00391600" w:rsidR="007B36CC" w:rsidP="007B36CC" w:rsidRDefault="007B36CC" w14:paraId="7254759B" w14:textId="7D5C46DE">
      <w:pPr>
        <w:spacing w:after="60" w:line="276" w:lineRule="auto"/>
        <w:rPr>
          <w:rFonts w:ascii="Palatino Linotype" w:hAnsi="Palatino Linotype" w:eastAsia="Palatino Linotype" w:cs="Times New Roman"/>
          <w:b/>
          <w:bCs/>
          <w:color w:val="000000" w:themeColor="text1"/>
          <w:kern w:val="0"/>
          <w14:ligatures w14:val="none"/>
        </w:rPr>
      </w:pPr>
      <w:r w:rsidRPr="00391600">
        <w:rPr>
          <w:rFonts w:ascii="Palatino Linotype" w:hAnsi="Palatino Linotype" w:eastAsia="Palatino Linotype" w:cs="Times New Roman"/>
          <w:b/>
          <w:bCs/>
          <w:color w:val="000000" w:themeColor="text1"/>
          <w:kern w:val="0"/>
          <w14:ligatures w14:val="none"/>
        </w:rPr>
        <w:t>Concerns Raised in Cal Advocates</w:t>
      </w:r>
      <w:r w:rsidRPr="00391600" w:rsidR="00965AA3">
        <w:rPr>
          <w:rFonts w:ascii="Palatino Linotype" w:hAnsi="Palatino Linotype" w:eastAsia="Palatino Linotype" w:cs="Times New Roman"/>
          <w:b/>
          <w:bCs/>
          <w:color w:val="000000" w:themeColor="text1"/>
          <w:kern w:val="0"/>
          <w14:ligatures w14:val="none"/>
        </w:rPr>
        <w:t>’</w:t>
      </w:r>
      <w:r w:rsidRPr="00391600">
        <w:rPr>
          <w:rFonts w:ascii="Palatino Linotype" w:hAnsi="Palatino Linotype" w:eastAsia="Palatino Linotype" w:cs="Times New Roman"/>
          <w:b/>
          <w:bCs/>
          <w:color w:val="000000" w:themeColor="text1"/>
          <w:kern w:val="0"/>
          <w14:ligatures w14:val="none"/>
        </w:rPr>
        <w:t xml:space="preserve"> Protest to CEC AL 10-G-A</w:t>
      </w:r>
    </w:p>
    <w:p w:rsidRPr="00391600" w:rsidR="00241071" w:rsidP="006636EF" w:rsidRDefault="007B36CC" w14:paraId="7AEEBA65" w14:textId="00B57C95">
      <w:pPr>
        <w:spacing w:before="240" w:after="60" w:line="276" w:lineRule="auto"/>
        <w:rPr>
          <w:rFonts w:ascii="Palatino Linotype" w:hAnsi="Palatino Linotype"/>
          <w:bCs/>
          <w:color w:val="000000" w:themeColor="text1"/>
        </w:rPr>
      </w:pPr>
      <w:r w:rsidRPr="00391600">
        <w:rPr>
          <w:rFonts w:ascii="Palatino Linotype" w:hAnsi="Palatino Linotype" w:eastAsia="Palatino Linotype" w:cs="Times New Roman"/>
          <w:color w:val="000000" w:themeColor="text1"/>
          <w:kern w:val="0"/>
          <w14:ligatures w14:val="none"/>
        </w:rPr>
        <w:t xml:space="preserve">Based on Staff’s assessment, the Commission finds that CEC has addressed Cal Advocates’ concerns </w:t>
      </w:r>
      <w:r w:rsidRPr="00391600" w:rsidR="003151C6">
        <w:rPr>
          <w:rFonts w:ascii="Palatino Linotype" w:hAnsi="Palatino Linotype" w:eastAsia="Palatino Linotype" w:cs="Times New Roman"/>
          <w:color w:val="000000" w:themeColor="text1"/>
          <w:kern w:val="0"/>
          <w14:ligatures w14:val="none"/>
        </w:rPr>
        <w:t xml:space="preserve">raised in its protest of CEC AL 10-G with the supplemental information subsequently provided in the AL supplement, </w:t>
      </w:r>
      <w:r w:rsidRPr="00391600">
        <w:rPr>
          <w:rFonts w:ascii="Palatino Linotype" w:hAnsi="Palatino Linotype" w:eastAsia="Palatino Linotype" w:cs="Times New Roman"/>
          <w:color w:val="000000" w:themeColor="text1"/>
          <w:kern w:val="0"/>
          <w14:ligatures w14:val="none"/>
        </w:rPr>
        <w:t xml:space="preserve">CEC AL 10-G-A. See also CEC Response in AL 10-G-A to </w:t>
      </w:r>
      <w:r w:rsidRPr="00391600">
        <w:rPr>
          <w:rFonts w:ascii="Palatino Linotype" w:hAnsi="Palatino Linotype"/>
          <w:color w:val="000000" w:themeColor="text1"/>
        </w:rPr>
        <w:t>Resolution G-3603</w:t>
      </w:r>
      <w:r w:rsidRPr="00391600">
        <w:rPr>
          <w:rFonts w:ascii="Palatino Linotype" w:hAnsi="Palatino Linotype"/>
          <w:b/>
          <w:color w:val="000000" w:themeColor="text1"/>
        </w:rPr>
        <w:t xml:space="preserve"> </w:t>
      </w:r>
      <w:r w:rsidRPr="00391600">
        <w:rPr>
          <w:rFonts w:ascii="Palatino Linotype" w:hAnsi="Palatino Linotype"/>
          <w:bCs/>
          <w:color w:val="000000" w:themeColor="text1"/>
        </w:rPr>
        <w:t xml:space="preserve">(2024) at OP 4 in Appendix </w:t>
      </w:r>
      <w:r w:rsidRPr="00391600" w:rsidR="00587988">
        <w:rPr>
          <w:rFonts w:ascii="Palatino Linotype" w:hAnsi="Palatino Linotype"/>
          <w:bCs/>
          <w:color w:val="000000" w:themeColor="text1"/>
        </w:rPr>
        <w:t>H</w:t>
      </w:r>
      <w:r w:rsidRPr="00391600" w:rsidR="006636EF">
        <w:rPr>
          <w:rFonts w:ascii="Palatino Linotype" w:hAnsi="Palatino Linotype"/>
          <w:bCs/>
          <w:color w:val="000000" w:themeColor="text1"/>
        </w:rPr>
        <w:t xml:space="preserve">, where similar concerns were raised and addressed. CEC AL 10-G-A was not protested anew </w:t>
      </w:r>
      <w:r w:rsidRPr="00391600" w:rsidR="00AE48C9">
        <w:rPr>
          <w:rFonts w:ascii="Palatino Linotype" w:hAnsi="Palatino Linotype"/>
          <w:bCs/>
          <w:color w:val="000000" w:themeColor="text1"/>
        </w:rPr>
        <w:t xml:space="preserve">by </w:t>
      </w:r>
      <w:r w:rsidRPr="00391600" w:rsidR="006636EF">
        <w:rPr>
          <w:rFonts w:ascii="Palatino Linotype" w:hAnsi="Palatino Linotype"/>
          <w:bCs/>
          <w:color w:val="000000" w:themeColor="text1"/>
        </w:rPr>
        <w:t>Cal Advocates.</w:t>
      </w:r>
    </w:p>
    <w:p w:rsidRPr="00391600" w:rsidR="00676C88" w:rsidP="00676C88" w:rsidRDefault="00676C88" w14:paraId="42B8EB0C" w14:textId="77777777">
      <w:pPr>
        <w:pStyle w:val="10sp0"/>
        <w:spacing w:after="0" w:line="276" w:lineRule="auto"/>
        <w:rPr>
          <w:rFonts w:ascii="Palatino Linotype" w:hAnsi="Palatino Linotype"/>
          <w:b/>
          <w:color w:val="000000" w:themeColor="text1"/>
        </w:rPr>
      </w:pPr>
    </w:p>
    <w:p w:rsidRPr="00391600" w:rsidR="00676C88" w:rsidP="00676C88" w:rsidRDefault="00676C88" w14:paraId="76F28764" w14:textId="447474FD">
      <w:pPr>
        <w:pStyle w:val="10sp0"/>
        <w:spacing w:line="276" w:lineRule="auto"/>
        <w:rPr>
          <w:rFonts w:ascii="Palatino Linotype" w:hAnsi="Palatino Linotype"/>
          <w:b/>
          <w:color w:val="000000" w:themeColor="text1"/>
        </w:rPr>
      </w:pPr>
      <w:r w:rsidRPr="00391600">
        <w:rPr>
          <w:rFonts w:ascii="Palatino Linotype" w:hAnsi="Palatino Linotype"/>
          <w:b/>
          <w:color w:val="000000" w:themeColor="text1"/>
        </w:rPr>
        <w:t>Review of CEC Gas RD&amp;D Plans</w:t>
      </w:r>
    </w:p>
    <w:p w:rsidRPr="00391600" w:rsidR="00087180" w:rsidP="00987C5C" w:rsidRDefault="00676C88" w14:paraId="3FBE4E37" w14:textId="12BE1E3C">
      <w:pPr>
        <w:spacing w:after="0"/>
        <w:rPr>
          <w:rFonts w:ascii="Palatino Linotype" w:hAnsi="Palatino Linotype"/>
          <w:color w:val="000000" w:themeColor="text1"/>
        </w:rPr>
      </w:pPr>
      <w:r w:rsidRPr="00391600">
        <w:rPr>
          <w:rFonts w:ascii="Palatino Linotype" w:hAnsi="Palatino Linotype"/>
          <w:color w:val="000000" w:themeColor="text1"/>
        </w:rPr>
        <w:t xml:space="preserve">The CEC Gas RD&amp;D program requirements span over two decades of statute, the Gas RD&amp;D funding guidance in D.04-08-010, and 21 Commission </w:t>
      </w:r>
      <w:r w:rsidRPr="00391600" w:rsidR="0056763F">
        <w:rPr>
          <w:rFonts w:ascii="Palatino Linotype" w:hAnsi="Palatino Linotype"/>
          <w:color w:val="000000" w:themeColor="text1"/>
        </w:rPr>
        <w:t>r</w:t>
      </w:r>
      <w:r w:rsidRPr="00391600">
        <w:rPr>
          <w:rFonts w:ascii="Palatino Linotype" w:hAnsi="Palatino Linotype"/>
          <w:color w:val="000000" w:themeColor="text1"/>
        </w:rPr>
        <w:t>esolutions approving the CEC’s Gas RD&amp;D Plans beginning in 2004.</w:t>
      </w:r>
      <w:r w:rsidRPr="00391600">
        <w:rPr>
          <w:rFonts w:ascii="Palatino Linotype" w:hAnsi="Palatino Linotype" w:eastAsia="Palatino Linotype" w:cs="Times New Roman"/>
          <w:color w:val="000000" w:themeColor="text1"/>
          <w:kern w:val="0"/>
          <w14:ligatures w14:val="none"/>
        </w:rPr>
        <w:t xml:space="preserve">  To review these Advice Letters, Energy </w:t>
      </w:r>
      <w:r w:rsidRPr="00391600">
        <w:rPr>
          <w:rFonts w:ascii="Palatino Linotype" w:hAnsi="Palatino Linotype" w:eastAsia="Palatino Linotype" w:cs="Times New Roman"/>
          <w:color w:val="000000" w:themeColor="text1"/>
          <w:kern w:val="0"/>
          <w14:ligatures w14:val="none"/>
        </w:rPr>
        <w:lastRenderedPageBreak/>
        <w:t xml:space="preserve">Division staff first prepared a list of </w:t>
      </w:r>
      <w:r w:rsidRPr="00391600">
        <w:rPr>
          <w:rFonts w:ascii="Palatino Linotype" w:hAnsi="Palatino Linotype"/>
          <w:color w:val="000000" w:themeColor="text1"/>
        </w:rPr>
        <w:t xml:space="preserve">all Key CPUC Gas RD&amp;D Resolution Requirements, see Appendix </w:t>
      </w:r>
      <w:r w:rsidRPr="00391600" w:rsidR="00587988">
        <w:rPr>
          <w:rFonts w:ascii="Palatino Linotype" w:hAnsi="Palatino Linotype"/>
          <w:color w:val="000000" w:themeColor="text1"/>
        </w:rPr>
        <w:t>A</w:t>
      </w:r>
      <w:r w:rsidRPr="00391600">
        <w:rPr>
          <w:rFonts w:ascii="Palatino Linotype" w:hAnsi="Palatino Linotype"/>
          <w:color w:val="000000" w:themeColor="text1"/>
        </w:rPr>
        <w:t xml:space="preserve">. </w:t>
      </w:r>
    </w:p>
    <w:p w:rsidRPr="00391600" w:rsidR="006636EF" w:rsidP="00F36030" w:rsidRDefault="006636EF" w14:paraId="17C087B8" w14:textId="77777777">
      <w:pPr>
        <w:spacing w:after="60" w:line="276" w:lineRule="auto"/>
        <w:rPr>
          <w:rFonts w:ascii="Palatino Linotype" w:hAnsi="Palatino Linotype" w:eastAsia="Palatino Linotype" w:cs="Times New Roman"/>
          <w:color w:val="000000" w:themeColor="text1"/>
          <w:kern w:val="0"/>
          <w14:ligatures w14:val="none"/>
        </w:rPr>
      </w:pPr>
    </w:p>
    <w:p w:rsidRPr="00391600" w:rsidR="00D426A3" w:rsidP="00816348" w:rsidRDefault="00D426A3" w14:paraId="055BC3B2" w14:textId="2D2CC637">
      <w:pPr>
        <w:pStyle w:val="10sp0"/>
        <w:spacing w:line="276" w:lineRule="auto"/>
        <w:rPr>
          <w:rFonts w:ascii="Palatino Linotype" w:hAnsi="Palatino Linotype"/>
          <w:b/>
          <w:color w:val="000000" w:themeColor="text1"/>
        </w:rPr>
      </w:pPr>
      <w:r w:rsidRPr="00391600">
        <w:rPr>
          <w:rFonts w:ascii="Palatino Linotype" w:hAnsi="Palatino Linotype"/>
          <w:b/>
          <w:color w:val="000000" w:themeColor="text1"/>
        </w:rPr>
        <w:t>Assessment of 2024 Plan</w:t>
      </w:r>
    </w:p>
    <w:p w:rsidRPr="00391600" w:rsidR="00D426A3" w:rsidP="003147DD" w:rsidRDefault="00BB4C4A" w14:paraId="7F925693" w14:textId="0872898A">
      <w:pPr>
        <w:pStyle w:val="10sp0"/>
        <w:spacing w:after="0" w:line="276" w:lineRule="auto"/>
        <w:rPr>
          <w:rFonts w:ascii="Palatino Linotype" w:hAnsi="Palatino Linotype"/>
          <w:color w:val="000000" w:themeColor="text1"/>
        </w:rPr>
      </w:pPr>
      <w:r w:rsidRPr="00391600">
        <w:rPr>
          <w:rFonts w:ascii="Palatino Linotype" w:hAnsi="Palatino Linotype" w:eastAsia="Palatino Linotype"/>
          <w:color w:val="000000" w:themeColor="text1"/>
        </w:rPr>
        <w:t>Energy Division s</w:t>
      </w:r>
      <w:r w:rsidRPr="00391600" w:rsidR="006E4CE1">
        <w:rPr>
          <w:rFonts w:ascii="Palatino Linotype" w:hAnsi="Palatino Linotype"/>
          <w:color w:val="000000" w:themeColor="text1"/>
        </w:rPr>
        <w:t>taff</w:t>
      </w:r>
      <w:r w:rsidRPr="00391600" w:rsidR="009D009D">
        <w:rPr>
          <w:rFonts w:ascii="Palatino Linotype" w:hAnsi="Palatino Linotype"/>
          <w:color w:val="000000" w:themeColor="text1"/>
        </w:rPr>
        <w:t xml:space="preserve"> </w:t>
      </w:r>
      <w:proofErr w:type="gramStart"/>
      <w:r w:rsidRPr="00391600" w:rsidR="009D009D">
        <w:rPr>
          <w:rFonts w:ascii="Palatino Linotype" w:hAnsi="Palatino Linotype"/>
          <w:color w:val="000000" w:themeColor="text1"/>
        </w:rPr>
        <w:t>conducted a</w:t>
      </w:r>
      <w:r w:rsidRPr="00391600" w:rsidR="00B1443D">
        <w:rPr>
          <w:rFonts w:ascii="Palatino Linotype" w:hAnsi="Palatino Linotype"/>
          <w:color w:val="000000" w:themeColor="text1"/>
        </w:rPr>
        <w:t xml:space="preserve">n </w:t>
      </w:r>
      <w:r w:rsidRPr="00391600" w:rsidR="009D009D">
        <w:rPr>
          <w:rFonts w:ascii="Palatino Linotype" w:hAnsi="Palatino Linotype"/>
          <w:color w:val="000000" w:themeColor="text1"/>
        </w:rPr>
        <w:t>assessment of</w:t>
      </w:r>
      <w:proofErr w:type="gramEnd"/>
      <w:r w:rsidRPr="00391600" w:rsidR="009D009D">
        <w:rPr>
          <w:rFonts w:ascii="Palatino Linotype" w:hAnsi="Palatino Linotype"/>
          <w:color w:val="000000" w:themeColor="text1"/>
        </w:rPr>
        <w:t xml:space="preserve"> CEC’s AL 12-G </w:t>
      </w:r>
      <w:proofErr w:type="gramStart"/>
      <w:r w:rsidRPr="00391600" w:rsidR="009D009D">
        <w:rPr>
          <w:rFonts w:ascii="Palatino Linotype" w:hAnsi="Palatino Linotype"/>
          <w:color w:val="000000" w:themeColor="text1"/>
        </w:rPr>
        <w:t>proposing</w:t>
      </w:r>
      <w:proofErr w:type="gramEnd"/>
      <w:r w:rsidRPr="00391600" w:rsidR="009D009D">
        <w:rPr>
          <w:rFonts w:ascii="Palatino Linotype" w:hAnsi="Palatino Linotype"/>
          <w:color w:val="000000" w:themeColor="text1"/>
        </w:rPr>
        <w:t xml:space="preserve"> its 2024 Gas RD&amp;D Inves</w:t>
      </w:r>
      <w:r w:rsidRPr="00391600" w:rsidR="004C4309">
        <w:rPr>
          <w:rFonts w:ascii="Palatino Linotype" w:hAnsi="Palatino Linotype"/>
          <w:color w:val="000000" w:themeColor="text1"/>
        </w:rPr>
        <w:t>tment Plan.</w:t>
      </w:r>
      <w:r w:rsidRPr="00391600" w:rsidR="00E456E0">
        <w:rPr>
          <w:rStyle w:val="FootnoteReference"/>
          <w:rFonts w:ascii="Palatino Linotype" w:hAnsi="Palatino Linotype"/>
          <w:color w:val="000000" w:themeColor="text1"/>
        </w:rPr>
        <w:footnoteReference w:id="60"/>
      </w:r>
      <w:r w:rsidRPr="00391600" w:rsidR="004C4309">
        <w:rPr>
          <w:rFonts w:ascii="Palatino Linotype" w:hAnsi="Palatino Linotype"/>
          <w:color w:val="000000" w:themeColor="text1"/>
        </w:rPr>
        <w:t xml:space="preserve"> Staff assessed CEC’s 2024 Plan based on consistency with requirements </w:t>
      </w:r>
      <w:r w:rsidRPr="00391600" w:rsidR="00230063">
        <w:rPr>
          <w:rFonts w:ascii="Palatino Linotype" w:hAnsi="Palatino Linotype"/>
          <w:color w:val="000000" w:themeColor="text1"/>
        </w:rPr>
        <w:t xml:space="preserve">and </w:t>
      </w:r>
      <w:r w:rsidRPr="00391600" w:rsidR="00C60FE5">
        <w:rPr>
          <w:rFonts w:ascii="Palatino Linotype" w:hAnsi="Palatino Linotype"/>
          <w:color w:val="000000" w:themeColor="text1"/>
        </w:rPr>
        <w:t xml:space="preserve">previous </w:t>
      </w:r>
      <w:r w:rsidRPr="00391600" w:rsidR="00230063">
        <w:rPr>
          <w:rFonts w:ascii="Palatino Linotype" w:hAnsi="Palatino Linotype"/>
          <w:color w:val="000000" w:themeColor="text1"/>
        </w:rPr>
        <w:t>Commission guidance</w:t>
      </w:r>
      <w:r w:rsidRPr="00391600" w:rsidR="003C619D">
        <w:rPr>
          <w:rFonts w:ascii="Palatino Linotype" w:hAnsi="Palatino Linotype"/>
          <w:color w:val="000000" w:themeColor="text1"/>
        </w:rPr>
        <w:t>.</w:t>
      </w:r>
      <w:r w:rsidRPr="00391600" w:rsidR="004C4309">
        <w:rPr>
          <w:rFonts w:ascii="Palatino Linotype" w:hAnsi="Palatino Linotype"/>
          <w:color w:val="000000" w:themeColor="text1"/>
        </w:rPr>
        <w:t xml:space="preserve"> </w:t>
      </w:r>
      <w:r w:rsidRPr="00391600" w:rsidR="00C60FE5">
        <w:rPr>
          <w:rFonts w:ascii="Palatino Linotype" w:hAnsi="Palatino Linotype"/>
          <w:color w:val="000000" w:themeColor="text1"/>
        </w:rPr>
        <w:t>T</w:t>
      </w:r>
      <w:r w:rsidRPr="00391600" w:rsidR="004C4309">
        <w:rPr>
          <w:rFonts w:ascii="Palatino Linotype" w:hAnsi="Palatino Linotype"/>
          <w:color w:val="000000" w:themeColor="text1"/>
        </w:rPr>
        <w:t xml:space="preserve">he Commission finds that </w:t>
      </w:r>
      <w:r w:rsidRPr="00391600" w:rsidR="008760A8">
        <w:rPr>
          <w:rFonts w:ascii="Palatino Linotype" w:hAnsi="Palatino Linotype"/>
          <w:color w:val="000000" w:themeColor="text1"/>
        </w:rPr>
        <w:t>in some areas</w:t>
      </w:r>
      <w:r w:rsidRPr="00391600" w:rsidR="005068D5">
        <w:rPr>
          <w:rFonts w:ascii="Palatino Linotype" w:hAnsi="Palatino Linotype"/>
          <w:color w:val="000000" w:themeColor="text1"/>
        </w:rPr>
        <w:t>,</w:t>
      </w:r>
      <w:r w:rsidRPr="00391600" w:rsidR="008760A8">
        <w:rPr>
          <w:rFonts w:ascii="Palatino Linotype" w:hAnsi="Palatino Linotype"/>
          <w:color w:val="000000" w:themeColor="text1"/>
        </w:rPr>
        <w:t xml:space="preserve"> </w:t>
      </w:r>
      <w:r w:rsidRPr="00391600" w:rsidR="004C4309">
        <w:rPr>
          <w:rFonts w:ascii="Palatino Linotype" w:hAnsi="Palatino Linotype"/>
          <w:color w:val="000000" w:themeColor="text1"/>
        </w:rPr>
        <w:t>CEC</w:t>
      </w:r>
      <w:r w:rsidRPr="00391600" w:rsidR="00F4141D">
        <w:rPr>
          <w:rFonts w:ascii="Palatino Linotype" w:hAnsi="Palatino Linotype"/>
          <w:color w:val="000000" w:themeColor="text1"/>
        </w:rPr>
        <w:t>’s AL 12-G</w:t>
      </w:r>
      <w:r w:rsidRPr="00391600" w:rsidR="004C4309">
        <w:rPr>
          <w:rFonts w:ascii="Palatino Linotype" w:hAnsi="Palatino Linotype"/>
          <w:color w:val="000000" w:themeColor="text1"/>
        </w:rPr>
        <w:t xml:space="preserve"> </w:t>
      </w:r>
      <w:r w:rsidRPr="00391600" w:rsidR="00816348">
        <w:rPr>
          <w:rFonts w:ascii="Palatino Linotype" w:hAnsi="Palatino Linotype"/>
          <w:color w:val="000000" w:themeColor="text1"/>
        </w:rPr>
        <w:t xml:space="preserve">is </w:t>
      </w:r>
      <w:r w:rsidRPr="00391600" w:rsidR="008D344A">
        <w:rPr>
          <w:rFonts w:ascii="Palatino Linotype" w:hAnsi="Palatino Linotype"/>
          <w:color w:val="000000" w:themeColor="text1"/>
        </w:rPr>
        <w:t xml:space="preserve">not </w:t>
      </w:r>
      <w:r w:rsidRPr="00391600" w:rsidR="0098453A">
        <w:rPr>
          <w:rFonts w:ascii="Palatino Linotype" w:hAnsi="Palatino Linotype"/>
          <w:color w:val="000000" w:themeColor="text1"/>
        </w:rPr>
        <w:t xml:space="preserve">fully </w:t>
      </w:r>
      <w:r w:rsidRPr="00391600" w:rsidR="008D344A">
        <w:rPr>
          <w:rFonts w:ascii="Palatino Linotype" w:hAnsi="Palatino Linotype"/>
          <w:color w:val="000000" w:themeColor="text1"/>
        </w:rPr>
        <w:t xml:space="preserve">compliant with </w:t>
      </w:r>
      <w:r w:rsidRPr="00391600" w:rsidR="008760A8">
        <w:rPr>
          <w:rFonts w:ascii="Palatino Linotype" w:hAnsi="Palatino Linotype"/>
          <w:color w:val="000000" w:themeColor="text1"/>
        </w:rPr>
        <w:t xml:space="preserve">the </w:t>
      </w:r>
      <w:r w:rsidRPr="00391600" w:rsidR="00F4141D">
        <w:rPr>
          <w:rFonts w:ascii="Palatino Linotype" w:hAnsi="Palatino Linotype"/>
          <w:color w:val="000000" w:themeColor="text1"/>
        </w:rPr>
        <w:t>Commission</w:t>
      </w:r>
      <w:r w:rsidRPr="00391600" w:rsidR="008760A8">
        <w:rPr>
          <w:rFonts w:ascii="Palatino Linotype" w:hAnsi="Palatino Linotype"/>
          <w:color w:val="000000" w:themeColor="text1"/>
        </w:rPr>
        <w:t>’s previously adopted</w:t>
      </w:r>
      <w:r w:rsidRPr="00391600" w:rsidR="005F45D0">
        <w:rPr>
          <w:rFonts w:ascii="Palatino Linotype" w:hAnsi="Palatino Linotype"/>
          <w:color w:val="000000" w:themeColor="text1"/>
        </w:rPr>
        <w:t xml:space="preserve"> requirements </w:t>
      </w:r>
      <w:r w:rsidRPr="00391600" w:rsidR="007E6ED9">
        <w:rPr>
          <w:rFonts w:ascii="Palatino Linotype" w:hAnsi="Palatino Linotype"/>
          <w:color w:val="000000" w:themeColor="text1"/>
        </w:rPr>
        <w:t>as described below</w:t>
      </w:r>
      <w:r w:rsidRPr="00391600" w:rsidR="00BD760B">
        <w:rPr>
          <w:rFonts w:ascii="Palatino Linotype" w:hAnsi="Palatino Linotype"/>
          <w:color w:val="000000" w:themeColor="text1"/>
        </w:rPr>
        <w:t xml:space="preserve">. </w:t>
      </w:r>
      <w:r w:rsidRPr="00391600" w:rsidR="0037224F">
        <w:rPr>
          <w:rFonts w:ascii="Palatino Linotype" w:hAnsi="Palatino Linotype"/>
          <w:color w:val="000000" w:themeColor="text1"/>
        </w:rPr>
        <w:t xml:space="preserve">See </w:t>
      </w:r>
      <w:r w:rsidRPr="00391600" w:rsidR="007E6ED9">
        <w:rPr>
          <w:rFonts w:ascii="Palatino Linotype" w:hAnsi="Palatino Linotype"/>
          <w:color w:val="000000" w:themeColor="text1"/>
        </w:rPr>
        <w:t xml:space="preserve">also </w:t>
      </w:r>
      <w:r w:rsidRPr="00391600" w:rsidR="0037224F">
        <w:rPr>
          <w:rFonts w:ascii="Palatino Linotype" w:hAnsi="Palatino Linotype"/>
          <w:color w:val="000000" w:themeColor="text1"/>
        </w:rPr>
        <w:t>Appendix</w:t>
      </w:r>
      <w:r w:rsidRPr="00391600" w:rsidR="00A30E95">
        <w:rPr>
          <w:rFonts w:ascii="Palatino Linotype" w:hAnsi="Palatino Linotype"/>
          <w:color w:val="000000" w:themeColor="text1"/>
        </w:rPr>
        <w:t xml:space="preserve"> </w:t>
      </w:r>
      <w:r w:rsidRPr="00391600" w:rsidR="00587988">
        <w:rPr>
          <w:rFonts w:ascii="Palatino Linotype" w:hAnsi="Palatino Linotype"/>
          <w:color w:val="000000" w:themeColor="text1"/>
        </w:rPr>
        <w:t>G</w:t>
      </w:r>
      <w:r w:rsidRPr="00391600" w:rsidR="00A30E95">
        <w:rPr>
          <w:rFonts w:ascii="Palatino Linotype" w:hAnsi="Palatino Linotype"/>
          <w:color w:val="000000" w:themeColor="text1"/>
        </w:rPr>
        <w:t xml:space="preserve"> </w:t>
      </w:r>
      <w:r w:rsidRPr="00391600" w:rsidR="0037224F">
        <w:rPr>
          <w:rFonts w:ascii="Palatino Linotype" w:hAnsi="Palatino Linotype"/>
          <w:color w:val="000000" w:themeColor="text1"/>
        </w:rPr>
        <w:t xml:space="preserve">for </w:t>
      </w:r>
      <w:r w:rsidRPr="00391600" w:rsidR="007E6ED9">
        <w:rPr>
          <w:rFonts w:ascii="Palatino Linotype" w:hAnsi="Palatino Linotype"/>
          <w:color w:val="000000" w:themeColor="text1"/>
        </w:rPr>
        <w:t xml:space="preserve">additional </w:t>
      </w:r>
      <w:r w:rsidRPr="00391600" w:rsidR="0037224F">
        <w:rPr>
          <w:rFonts w:ascii="Palatino Linotype" w:hAnsi="Palatino Linotype"/>
          <w:color w:val="000000" w:themeColor="text1"/>
        </w:rPr>
        <w:t>details:</w:t>
      </w:r>
    </w:p>
    <w:p w:rsidRPr="00391600" w:rsidR="005D6D83" w:rsidP="003B475F" w:rsidRDefault="00875736" w14:paraId="6389D7DC" w14:textId="09FBC8C4">
      <w:pPr>
        <w:pStyle w:val="10sp0"/>
        <w:numPr>
          <w:ilvl w:val="0"/>
          <w:numId w:val="10"/>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The </w:t>
      </w:r>
      <w:r w:rsidRPr="00391600" w:rsidR="005D6D83">
        <w:rPr>
          <w:rFonts w:ascii="Palatino Linotype" w:hAnsi="Palatino Linotype"/>
          <w:color w:val="000000" w:themeColor="text1"/>
        </w:rPr>
        <w:t xml:space="preserve">CEC does not disclose the following nor </w:t>
      </w:r>
      <w:r w:rsidRPr="00391600" w:rsidR="00E92CCB">
        <w:rPr>
          <w:rFonts w:ascii="Palatino Linotype" w:hAnsi="Palatino Linotype"/>
          <w:color w:val="000000" w:themeColor="text1"/>
        </w:rPr>
        <w:t xml:space="preserve">demonstrate </w:t>
      </w:r>
      <w:r w:rsidRPr="00391600" w:rsidR="005D6D83">
        <w:rPr>
          <w:rFonts w:ascii="Palatino Linotype" w:hAnsi="Palatino Linotype"/>
          <w:color w:val="000000" w:themeColor="text1"/>
        </w:rPr>
        <w:t xml:space="preserve">that </w:t>
      </w:r>
      <w:r w:rsidRPr="00391600" w:rsidR="000255C0">
        <w:rPr>
          <w:rFonts w:ascii="Palatino Linotype" w:hAnsi="Palatino Linotype"/>
          <w:color w:val="000000" w:themeColor="text1"/>
        </w:rPr>
        <w:t>it</w:t>
      </w:r>
      <w:r w:rsidRPr="00391600" w:rsidR="00AE41A0">
        <w:rPr>
          <w:rFonts w:ascii="Palatino Linotype" w:hAnsi="Palatino Linotype"/>
          <w:color w:val="000000" w:themeColor="text1"/>
        </w:rPr>
        <w:t xml:space="preserve">: </w:t>
      </w:r>
    </w:p>
    <w:p w:rsidRPr="00391600" w:rsidR="00765572" w:rsidP="00765572" w:rsidRDefault="00CF738F" w14:paraId="5DB01EBF" w14:textId="27493D8F">
      <w:pPr>
        <w:pStyle w:val="10sp0"/>
        <w:numPr>
          <w:ilvl w:val="1"/>
          <w:numId w:val="10"/>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First utilized </w:t>
      </w:r>
      <w:r w:rsidRPr="00391600" w:rsidR="00765572">
        <w:rPr>
          <w:rFonts w:ascii="Palatino Linotype" w:hAnsi="Palatino Linotype"/>
          <w:color w:val="000000" w:themeColor="text1"/>
        </w:rPr>
        <w:t>unspent fund balances</w:t>
      </w:r>
      <w:r w:rsidRPr="00391600" w:rsidR="0167C064">
        <w:rPr>
          <w:rFonts w:ascii="Palatino Linotype" w:hAnsi="Palatino Linotype"/>
          <w:color w:val="000000" w:themeColor="text1"/>
        </w:rPr>
        <w:t>, although the CPUC’s requirement to do so</w:t>
      </w:r>
      <w:r w:rsidRPr="00391600" w:rsidR="6E2FB6C5">
        <w:rPr>
          <w:rFonts w:ascii="Palatino Linotype" w:hAnsi="Palatino Linotype"/>
          <w:color w:val="000000" w:themeColor="text1"/>
        </w:rPr>
        <w:t xml:space="preserve"> was stated in both 2021 and 202</w:t>
      </w:r>
      <w:r w:rsidRPr="00391600" w:rsidR="0012311B">
        <w:rPr>
          <w:rFonts w:ascii="Palatino Linotype" w:hAnsi="Palatino Linotype"/>
          <w:color w:val="000000" w:themeColor="text1"/>
        </w:rPr>
        <w:t>3</w:t>
      </w:r>
      <w:r w:rsidRPr="00391600" w:rsidR="6E2FB6C5">
        <w:rPr>
          <w:rFonts w:ascii="Palatino Linotype" w:hAnsi="Palatino Linotype"/>
          <w:color w:val="000000" w:themeColor="text1"/>
        </w:rPr>
        <w:t xml:space="preserve"> CPUC Resolutions and the requirement</w:t>
      </w:r>
      <w:r w:rsidRPr="00391600" w:rsidR="0167C064">
        <w:rPr>
          <w:rFonts w:ascii="Palatino Linotype" w:hAnsi="Palatino Linotype"/>
          <w:color w:val="000000" w:themeColor="text1"/>
        </w:rPr>
        <w:t xml:space="preserve"> is acknowledged in CEC AL 12-G</w:t>
      </w:r>
      <w:r w:rsidRPr="00391600" w:rsidR="00D6019D">
        <w:rPr>
          <w:rFonts w:ascii="Palatino Linotype" w:hAnsi="Palatino Linotype"/>
          <w:color w:val="000000" w:themeColor="text1"/>
        </w:rPr>
        <w:t>,</w:t>
      </w:r>
      <w:r w:rsidRPr="00391600">
        <w:rPr>
          <w:rStyle w:val="FootnoteReference"/>
          <w:rFonts w:ascii="Palatino Linotype" w:hAnsi="Palatino Linotype"/>
          <w:color w:val="000000" w:themeColor="text1"/>
        </w:rPr>
        <w:footnoteReference w:id="61"/>
      </w:r>
      <w:r w:rsidRPr="00391600" w:rsidR="00765572">
        <w:rPr>
          <w:rFonts w:ascii="Palatino Linotype" w:hAnsi="Palatino Linotype"/>
          <w:color w:val="000000" w:themeColor="text1"/>
        </w:rPr>
        <w:t xml:space="preserve"> </w:t>
      </w:r>
      <w:r w:rsidRPr="00391600" w:rsidR="00D6019D">
        <w:rPr>
          <w:rFonts w:ascii="Palatino Linotype" w:hAnsi="Palatino Linotype"/>
          <w:color w:val="000000" w:themeColor="text1"/>
        </w:rPr>
        <w:t>and</w:t>
      </w:r>
    </w:p>
    <w:p w:rsidRPr="00391600" w:rsidR="00F14E33" w:rsidP="003B475F" w:rsidRDefault="005032A8" w14:paraId="613191E6" w14:textId="7634FAC8">
      <w:pPr>
        <w:pStyle w:val="10sp0"/>
        <w:numPr>
          <w:ilvl w:val="1"/>
          <w:numId w:val="10"/>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Addressed </w:t>
      </w:r>
      <w:r w:rsidRPr="00391600" w:rsidR="00153309">
        <w:rPr>
          <w:rFonts w:ascii="Palatino Linotype" w:hAnsi="Palatino Linotype"/>
          <w:color w:val="000000" w:themeColor="text1"/>
        </w:rPr>
        <w:t>whether any c</w:t>
      </w:r>
      <w:r w:rsidRPr="00391600" w:rsidR="00E92CCB">
        <w:rPr>
          <w:rFonts w:ascii="Palatino Linotype" w:hAnsi="Palatino Linotype"/>
          <w:color w:val="000000" w:themeColor="text1"/>
        </w:rPr>
        <w:t xml:space="preserve">ommercial benefits have </w:t>
      </w:r>
      <w:r w:rsidRPr="00391600" w:rsidR="10A937C8">
        <w:rPr>
          <w:rFonts w:ascii="Palatino Linotype" w:hAnsi="Palatino Linotype"/>
          <w:color w:val="000000" w:themeColor="text1"/>
        </w:rPr>
        <w:t xml:space="preserve">been identified that </w:t>
      </w:r>
      <w:r w:rsidRPr="00391600" w:rsidR="00E92CCB">
        <w:rPr>
          <w:rFonts w:ascii="Palatino Linotype" w:hAnsi="Palatino Linotype"/>
          <w:color w:val="000000" w:themeColor="text1"/>
        </w:rPr>
        <w:t xml:space="preserve">resulted from </w:t>
      </w:r>
      <w:r w:rsidRPr="00391600" w:rsidR="008C503B">
        <w:rPr>
          <w:rFonts w:ascii="Palatino Linotype" w:hAnsi="Palatino Linotype"/>
          <w:color w:val="000000" w:themeColor="text1"/>
        </w:rPr>
        <w:t xml:space="preserve">previous </w:t>
      </w:r>
      <w:r w:rsidRPr="00391600" w:rsidR="00E92CCB">
        <w:rPr>
          <w:rFonts w:ascii="Palatino Linotype" w:hAnsi="Palatino Linotype"/>
          <w:color w:val="000000" w:themeColor="text1"/>
        </w:rPr>
        <w:t>Gas RD&amp;D investment</w:t>
      </w:r>
      <w:r w:rsidRPr="00391600" w:rsidR="004029A7">
        <w:rPr>
          <w:rFonts w:ascii="Palatino Linotype" w:hAnsi="Palatino Linotype"/>
          <w:color w:val="000000" w:themeColor="text1"/>
        </w:rPr>
        <w:t>s</w:t>
      </w:r>
      <w:r w:rsidRPr="00391600" w:rsidR="00E92CCB">
        <w:rPr>
          <w:rFonts w:ascii="Palatino Linotype" w:hAnsi="Palatino Linotype"/>
          <w:color w:val="000000" w:themeColor="text1"/>
        </w:rPr>
        <w:t xml:space="preserve"> or otherwise state that none have accrued</w:t>
      </w:r>
      <w:r w:rsidRPr="00391600" w:rsidR="58FEAB2B">
        <w:rPr>
          <w:rFonts w:ascii="Palatino Linotype" w:hAnsi="Palatino Linotype"/>
          <w:color w:val="000000" w:themeColor="text1"/>
        </w:rPr>
        <w:t xml:space="preserve"> as required in the CPUC’s 2004 </w:t>
      </w:r>
      <w:r w:rsidRPr="00391600" w:rsidR="00C45FA7">
        <w:rPr>
          <w:rFonts w:ascii="Palatino Linotype" w:hAnsi="Palatino Linotype"/>
          <w:color w:val="000000" w:themeColor="text1"/>
        </w:rPr>
        <w:t>D</w:t>
      </w:r>
      <w:r w:rsidRPr="00391600" w:rsidR="58FEAB2B">
        <w:rPr>
          <w:rFonts w:ascii="Palatino Linotype" w:hAnsi="Palatino Linotype"/>
          <w:color w:val="000000" w:themeColor="text1"/>
        </w:rPr>
        <w:t xml:space="preserve">ecision establishing the CEC as the </w:t>
      </w:r>
      <w:r w:rsidRPr="00391600" w:rsidR="00C45FA7">
        <w:rPr>
          <w:rFonts w:ascii="Palatino Linotype" w:hAnsi="Palatino Linotype"/>
          <w:color w:val="000000" w:themeColor="text1"/>
        </w:rPr>
        <w:t>G</w:t>
      </w:r>
      <w:r w:rsidRPr="00391600" w:rsidR="58FEAB2B">
        <w:rPr>
          <w:rFonts w:ascii="Palatino Linotype" w:hAnsi="Palatino Linotype"/>
          <w:color w:val="000000" w:themeColor="text1"/>
        </w:rPr>
        <w:t>as RD&amp;D program administrator</w:t>
      </w:r>
      <w:r w:rsidRPr="00391600" w:rsidR="00E92CCB">
        <w:rPr>
          <w:rFonts w:ascii="Palatino Linotype" w:hAnsi="Palatino Linotype"/>
          <w:color w:val="000000" w:themeColor="text1"/>
        </w:rPr>
        <w:t>.</w:t>
      </w:r>
      <w:r w:rsidRPr="00391600" w:rsidR="00C92625">
        <w:rPr>
          <w:rStyle w:val="FootnoteReference"/>
          <w:rFonts w:ascii="Palatino Linotype" w:hAnsi="Palatino Linotype"/>
          <w:color w:val="000000" w:themeColor="text1"/>
        </w:rPr>
        <w:footnoteReference w:id="62"/>
      </w:r>
      <w:r w:rsidRPr="00391600" w:rsidR="00E92CCB">
        <w:rPr>
          <w:rFonts w:ascii="Palatino Linotype" w:hAnsi="Palatino Linotype"/>
          <w:color w:val="000000" w:themeColor="text1"/>
        </w:rPr>
        <w:t xml:space="preserve"> </w:t>
      </w:r>
    </w:p>
    <w:p w:rsidRPr="00391600" w:rsidR="001255CB" w:rsidP="003B475F" w:rsidRDefault="00875736" w14:paraId="1ACA8B00" w14:textId="5115729F">
      <w:pPr>
        <w:pStyle w:val="10sp0"/>
        <w:numPr>
          <w:ilvl w:val="0"/>
          <w:numId w:val="10"/>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The </w:t>
      </w:r>
      <w:r w:rsidRPr="00391600" w:rsidR="00CD59EE">
        <w:rPr>
          <w:rFonts w:ascii="Palatino Linotype" w:hAnsi="Palatino Linotype"/>
          <w:color w:val="000000" w:themeColor="text1"/>
        </w:rPr>
        <w:t>C</w:t>
      </w:r>
      <w:r w:rsidRPr="00391600" w:rsidR="00000B1E">
        <w:rPr>
          <w:rFonts w:ascii="Palatino Linotype" w:hAnsi="Palatino Linotype"/>
          <w:color w:val="000000" w:themeColor="text1"/>
        </w:rPr>
        <w:t xml:space="preserve">EC </w:t>
      </w:r>
      <w:r w:rsidRPr="00391600" w:rsidR="004F0514">
        <w:rPr>
          <w:rFonts w:ascii="Palatino Linotype" w:hAnsi="Palatino Linotype"/>
          <w:color w:val="000000" w:themeColor="text1"/>
        </w:rPr>
        <w:t>does not provide</w:t>
      </w:r>
      <w:r w:rsidRPr="00391600" w:rsidR="00000B1E">
        <w:rPr>
          <w:rFonts w:ascii="Palatino Linotype" w:hAnsi="Palatino Linotype"/>
          <w:color w:val="000000" w:themeColor="text1"/>
        </w:rPr>
        <w:t xml:space="preserve"> </w:t>
      </w:r>
      <w:r w:rsidRPr="00391600" w:rsidR="003221CF">
        <w:rPr>
          <w:rFonts w:ascii="Palatino Linotype" w:hAnsi="Palatino Linotype"/>
          <w:color w:val="000000" w:themeColor="text1"/>
        </w:rPr>
        <w:t xml:space="preserve">sufficient </w:t>
      </w:r>
      <w:r w:rsidRPr="00391600" w:rsidR="00000B1E">
        <w:rPr>
          <w:rFonts w:ascii="Palatino Linotype" w:hAnsi="Palatino Linotype"/>
          <w:color w:val="000000" w:themeColor="text1"/>
        </w:rPr>
        <w:t xml:space="preserve">detail to demonstrate that </w:t>
      </w:r>
      <w:r w:rsidRPr="00391600" w:rsidR="004D7552">
        <w:rPr>
          <w:rFonts w:ascii="Palatino Linotype" w:hAnsi="Palatino Linotype"/>
          <w:color w:val="000000" w:themeColor="text1"/>
        </w:rPr>
        <w:t xml:space="preserve">each proposed </w:t>
      </w:r>
      <w:r w:rsidRPr="00391600" w:rsidR="00222EF3">
        <w:rPr>
          <w:rFonts w:ascii="Palatino Linotype" w:hAnsi="Palatino Linotype"/>
          <w:color w:val="000000" w:themeColor="text1"/>
        </w:rPr>
        <w:t>Initiative</w:t>
      </w:r>
      <w:r w:rsidRPr="00391600" w:rsidR="004D7552">
        <w:rPr>
          <w:rFonts w:ascii="Palatino Linotype" w:hAnsi="Palatino Linotype"/>
          <w:color w:val="000000" w:themeColor="text1"/>
        </w:rPr>
        <w:t xml:space="preserve"> is </w:t>
      </w:r>
      <w:r w:rsidRPr="00391600" w:rsidR="008D0189">
        <w:rPr>
          <w:rFonts w:ascii="Palatino Linotype" w:hAnsi="Palatino Linotype"/>
          <w:color w:val="000000" w:themeColor="text1"/>
        </w:rPr>
        <w:t>coordinated with the IOUs and other Gas RD&amp;D entities,</w:t>
      </w:r>
      <w:r w:rsidRPr="00391600" w:rsidR="007D0439">
        <w:rPr>
          <w:rStyle w:val="FootnoteReference"/>
          <w:rFonts w:ascii="Palatino Linotype" w:hAnsi="Palatino Linotype"/>
          <w:color w:val="000000" w:themeColor="text1"/>
        </w:rPr>
        <w:footnoteReference w:id="63"/>
      </w:r>
      <w:r w:rsidRPr="00391600" w:rsidR="008D0189">
        <w:rPr>
          <w:rFonts w:ascii="Palatino Linotype" w:hAnsi="Palatino Linotype"/>
          <w:color w:val="000000" w:themeColor="text1"/>
        </w:rPr>
        <w:t xml:space="preserve"> including how </w:t>
      </w:r>
      <w:r w:rsidRPr="00391600" w:rsidR="00000B1E">
        <w:rPr>
          <w:rFonts w:ascii="Palatino Linotype" w:hAnsi="Palatino Linotype"/>
          <w:color w:val="000000" w:themeColor="text1"/>
        </w:rPr>
        <w:t xml:space="preserve">outputs and impacts </w:t>
      </w:r>
      <w:r w:rsidRPr="00391600" w:rsidR="008D0189">
        <w:rPr>
          <w:rFonts w:ascii="Palatino Linotype" w:hAnsi="Palatino Linotype"/>
          <w:color w:val="000000" w:themeColor="text1"/>
        </w:rPr>
        <w:t>are</w:t>
      </w:r>
      <w:r w:rsidRPr="00391600" w:rsidR="00000B1E">
        <w:rPr>
          <w:rFonts w:ascii="Palatino Linotype" w:hAnsi="Palatino Linotype"/>
          <w:color w:val="000000" w:themeColor="text1"/>
        </w:rPr>
        <w:t xml:space="preserve"> targeted </w:t>
      </w:r>
      <w:r w:rsidRPr="00391600" w:rsidDel="00A406F2" w:rsidR="00000B1E">
        <w:rPr>
          <w:rFonts w:ascii="Palatino Linotype" w:hAnsi="Palatino Linotype"/>
          <w:color w:val="000000" w:themeColor="text1"/>
        </w:rPr>
        <w:t xml:space="preserve">and utilized </w:t>
      </w:r>
      <w:r w:rsidRPr="00391600" w:rsidR="00000B1E">
        <w:rPr>
          <w:rFonts w:ascii="Palatino Linotype" w:hAnsi="Palatino Linotype"/>
          <w:color w:val="000000" w:themeColor="text1"/>
        </w:rPr>
        <w:t xml:space="preserve">to promote complementary rather than duplicative </w:t>
      </w:r>
      <w:r w:rsidRPr="00391600" w:rsidR="00BB7C46">
        <w:rPr>
          <w:rFonts w:ascii="Palatino Linotype" w:hAnsi="Palatino Linotype"/>
          <w:color w:val="000000" w:themeColor="text1"/>
        </w:rPr>
        <w:t xml:space="preserve">research </w:t>
      </w:r>
      <w:r w:rsidRPr="00391600" w:rsidR="00000B1E">
        <w:rPr>
          <w:rFonts w:ascii="Palatino Linotype" w:hAnsi="Palatino Linotype"/>
          <w:color w:val="000000" w:themeColor="text1"/>
        </w:rPr>
        <w:t>efforts</w:t>
      </w:r>
      <w:r w:rsidRPr="00391600" w:rsidR="1451CE46">
        <w:rPr>
          <w:rFonts w:ascii="Palatino Linotype" w:hAnsi="Palatino Linotype"/>
          <w:color w:val="000000" w:themeColor="text1"/>
        </w:rPr>
        <w:t xml:space="preserve"> as required by PU Code and prior CPUC Resolution</w:t>
      </w:r>
      <w:r w:rsidRPr="00391600" w:rsidR="00C87C47">
        <w:rPr>
          <w:rFonts w:ascii="Palatino Linotype" w:hAnsi="Palatino Linotype"/>
          <w:color w:val="000000" w:themeColor="text1"/>
        </w:rPr>
        <w:t>s</w:t>
      </w:r>
      <w:r w:rsidRPr="00391600" w:rsidR="00AA0F97">
        <w:rPr>
          <w:rFonts w:ascii="Palatino Linotype" w:hAnsi="Palatino Linotype"/>
          <w:color w:val="000000" w:themeColor="text1"/>
        </w:rPr>
        <w:t>.</w:t>
      </w:r>
      <w:r w:rsidRPr="00391600" w:rsidR="00C92625">
        <w:rPr>
          <w:rStyle w:val="FootnoteReference"/>
          <w:rFonts w:ascii="Palatino Linotype" w:hAnsi="Palatino Linotype"/>
          <w:color w:val="000000" w:themeColor="text1"/>
        </w:rPr>
        <w:footnoteReference w:id="64"/>
      </w:r>
      <w:r w:rsidRPr="00391600" w:rsidR="00000B1E">
        <w:rPr>
          <w:rFonts w:ascii="Palatino Linotype" w:hAnsi="Palatino Linotype"/>
          <w:color w:val="000000" w:themeColor="text1"/>
        </w:rPr>
        <w:t xml:space="preserve"> </w:t>
      </w:r>
    </w:p>
    <w:p w:rsidRPr="00391600" w:rsidR="000B5F65" w:rsidP="0062283C" w:rsidRDefault="00875736" w14:paraId="1D66F13A" w14:textId="1D9090DD">
      <w:pPr>
        <w:pStyle w:val="10sp0"/>
        <w:numPr>
          <w:ilvl w:val="0"/>
          <w:numId w:val="10"/>
        </w:numPr>
        <w:spacing w:line="276" w:lineRule="auto"/>
        <w:rPr>
          <w:rFonts w:ascii="Palatino Linotype" w:hAnsi="Palatino Linotype"/>
          <w:color w:val="000000" w:themeColor="text1"/>
        </w:rPr>
      </w:pPr>
      <w:r w:rsidRPr="00391600">
        <w:rPr>
          <w:rFonts w:ascii="Palatino Linotype" w:hAnsi="Palatino Linotype"/>
          <w:color w:val="000000" w:themeColor="text1"/>
        </w:rPr>
        <w:lastRenderedPageBreak/>
        <w:t xml:space="preserve">The </w:t>
      </w:r>
      <w:r w:rsidRPr="00391600" w:rsidR="001255CB">
        <w:rPr>
          <w:rFonts w:ascii="Palatino Linotype" w:hAnsi="Palatino Linotype"/>
          <w:color w:val="000000" w:themeColor="text1"/>
        </w:rPr>
        <w:t xml:space="preserve">CEC </w:t>
      </w:r>
      <w:r w:rsidRPr="00391600" w:rsidR="004F0514">
        <w:rPr>
          <w:rFonts w:ascii="Palatino Linotype" w:hAnsi="Palatino Linotype"/>
          <w:color w:val="000000" w:themeColor="text1"/>
        </w:rPr>
        <w:t>does</w:t>
      </w:r>
      <w:r w:rsidRPr="00391600" w:rsidR="001255CB">
        <w:rPr>
          <w:rFonts w:ascii="Palatino Linotype" w:hAnsi="Palatino Linotype"/>
          <w:color w:val="000000" w:themeColor="text1"/>
        </w:rPr>
        <w:t xml:space="preserve"> not </w:t>
      </w:r>
      <w:r w:rsidRPr="00391600" w:rsidR="00BB4CF2">
        <w:rPr>
          <w:rFonts w:ascii="Palatino Linotype" w:hAnsi="Palatino Linotype"/>
          <w:color w:val="000000" w:themeColor="text1"/>
        </w:rPr>
        <w:t xml:space="preserve">demonstrate </w:t>
      </w:r>
      <w:r w:rsidRPr="00391600" w:rsidR="001255CB">
        <w:rPr>
          <w:rFonts w:ascii="Palatino Linotype" w:hAnsi="Palatino Linotype"/>
          <w:color w:val="000000" w:themeColor="text1"/>
        </w:rPr>
        <w:t>align</w:t>
      </w:r>
      <w:r w:rsidRPr="00391600" w:rsidR="00BB4CF2">
        <w:rPr>
          <w:rFonts w:ascii="Palatino Linotype" w:hAnsi="Palatino Linotype"/>
          <w:color w:val="000000" w:themeColor="text1"/>
        </w:rPr>
        <w:t xml:space="preserve">ment with </w:t>
      </w:r>
      <w:r w:rsidRPr="00391600" w:rsidR="00464A2F">
        <w:rPr>
          <w:rFonts w:ascii="Palatino Linotype" w:hAnsi="Palatino Linotype"/>
          <w:color w:val="000000" w:themeColor="text1"/>
        </w:rPr>
        <w:t>CPUC proceedings</w:t>
      </w:r>
      <w:r w:rsidRPr="00391600" w:rsidR="00725E1F">
        <w:rPr>
          <w:rStyle w:val="FootnoteReference"/>
          <w:rFonts w:ascii="Palatino Linotype" w:hAnsi="Palatino Linotype"/>
          <w:color w:val="000000" w:themeColor="text1"/>
        </w:rPr>
        <w:footnoteReference w:id="65"/>
      </w:r>
      <w:r w:rsidRPr="00391600" w:rsidR="00464A2F">
        <w:rPr>
          <w:rFonts w:ascii="Palatino Linotype" w:hAnsi="Palatino Linotype"/>
          <w:color w:val="000000" w:themeColor="text1"/>
        </w:rPr>
        <w:t xml:space="preserve"> and ratepayer benefit</w:t>
      </w:r>
      <w:r w:rsidRPr="00391600" w:rsidR="000C0009">
        <w:rPr>
          <w:rStyle w:val="FootnoteReference"/>
          <w:rFonts w:ascii="Palatino Linotype" w:hAnsi="Palatino Linotype"/>
          <w:color w:val="000000" w:themeColor="text1"/>
        </w:rPr>
        <w:footnoteReference w:id="66"/>
      </w:r>
      <w:r w:rsidRPr="00391600" w:rsidR="00464A2F">
        <w:rPr>
          <w:rFonts w:ascii="Palatino Linotype" w:hAnsi="Palatino Linotype"/>
          <w:color w:val="000000" w:themeColor="text1"/>
        </w:rPr>
        <w:t xml:space="preserve"> in</w:t>
      </w:r>
      <w:r w:rsidRPr="00391600" w:rsidR="001255CB">
        <w:rPr>
          <w:rFonts w:ascii="Palatino Linotype" w:hAnsi="Palatino Linotype"/>
          <w:color w:val="000000" w:themeColor="text1"/>
        </w:rPr>
        <w:t xml:space="preserve"> its</w:t>
      </w:r>
      <w:r w:rsidRPr="00391600" w:rsidR="003A7DAD">
        <w:rPr>
          <w:rFonts w:ascii="Palatino Linotype" w:hAnsi="Palatino Linotype"/>
          <w:color w:val="000000" w:themeColor="text1"/>
        </w:rPr>
        <w:t xml:space="preserve"> </w:t>
      </w:r>
      <w:r w:rsidRPr="00391600" w:rsidR="001255CB">
        <w:rPr>
          <w:rFonts w:ascii="Palatino Linotype" w:hAnsi="Palatino Linotype"/>
          <w:i/>
          <w:iCs/>
          <w:color w:val="000000" w:themeColor="text1"/>
        </w:rPr>
        <w:t xml:space="preserve">Support Equitable, Safe, and Cost-Effective Decarbonization of California’s Gas System </w:t>
      </w:r>
      <w:r w:rsidRPr="00391600" w:rsidR="001255CB">
        <w:rPr>
          <w:rFonts w:ascii="Palatino Linotype" w:hAnsi="Palatino Linotype"/>
          <w:color w:val="000000" w:themeColor="text1"/>
        </w:rPr>
        <w:t>and</w:t>
      </w:r>
      <w:r w:rsidRPr="00391600" w:rsidR="001255CB">
        <w:rPr>
          <w:rFonts w:ascii="Palatino Linotype" w:hAnsi="Palatino Linotype"/>
          <w:i/>
          <w:iCs/>
          <w:color w:val="000000" w:themeColor="text1"/>
        </w:rPr>
        <w:t xml:space="preserve"> </w:t>
      </w:r>
      <w:r w:rsidRPr="00391600" w:rsidR="001255CB">
        <w:rPr>
          <w:rFonts w:ascii="Palatino Linotype" w:hAnsi="Palatino Linotype" w:eastAsia="Palatino Linotype"/>
          <w:i/>
          <w:iCs/>
          <w:color w:val="000000" w:themeColor="text1"/>
        </w:rPr>
        <w:t>Fuel-Flexible Distributed Power Generation</w:t>
      </w:r>
      <w:r w:rsidRPr="00391600" w:rsidR="009522CB">
        <w:rPr>
          <w:rStyle w:val="FootnoteReference"/>
          <w:rFonts w:ascii="Palatino Linotype" w:hAnsi="Palatino Linotype"/>
          <w:color w:val="000000" w:themeColor="text1"/>
        </w:rPr>
        <w:footnoteReference w:id="67"/>
      </w:r>
      <w:r w:rsidRPr="00391600" w:rsidR="001255CB">
        <w:rPr>
          <w:rFonts w:ascii="Palatino Linotype" w:hAnsi="Palatino Linotype" w:eastAsia="Palatino Linotype"/>
          <w:color w:val="000000" w:themeColor="text1"/>
        </w:rPr>
        <w:t xml:space="preserve"> </w:t>
      </w:r>
      <w:r w:rsidRPr="00391600" w:rsidR="001255CB">
        <w:rPr>
          <w:rFonts w:ascii="Palatino Linotype" w:hAnsi="Palatino Linotype"/>
          <w:color w:val="000000" w:themeColor="text1"/>
        </w:rPr>
        <w:t>Initiatives</w:t>
      </w:r>
      <w:r w:rsidRPr="00391600" w:rsidR="00725E1F">
        <w:rPr>
          <w:rFonts w:ascii="Palatino Linotype" w:hAnsi="Palatino Linotype"/>
          <w:color w:val="000000" w:themeColor="text1"/>
        </w:rPr>
        <w:t>.</w:t>
      </w:r>
      <w:r w:rsidRPr="00391600" w:rsidR="00D27685">
        <w:rPr>
          <w:rFonts w:ascii="Palatino Linotype" w:hAnsi="Palatino Linotype"/>
          <w:color w:val="000000" w:themeColor="text1"/>
        </w:rPr>
        <w:t xml:space="preserve"> </w:t>
      </w:r>
      <w:r w:rsidRPr="00391600" w:rsidR="00047A59">
        <w:rPr>
          <w:rFonts w:ascii="Palatino Linotype" w:hAnsi="Palatino Linotype"/>
          <w:color w:val="000000" w:themeColor="text1"/>
        </w:rPr>
        <w:t>T</w:t>
      </w:r>
      <w:r w:rsidRPr="00391600" w:rsidR="00C26168">
        <w:rPr>
          <w:rFonts w:ascii="Palatino Linotype" w:hAnsi="Palatino Linotype"/>
          <w:color w:val="000000" w:themeColor="text1"/>
        </w:rPr>
        <w:t>he Commission has not provided guidance on the appropriate role of gas ratepayers in funding hydrogen RD&amp;</w:t>
      </w:r>
      <w:proofErr w:type="gramStart"/>
      <w:r w:rsidRPr="00391600" w:rsidR="00C26168">
        <w:rPr>
          <w:rFonts w:ascii="Palatino Linotype" w:hAnsi="Palatino Linotype"/>
          <w:color w:val="000000" w:themeColor="text1"/>
        </w:rPr>
        <w:t>D</w:t>
      </w:r>
      <w:r w:rsidRPr="00391600" w:rsidR="000609A4">
        <w:rPr>
          <w:rFonts w:ascii="Palatino Linotype" w:hAnsi="Palatino Linotype"/>
          <w:color w:val="000000" w:themeColor="text1"/>
        </w:rPr>
        <w:t>,</w:t>
      </w:r>
      <w:proofErr w:type="gramEnd"/>
      <w:r w:rsidRPr="00391600" w:rsidR="000609A4">
        <w:rPr>
          <w:rFonts w:ascii="Palatino Linotype" w:hAnsi="Palatino Linotype"/>
          <w:color w:val="000000" w:themeColor="text1"/>
        </w:rPr>
        <w:t xml:space="preserve"> therefore it is not an appropriate use of funds. Funding hydrogen RD&amp;D projects </w:t>
      </w:r>
      <w:r w:rsidRPr="00391600" w:rsidR="00C26168">
        <w:rPr>
          <w:rFonts w:ascii="Palatino Linotype" w:hAnsi="Palatino Linotype"/>
          <w:color w:val="000000" w:themeColor="text1"/>
        </w:rPr>
        <w:t xml:space="preserve">would have further implications for </w:t>
      </w:r>
      <w:r w:rsidRPr="00391600" w:rsidR="004735BE">
        <w:rPr>
          <w:rFonts w:ascii="Palatino Linotype" w:hAnsi="Palatino Linotype"/>
          <w:color w:val="000000" w:themeColor="text1"/>
        </w:rPr>
        <w:t xml:space="preserve">future </w:t>
      </w:r>
      <w:r w:rsidRPr="00391600" w:rsidR="00C26168">
        <w:rPr>
          <w:rFonts w:ascii="Palatino Linotype" w:hAnsi="Palatino Linotype"/>
          <w:color w:val="000000" w:themeColor="text1"/>
        </w:rPr>
        <w:t>ratepayer funding, including in future Gas RD&amp;D Plans.</w:t>
      </w:r>
    </w:p>
    <w:p w:rsidRPr="00391600" w:rsidR="00D77039" w:rsidP="00B91967" w:rsidRDefault="00A55840" w14:paraId="79AE4E97" w14:textId="7F325152">
      <w:pPr>
        <w:pStyle w:val="10sp0"/>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The omissions noted above can be rectified with supplemental information. </w:t>
      </w:r>
      <w:r w:rsidRPr="00391600" w:rsidR="0013781D">
        <w:rPr>
          <w:rFonts w:ascii="Palatino Linotype" w:hAnsi="Palatino Linotype" w:eastAsia="Palatino Linotype"/>
          <w:color w:val="000000" w:themeColor="text1"/>
        </w:rPr>
        <w:t>T</w:t>
      </w:r>
      <w:r w:rsidRPr="00391600" w:rsidR="00653F1E">
        <w:rPr>
          <w:rFonts w:ascii="Palatino Linotype" w:hAnsi="Palatino Linotype" w:eastAsia="Palatino Linotype"/>
          <w:color w:val="000000" w:themeColor="text1"/>
        </w:rPr>
        <w:t xml:space="preserve">he </w:t>
      </w:r>
      <w:r w:rsidRPr="00391600" w:rsidR="00A71FB0">
        <w:rPr>
          <w:rFonts w:ascii="Palatino Linotype" w:hAnsi="Palatino Linotype" w:eastAsia="Palatino Linotype"/>
          <w:color w:val="000000" w:themeColor="text1"/>
        </w:rPr>
        <w:t xml:space="preserve">CEC shall submit a revised </w:t>
      </w:r>
      <w:r w:rsidRPr="00391600" w:rsidR="00585E74">
        <w:rPr>
          <w:rFonts w:ascii="Palatino Linotype" w:hAnsi="Palatino Linotype" w:eastAsia="Palatino Linotype"/>
          <w:color w:val="000000" w:themeColor="text1"/>
        </w:rPr>
        <w:t xml:space="preserve">2024 </w:t>
      </w:r>
      <w:r w:rsidRPr="00391600" w:rsidR="00C17FF0">
        <w:rPr>
          <w:rFonts w:ascii="Palatino Linotype" w:hAnsi="Palatino Linotype" w:eastAsia="Palatino Linotype"/>
          <w:color w:val="000000" w:themeColor="text1"/>
        </w:rPr>
        <w:t xml:space="preserve">Plan via </w:t>
      </w:r>
      <w:r w:rsidRPr="00391600" w:rsidR="00A71FB0">
        <w:rPr>
          <w:rFonts w:ascii="Palatino Linotype" w:hAnsi="Palatino Linotype" w:eastAsia="Palatino Linotype"/>
          <w:color w:val="000000" w:themeColor="text1"/>
        </w:rPr>
        <w:t xml:space="preserve">Tier </w:t>
      </w:r>
      <w:r w:rsidRPr="00391600" w:rsidR="00C17FF0">
        <w:rPr>
          <w:rFonts w:ascii="Palatino Linotype" w:hAnsi="Palatino Linotype" w:eastAsia="Palatino Linotype"/>
          <w:color w:val="000000" w:themeColor="text1"/>
        </w:rPr>
        <w:t>2</w:t>
      </w:r>
      <w:r w:rsidRPr="00391600" w:rsidR="00A71FB0">
        <w:rPr>
          <w:rFonts w:ascii="Palatino Linotype" w:hAnsi="Palatino Linotype" w:eastAsia="Palatino Linotype"/>
          <w:color w:val="000000" w:themeColor="text1"/>
        </w:rPr>
        <w:t xml:space="preserve"> AL within </w:t>
      </w:r>
      <w:r w:rsidRPr="00391600" w:rsidR="008D74E3">
        <w:rPr>
          <w:rFonts w:ascii="Palatino Linotype" w:hAnsi="Palatino Linotype" w:eastAsia="Palatino Linotype"/>
          <w:color w:val="000000" w:themeColor="text1"/>
        </w:rPr>
        <w:t>6</w:t>
      </w:r>
      <w:r w:rsidRPr="00391600" w:rsidR="00A71FB0">
        <w:rPr>
          <w:rFonts w:ascii="Palatino Linotype" w:hAnsi="Palatino Linotype" w:eastAsia="Palatino Linotype"/>
          <w:color w:val="000000" w:themeColor="text1"/>
        </w:rPr>
        <w:t>0 days</w:t>
      </w:r>
      <w:r w:rsidRPr="00391600" w:rsidR="001E137A">
        <w:rPr>
          <w:rFonts w:ascii="Palatino Linotype" w:hAnsi="Palatino Linotype" w:eastAsia="Palatino Linotype"/>
          <w:color w:val="000000" w:themeColor="text1"/>
        </w:rPr>
        <w:t xml:space="preserve"> that can</w:t>
      </w:r>
      <w:r w:rsidRPr="00391600" w:rsidR="00A71FB0">
        <w:rPr>
          <w:rFonts w:ascii="Palatino Linotype" w:hAnsi="Palatino Linotype" w:eastAsia="Palatino Linotype"/>
          <w:color w:val="000000" w:themeColor="text1"/>
        </w:rPr>
        <w:t xml:space="preserve"> address the </w:t>
      </w:r>
      <w:r w:rsidRPr="00391600" w:rsidR="00EE757C">
        <w:rPr>
          <w:rFonts w:ascii="Palatino Linotype" w:hAnsi="Palatino Linotype" w:eastAsia="Palatino Linotype"/>
          <w:color w:val="000000" w:themeColor="text1"/>
        </w:rPr>
        <w:t>items</w:t>
      </w:r>
      <w:r w:rsidRPr="00391600" w:rsidR="00A71FB0">
        <w:rPr>
          <w:rFonts w:ascii="Palatino Linotype" w:hAnsi="Palatino Linotype" w:eastAsia="Palatino Linotype"/>
          <w:color w:val="000000" w:themeColor="text1"/>
        </w:rPr>
        <w:t xml:space="preserve"> described above</w:t>
      </w:r>
      <w:r w:rsidRPr="00391600" w:rsidR="00EE757C">
        <w:rPr>
          <w:rFonts w:ascii="Palatino Linotype" w:hAnsi="Palatino Linotype" w:eastAsia="Palatino Linotype"/>
          <w:color w:val="000000" w:themeColor="text1"/>
        </w:rPr>
        <w:t>,</w:t>
      </w:r>
      <w:r w:rsidRPr="00391600" w:rsidR="00A71FB0">
        <w:rPr>
          <w:rFonts w:ascii="Palatino Linotype" w:hAnsi="Palatino Linotype" w:eastAsia="Palatino Linotype"/>
          <w:color w:val="000000" w:themeColor="text1"/>
        </w:rPr>
        <w:t xml:space="preserve"> and as detailed in </w:t>
      </w:r>
      <w:r w:rsidRPr="00391600" w:rsidR="00EA62B8">
        <w:rPr>
          <w:rFonts w:ascii="Palatino Linotype" w:hAnsi="Palatino Linotype" w:eastAsia="Palatino Linotype"/>
          <w:color w:val="000000" w:themeColor="text1"/>
        </w:rPr>
        <w:t>A</w:t>
      </w:r>
      <w:r w:rsidRPr="00391600" w:rsidR="00A71FB0">
        <w:rPr>
          <w:rFonts w:ascii="Palatino Linotype" w:hAnsi="Palatino Linotype" w:eastAsia="Palatino Linotype"/>
          <w:color w:val="000000" w:themeColor="text1"/>
        </w:rPr>
        <w:t xml:space="preserve">ppendix </w:t>
      </w:r>
      <w:r w:rsidRPr="00391600" w:rsidR="00587988">
        <w:rPr>
          <w:rFonts w:ascii="Palatino Linotype" w:hAnsi="Palatino Linotype" w:eastAsia="Palatino Linotype"/>
          <w:color w:val="000000" w:themeColor="text1"/>
        </w:rPr>
        <w:t>G</w:t>
      </w:r>
      <w:r w:rsidRPr="00391600" w:rsidR="00EA62B8">
        <w:rPr>
          <w:rFonts w:ascii="Palatino Linotype" w:hAnsi="Palatino Linotype" w:eastAsia="Palatino Linotype"/>
          <w:color w:val="000000" w:themeColor="text1"/>
        </w:rPr>
        <w:t xml:space="preserve"> </w:t>
      </w:r>
      <w:r w:rsidRPr="00391600" w:rsidR="00A71FB0">
        <w:rPr>
          <w:rFonts w:ascii="Palatino Linotype" w:hAnsi="Palatino Linotype" w:eastAsia="Palatino Linotype"/>
          <w:color w:val="000000" w:themeColor="text1"/>
        </w:rPr>
        <w:t>of this Resolution</w:t>
      </w:r>
      <w:r w:rsidRPr="00391600" w:rsidR="00934624">
        <w:rPr>
          <w:rFonts w:ascii="Palatino Linotype" w:hAnsi="Palatino Linotype" w:eastAsia="Palatino Linotype"/>
          <w:color w:val="000000" w:themeColor="text1"/>
        </w:rPr>
        <w:t>.</w:t>
      </w:r>
      <w:r w:rsidRPr="00391600" w:rsidR="00425BCB">
        <w:rPr>
          <w:rFonts w:ascii="Palatino Linotype" w:hAnsi="Palatino Linotype" w:eastAsia="Palatino Linotype"/>
          <w:color w:val="000000" w:themeColor="text1"/>
        </w:rPr>
        <w:t xml:space="preserve"> </w:t>
      </w:r>
      <w:r w:rsidRPr="00391600" w:rsidR="00E109EF">
        <w:rPr>
          <w:rFonts w:ascii="Palatino Linotype" w:hAnsi="Palatino Linotype" w:eastAsia="Palatino Linotype"/>
          <w:color w:val="000000" w:themeColor="text1"/>
        </w:rPr>
        <w:t xml:space="preserve">Once </w:t>
      </w:r>
      <w:r w:rsidRPr="00391600" w:rsidR="00D264EE">
        <w:rPr>
          <w:rFonts w:ascii="Palatino Linotype" w:hAnsi="Palatino Linotype" w:eastAsia="Palatino Linotype"/>
          <w:color w:val="000000" w:themeColor="text1"/>
        </w:rPr>
        <w:t>the revised Plan is</w:t>
      </w:r>
      <w:r w:rsidRPr="00391600" w:rsidR="00E109EF">
        <w:rPr>
          <w:rFonts w:ascii="Palatino Linotype" w:hAnsi="Palatino Linotype" w:eastAsia="Palatino Linotype"/>
          <w:color w:val="000000" w:themeColor="text1"/>
        </w:rPr>
        <w:t xml:space="preserve"> approved</w:t>
      </w:r>
      <w:r w:rsidRPr="00391600" w:rsidR="00D264EE">
        <w:rPr>
          <w:rFonts w:ascii="Palatino Linotype" w:hAnsi="Palatino Linotype" w:eastAsia="Palatino Linotype"/>
          <w:color w:val="000000" w:themeColor="text1"/>
        </w:rPr>
        <w:t xml:space="preserve"> via Tier 2 AL</w:t>
      </w:r>
      <w:r w:rsidRPr="00391600" w:rsidR="00E109EF">
        <w:rPr>
          <w:rFonts w:ascii="Palatino Linotype" w:hAnsi="Palatino Linotype" w:eastAsia="Palatino Linotype"/>
          <w:color w:val="000000" w:themeColor="text1"/>
        </w:rPr>
        <w:t xml:space="preserve">, the CEC will have full approval </w:t>
      </w:r>
      <w:r w:rsidRPr="00391600" w:rsidR="00B633F1">
        <w:rPr>
          <w:rFonts w:ascii="Palatino Linotype" w:hAnsi="Palatino Linotype" w:eastAsia="Palatino Linotype"/>
          <w:color w:val="000000" w:themeColor="text1"/>
        </w:rPr>
        <w:t xml:space="preserve">of its 2024 Plan and can </w:t>
      </w:r>
      <w:r w:rsidRPr="00391600" w:rsidR="00DC51C9">
        <w:rPr>
          <w:rFonts w:ascii="Palatino Linotype" w:hAnsi="Palatino Linotype" w:eastAsia="Palatino Linotype"/>
          <w:color w:val="000000" w:themeColor="text1"/>
        </w:rPr>
        <w:t>utilize authorized fund</w:t>
      </w:r>
      <w:r w:rsidRPr="00391600" w:rsidR="002A3840">
        <w:rPr>
          <w:rFonts w:ascii="Palatino Linotype" w:hAnsi="Palatino Linotype" w:eastAsia="Palatino Linotype"/>
          <w:color w:val="000000" w:themeColor="text1"/>
        </w:rPr>
        <w:t>ing</w:t>
      </w:r>
      <w:r w:rsidRPr="00391600" w:rsidR="324128A5">
        <w:rPr>
          <w:rFonts w:ascii="Palatino Linotype" w:hAnsi="Palatino Linotype" w:eastAsia="Palatino Linotype"/>
          <w:color w:val="000000" w:themeColor="text1"/>
        </w:rPr>
        <w:t xml:space="preserve"> in accordance with the</w:t>
      </w:r>
      <w:r w:rsidRPr="00391600" w:rsidR="00153A65">
        <w:rPr>
          <w:rFonts w:ascii="Palatino Linotype" w:hAnsi="Palatino Linotype" w:eastAsia="Palatino Linotype"/>
          <w:color w:val="000000" w:themeColor="text1"/>
        </w:rPr>
        <w:t xml:space="preserve"> approved</w:t>
      </w:r>
      <w:r w:rsidRPr="00391600" w:rsidR="324128A5">
        <w:rPr>
          <w:rFonts w:ascii="Palatino Linotype" w:hAnsi="Palatino Linotype" w:eastAsia="Palatino Linotype"/>
          <w:color w:val="000000" w:themeColor="text1"/>
        </w:rPr>
        <w:t xml:space="preserve"> </w:t>
      </w:r>
      <w:r w:rsidRPr="00391600" w:rsidR="00D264EE">
        <w:rPr>
          <w:rFonts w:ascii="Palatino Linotype" w:hAnsi="Palatino Linotype" w:eastAsia="Palatino Linotype"/>
          <w:color w:val="000000" w:themeColor="text1"/>
        </w:rPr>
        <w:t>P</w:t>
      </w:r>
      <w:r w:rsidRPr="00391600" w:rsidR="324128A5">
        <w:rPr>
          <w:rFonts w:ascii="Palatino Linotype" w:hAnsi="Palatino Linotype" w:eastAsia="Palatino Linotype"/>
          <w:color w:val="000000" w:themeColor="text1"/>
        </w:rPr>
        <w:t>lan</w:t>
      </w:r>
      <w:r w:rsidRPr="00391600" w:rsidR="00DC51C9">
        <w:rPr>
          <w:rFonts w:ascii="Palatino Linotype" w:hAnsi="Palatino Linotype" w:eastAsia="Palatino Linotype"/>
          <w:color w:val="000000" w:themeColor="text1"/>
        </w:rPr>
        <w:t>.</w:t>
      </w:r>
      <w:r w:rsidRPr="00391600" w:rsidR="001A5364">
        <w:rPr>
          <w:rFonts w:ascii="Palatino Linotype" w:hAnsi="Palatino Linotype" w:eastAsia="Palatino Linotype"/>
          <w:color w:val="000000" w:themeColor="text1"/>
        </w:rPr>
        <w:t xml:space="preserve"> </w:t>
      </w:r>
    </w:p>
    <w:p w:rsidRPr="00391600" w:rsidR="007C5F12" w:rsidP="00591F15" w:rsidRDefault="00D77039" w14:paraId="7FBEC11B" w14:textId="07E640A4">
      <w:pPr>
        <w:pStyle w:val="10sp0"/>
        <w:spacing w:line="276" w:lineRule="auto"/>
        <w:rPr>
          <w:rFonts w:ascii="Palatino Linotype" w:hAnsi="Palatino Linotype"/>
          <w:color w:val="000000" w:themeColor="text1"/>
        </w:rPr>
      </w:pPr>
      <w:r w:rsidRPr="00391600">
        <w:rPr>
          <w:rFonts w:ascii="Palatino Linotype" w:hAnsi="Palatino Linotype" w:eastAsia="Palatino Linotype"/>
          <w:color w:val="000000" w:themeColor="text1"/>
        </w:rPr>
        <w:t xml:space="preserve">Energy Division </w:t>
      </w:r>
      <w:r w:rsidRPr="00391600" w:rsidR="000A54B6">
        <w:rPr>
          <w:rFonts w:ascii="Palatino Linotype" w:hAnsi="Palatino Linotype" w:eastAsia="Palatino Linotype"/>
          <w:color w:val="000000" w:themeColor="text1"/>
        </w:rPr>
        <w:t xml:space="preserve">staff </w:t>
      </w:r>
      <w:r w:rsidRPr="00391600">
        <w:rPr>
          <w:rFonts w:ascii="Palatino Linotype" w:hAnsi="Palatino Linotype" w:eastAsia="Palatino Linotype"/>
          <w:color w:val="000000" w:themeColor="text1"/>
        </w:rPr>
        <w:t>worked with CEC staff to review the</w:t>
      </w:r>
      <w:r w:rsidRPr="00391600" w:rsidR="60399FD7">
        <w:rPr>
          <w:rFonts w:ascii="Palatino Linotype" w:hAnsi="Palatino Linotype" w:eastAsia="Palatino Linotype"/>
          <w:color w:val="000000" w:themeColor="text1"/>
        </w:rPr>
        <w:t xml:space="preserve"> </w:t>
      </w:r>
      <w:r w:rsidRPr="00391600">
        <w:rPr>
          <w:rFonts w:ascii="Palatino Linotype" w:hAnsi="Palatino Linotype" w:eastAsia="Palatino Linotype"/>
          <w:color w:val="000000" w:themeColor="text1"/>
        </w:rPr>
        <w:t>balance</w:t>
      </w:r>
      <w:r w:rsidRPr="00391600" w:rsidR="004403C7">
        <w:rPr>
          <w:rFonts w:ascii="Palatino Linotype" w:hAnsi="Palatino Linotype" w:eastAsia="Palatino Linotype"/>
          <w:color w:val="000000" w:themeColor="text1"/>
        </w:rPr>
        <w:t>s</w:t>
      </w:r>
      <w:r w:rsidRPr="00391600">
        <w:rPr>
          <w:rFonts w:ascii="Palatino Linotype" w:hAnsi="Palatino Linotype" w:eastAsia="Palatino Linotype"/>
          <w:color w:val="000000" w:themeColor="text1"/>
        </w:rPr>
        <w:t xml:space="preserve"> of previously </w:t>
      </w:r>
      <w:r w:rsidRPr="00391600" w:rsidR="009E0CFA">
        <w:rPr>
          <w:rFonts w:ascii="Palatino Linotype" w:hAnsi="Palatino Linotype" w:eastAsia="Palatino Linotype"/>
          <w:color w:val="000000" w:themeColor="text1"/>
        </w:rPr>
        <w:t>approved</w:t>
      </w:r>
      <w:r w:rsidRPr="00391600">
        <w:rPr>
          <w:rFonts w:ascii="Palatino Linotype" w:hAnsi="Palatino Linotype" w:eastAsia="Palatino Linotype"/>
          <w:color w:val="000000" w:themeColor="text1"/>
        </w:rPr>
        <w:t xml:space="preserve"> funds </w:t>
      </w:r>
      <w:r w:rsidRPr="00391600" w:rsidR="00C44A5E">
        <w:rPr>
          <w:rFonts w:ascii="Palatino Linotype" w:hAnsi="Palatino Linotype" w:eastAsia="Palatino Linotype"/>
          <w:color w:val="000000" w:themeColor="text1"/>
        </w:rPr>
        <w:t xml:space="preserve">from its FY 2015-2016 Plan to present </w:t>
      </w:r>
      <w:r w:rsidRPr="00391600">
        <w:rPr>
          <w:rFonts w:ascii="Palatino Linotype" w:hAnsi="Palatino Linotype" w:eastAsia="Palatino Linotype"/>
          <w:color w:val="000000" w:themeColor="text1"/>
        </w:rPr>
        <w:t xml:space="preserve">in relation to currently requested funds for </w:t>
      </w:r>
      <w:r w:rsidRPr="00391600" w:rsidR="00DF598B">
        <w:rPr>
          <w:rFonts w:ascii="Palatino Linotype" w:hAnsi="Palatino Linotype" w:eastAsia="Palatino Linotype"/>
          <w:color w:val="000000" w:themeColor="text1"/>
        </w:rPr>
        <w:t>the CEC’s</w:t>
      </w:r>
      <w:r w:rsidRPr="00391600">
        <w:rPr>
          <w:rFonts w:ascii="Palatino Linotype" w:hAnsi="Palatino Linotype" w:eastAsia="Palatino Linotype"/>
          <w:color w:val="000000" w:themeColor="text1"/>
        </w:rPr>
        <w:t xml:space="preserve"> 2024 Plan. </w:t>
      </w:r>
      <w:r w:rsidRPr="00391600" w:rsidR="69E1B1B7">
        <w:rPr>
          <w:rFonts w:ascii="Palatino Linotype" w:hAnsi="Palatino Linotype" w:eastAsia="Palatino Linotype"/>
          <w:color w:val="000000" w:themeColor="text1"/>
        </w:rPr>
        <w:t xml:space="preserve">Utilization of </w:t>
      </w:r>
      <w:r w:rsidRPr="00391600" w:rsidR="69E1B1B7">
        <w:rPr>
          <w:rFonts w:ascii="Palatino Linotype" w:hAnsi="Palatino Linotype"/>
          <w:color w:val="000000" w:themeColor="text1"/>
        </w:rPr>
        <w:t xml:space="preserve">unspent fund balances was </w:t>
      </w:r>
      <w:r w:rsidRPr="00391600" w:rsidR="2A16F5A2">
        <w:rPr>
          <w:rFonts w:ascii="Palatino Linotype" w:hAnsi="Palatino Linotype"/>
          <w:color w:val="000000" w:themeColor="text1"/>
        </w:rPr>
        <w:t>required</w:t>
      </w:r>
      <w:r w:rsidRPr="00391600" w:rsidR="69E1B1B7">
        <w:rPr>
          <w:rFonts w:ascii="Palatino Linotype" w:hAnsi="Palatino Linotype"/>
          <w:color w:val="000000" w:themeColor="text1"/>
        </w:rPr>
        <w:t xml:space="preserve"> in both 2021 and 2023 CPUC Resolutions, and so the review of available balances was </w:t>
      </w:r>
      <w:r w:rsidRPr="00391600" w:rsidR="638EB826">
        <w:rPr>
          <w:rFonts w:ascii="Palatino Linotype" w:hAnsi="Palatino Linotype"/>
          <w:color w:val="000000" w:themeColor="text1"/>
        </w:rPr>
        <w:t xml:space="preserve">undertaken </w:t>
      </w:r>
      <w:r w:rsidRPr="00391600" w:rsidR="69E1B1B7">
        <w:rPr>
          <w:rFonts w:ascii="Palatino Linotype" w:hAnsi="Palatino Linotype"/>
          <w:color w:val="000000" w:themeColor="text1"/>
        </w:rPr>
        <w:t xml:space="preserve">to ensure </w:t>
      </w:r>
      <w:r w:rsidRPr="00391600" w:rsidR="222825B3">
        <w:rPr>
          <w:rFonts w:ascii="Palatino Linotype" w:hAnsi="Palatino Linotype"/>
          <w:color w:val="000000" w:themeColor="text1"/>
        </w:rPr>
        <w:t xml:space="preserve">the 2024 and 2025 Plans </w:t>
      </w:r>
      <w:proofErr w:type="gramStart"/>
      <w:r w:rsidRPr="00391600" w:rsidR="222825B3">
        <w:rPr>
          <w:rFonts w:ascii="Palatino Linotype" w:hAnsi="Palatino Linotype"/>
          <w:color w:val="000000" w:themeColor="text1"/>
        </w:rPr>
        <w:t xml:space="preserve">are in </w:t>
      </w:r>
      <w:r w:rsidRPr="00391600" w:rsidR="69E1B1B7">
        <w:rPr>
          <w:rFonts w:ascii="Palatino Linotype" w:hAnsi="Palatino Linotype"/>
          <w:color w:val="000000" w:themeColor="text1"/>
        </w:rPr>
        <w:t>compliance with</w:t>
      </w:r>
      <w:proofErr w:type="gramEnd"/>
      <w:r w:rsidRPr="00391600" w:rsidR="69E1B1B7">
        <w:rPr>
          <w:rFonts w:ascii="Palatino Linotype" w:hAnsi="Palatino Linotype"/>
          <w:color w:val="000000" w:themeColor="text1"/>
        </w:rPr>
        <w:t xml:space="preserve"> that order.</w:t>
      </w:r>
      <w:r w:rsidRPr="00391600" w:rsidR="69E1B1B7">
        <w:rPr>
          <w:rFonts w:ascii="Palatino Linotype" w:hAnsi="Palatino Linotype" w:eastAsia="Palatino Linotype"/>
          <w:color w:val="000000" w:themeColor="text1"/>
        </w:rPr>
        <w:t xml:space="preserve"> </w:t>
      </w:r>
      <w:r w:rsidRPr="00391600" w:rsidR="00424357">
        <w:rPr>
          <w:rFonts w:ascii="Palatino Linotype" w:hAnsi="Palatino Linotype" w:eastAsia="Palatino Linotype"/>
          <w:color w:val="000000" w:themeColor="text1"/>
        </w:rPr>
        <w:t>As</w:t>
      </w:r>
      <w:r w:rsidRPr="00391600">
        <w:rPr>
          <w:rFonts w:ascii="Palatino Linotype" w:hAnsi="Palatino Linotype" w:eastAsia="Palatino Linotype"/>
          <w:color w:val="000000" w:themeColor="text1"/>
        </w:rPr>
        <w:t xml:space="preserve"> of April 2026</w:t>
      </w:r>
      <w:r w:rsidRPr="00391600" w:rsidR="00EC75B7">
        <w:rPr>
          <w:rFonts w:ascii="Palatino Linotype" w:hAnsi="Palatino Linotype" w:eastAsia="Palatino Linotype"/>
          <w:color w:val="000000" w:themeColor="text1"/>
        </w:rPr>
        <w:t>,</w:t>
      </w:r>
      <w:r w:rsidRPr="00391600">
        <w:rPr>
          <w:rFonts w:ascii="Palatino Linotype" w:hAnsi="Palatino Linotype" w:eastAsia="Palatino Linotype"/>
          <w:color w:val="000000" w:themeColor="text1"/>
        </w:rPr>
        <w:t xml:space="preserve"> the CEC reported</w:t>
      </w:r>
      <w:r w:rsidRPr="00391600" w:rsidR="007B50A1">
        <w:rPr>
          <w:rFonts w:ascii="Palatino Linotype" w:hAnsi="Palatino Linotype" w:eastAsia="Palatino Linotype"/>
          <w:color w:val="000000" w:themeColor="text1"/>
        </w:rPr>
        <w:t xml:space="preserve"> </w:t>
      </w:r>
      <w:r w:rsidRPr="00391600" w:rsidR="1270CB6A">
        <w:rPr>
          <w:rFonts w:ascii="Palatino Linotype" w:hAnsi="Palatino Linotype" w:eastAsia="Palatino Linotype"/>
          <w:color w:val="000000" w:themeColor="text1"/>
        </w:rPr>
        <w:t xml:space="preserve">to the CPUC that there were </w:t>
      </w:r>
      <w:r w:rsidRPr="00391600" w:rsidR="007B50A1">
        <w:rPr>
          <w:rFonts w:ascii="Palatino Linotype" w:hAnsi="Palatino Linotype" w:eastAsia="Palatino Linotype"/>
          <w:color w:val="000000" w:themeColor="text1"/>
        </w:rPr>
        <w:t>at least</w:t>
      </w:r>
      <w:r w:rsidRPr="00391600">
        <w:rPr>
          <w:rFonts w:ascii="Palatino Linotype" w:hAnsi="Palatino Linotype" w:eastAsia="Palatino Linotype"/>
          <w:color w:val="000000" w:themeColor="text1"/>
        </w:rPr>
        <w:t xml:space="preserve"> </w:t>
      </w:r>
      <w:r w:rsidRPr="00391600" w:rsidR="00873C26">
        <w:rPr>
          <w:rFonts w:ascii="Palatino Linotype" w:hAnsi="Palatino Linotype" w:eastAsia="Palatino Linotype"/>
          <w:color w:val="000000" w:themeColor="text1"/>
        </w:rPr>
        <w:t>$31,076,69</w:t>
      </w:r>
      <w:r w:rsidRPr="00391600" w:rsidR="00BD337C">
        <w:rPr>
          <w:rFonts w:ascii="Palatino Linotype" w:hAnsi="Palatino Linotype" w:eastAsia="Palatino Linotype"/>
          <w:color w:val="000000" w:themeColor="text1"/>
        </w:rPr>
        <w:t>0</w:t>
      </w:r>
      <w:r w:rsidRPr="00391600">
        <w:rPr>
          <w:rFonts w:ascii="Palatino Linotype" w:hAnsi="Palatino Linotype" w:eastAsia="Palatino Linotype"/>
          <w:color w:val="000000" w:themeColor="text1"/>
        </w:rPr>
        <w:t xml:space="preserve"> in </w:t>
      </w:r>
      <w:r w:rsidRPr="00391600" w:rsidR="00B041D8">
        <w:rPr>
          <w:rFonts w:ascii="Palatino Linotype" w:hAnsi="Palatino Linotype" w:eastAsia="Palatino Linotype"/>
          <w:color w:val="000000" w:themeColor="text1"/>
        </w:rPr>
        <w:t xml:space="preserve">unencumbered and </w:t>
      </w:r>
      <w:r w:rsidRPr="00391600">
        <w:rPr>
          <w:rFonts w:ascii="Palatino Linotype" w:hAnsi="Palatino Linotype" w:eastAsia="Palatino Linotype"/>
          <w:color w:val="000000" w:themeColor="text1"/>
        </w:rPr>
        <w:t>unspent</w:t>
      </w:r>
      <w:r w:rsidRPr="00391600">
        <w:rPr>
          <w:rFonts w:ascii="Palatino Linotype" w:hAnsi="Palatino Linotype" w:eastAsia="Palatino Linotype"/>
          <w:b/>
          <w:bCs/>
          <w:color w:val="000000" w:themeColor="text1"/>
        </w:rPr>
        <w:t xml:space="preserve"> </w:t>
      </w:r>
      <w:r w:rsidRPr="00391600">
        <w:rPr>
          <w:rFonts w:ascii="Palatino Linotype" w:hAnsi="Palatino Linotype" w:eastAsia="Palatino Linotype"/>
          <w:color w:val="000000" w:themeColor="text1"/>
        </w:rPr>
        <w:t>fund</w:t>
      </w:r>
      <w:r w:rsidRPr="00391600" w:rsidR="00591F15">
        <w:rPr>
          <w:rFonts w:ascii="Palatino Linotype" w:hAnsi="Palatino Linotype" w:eastAsia="Palatino Linotype"/>
          <w:color w:val="000000" w:themeColor="text1"/>
        </w:rPr>
        <w:t>s</w:t>
      </w:r>
      <w:r w:rsidRPr="00391600" w:rsidR="00E82AFA">
        <w:rPr>
          <w:rFonts w:ascii="Palatino Linotype" w:hAnsi="Palatino Linotype" w:eastAsia="Palatino Linotype"/>
          <w:color w:val="000000" w:themeColor="text1"/>
        </w:rPr>
        <w:t xml:space="preserve"> for which </w:t>
      </w:r>
      <w:r w:rsidRPr="00391600" w:rsidR="46C4BB30">
        <w:rPr>
          <w:rFonts w:ascii="Palatino Linotype" w:hAnsi="Palatino Linotype" w:eastAsia="Palatino Linotype"/>
          <w:color w:val="000000" w:themeColor="text1"/>
        </w:rPr>
        <w:t xml:space="preserve">many </w:t>
      </w:r>
      <w:r w:rsidRPr="00391600" w:rsidR="00D26385">
        <w:rPr>
          <w:rFonts w:ascii="Palatino Linotype" w:hAnsi="Palatino Linotype" w:eastAsia="Palatino Linotype"/>
          <w:color w:val="000000" w:themeColor="text1"/>
        </w:rPr>
        <w:t>years have passed since encumbrance or since funds were authorized without being encumbered</w:t>
      </w:r>
      <w:r w:rsidRPr="00391600">
        <w:rPr>
          <w:rFonts w:ascii="Palatino Linotype" w:hAnsi="Palatino Linotype" w:eastAsia="Palatino Linotype"/>
          <w:color w:val="000000" w:themeColor="text1"/>
        </w:rPr>
        <w:t xml:space="preserve">. </w:t>
      </w:r>
      <w:r w:rsidRPr="00391600" w:rsidR="70D537C7">
        <w:rPr>
          <w:rFonts w:ascii="Palatino Linotype" w:hAnsi="Palatino Linotype" w:eastAsia="Palatino Linotype"/>
          <w:color w:val="000000" w:themeColor="text1"/>
        </w:rPr>
        <w:t xml:space="preserve">Unspent funds </w:t>
      </w:r>
      <w:r w:rsidRPr="00391600" w:rsidR="000E5843">
        <w:rPr>
          <w:rFonts w:ascii="Palatino Linotype" w:hAnsi="Palatino Linotype" w:eastAsia="Palatino Linotype"/>
          <w:color w:val="000000" w:themeColor="text1"/>
        </w:rPr>
        <w:t>are</w:t>
      </w:r>
      <w:r w:rsidRPr="00391600" w:rsidR="70D537C7">
        <w:rPr>
          <w:rFonts w:ascii="Palatino Linotype" w:hAnsi="Palatino Linotype" w:eastAsia="Palatino Linotype"/>
          <w:color w:val="000000" w:themeColor="text1"/>
        </w:rPr>
        <w:t xml:space="preserve"> a normal occur</w:t>
      </w:r>
      <w:r w:rsidRPr="00391600" w:rsidR="58A7C7EE">
        <w:rPr>
          <w:rFonts w:ascii="Palatino Linotype" w:hAnsi="Palatino Linotype" w:eastAsia="Palatino Linotype"/>
          <w:color w:val="000000" w:themeColor="text1"/>
        </w:rPr>
        <w:t>r</w:t>
      </w:r>
      <w:r w:rsidRPr="00391600" w:rsidR="70D537C7">
        <w:rPr>
          <w:rFonts w:ascii="Palatino Linotype" w:hAnsi="Palatino Linotype" w:eastAsia="Palatino Linotype"/>
          <w:color w:val="000000" w:themeColor="text1"/>
        </w:rPr>
        <w:t>e</w:t>
      </w:r>
      <w:r w:rsidRPr="00391600" w:rsidR="1D0AA7A6">
        <w:rPr>
          <w:rFonts w:ascii="Palatino Linotype" w:hAnsi="Palatino Linotype" w:eastAsia="Palatino Linotype"/>
          <w:color w:val="000000" w:themeColor="text1"/>
        </w:rPr>
        <w:t xml:space="preserve">nce and may </w:t>
      </w:r>
      <w:r w:rsidRPr="00391600" w:rsidR="70D537C7">
        <w:rPr>
          <w:rFonts w:ascii="Palatino Linotype" w:hAnsi="Palatino Linotype" w:eastAsia="Palatino Linotype"/>
          <w:color w:val="000000" w:themeColor="text1"/>
        </w:rPr>
        <w:t xml:space="preserve">occur </w:t>
      </w:r>
      <w:r w:rsidRPr="00391600" w:rsidR="1822DACA">
        <w:rPr>
          <w:rFonts w:ascii="Palatino Linotype" w:hAnsi="Palatino Linotype" w:eastAsia="Palatino Linotype"/>
          <w:color w:val="000000" w:themeColor="text1"/>
        </w:rPr>
        <w:t xml:space="preserve">during program administration </w:t>
      </w:r>
      <w:r w:rsidRPr="00391600" w:rsidR="70D537C7">
        <w:rPr>
          <w:rFonts w:ascii="Palatino Linotype" w:hAnsi="Palatino Linotype" w:eastAsia="Palatino Linotype"/>
          <w:color w:val="000000" w:themeColor="text1"/>
        </w:rPr>
        <w:t>for a variety of reason</w:t>
      </w:r>
      <w:r w:rsidRPr="00391600" w:rsidR="00075DD9">
        <w:rPr>
          <w:rFonts w:ascii="Palatino Linotype" w:hAnsi="Palatino Linotype" w:eastAsia="Palatino Linotype"/>
          <w:color w:val="000000" w:themeColor="text1"/>
        </w:rPr>
        <w:t>s</w:t>
      </w:r>
      <w:r w:rsidRPr="00391600" w:rsidR="70D537C7">
        <w:rPr>
          <w:rFonts w:ascii="Palatino Linotype" w:hAnsi="Palatino Linotype" w:eastAsia="Palatino Linotype"/>
          <w:color w:val="000000" w:themeColor="text1"/>
        </w:rPr>
        <w:t xml:space="preserve">, including project termination, project completion under budget, </w:t>
      </w:r>
      <w:r w:rsidRPr="00391600" w:rsidR="4F0E70BD">
        <w:rPr>
          <w:rFonts w:ascii="Palatino Linotype" w:hAnsi="Palatino Linotype" w:eastAsia="Palatino Linotype"/>
          <w:color w:val="000000" w:themeColor="text1"/>
        </w:rPr>
        <w:t>project timeline extensions</w:t>
      </w:r>
      <w:r w:rsidRPr="00391600" w:rsidR="68FEA78E">
        <w:rPr>
          <w:rFonts w:ascii="Palatino Linotype" w:hAnsi="Palatino Linotype" w:eastAsia="Palatino Linotype"/>
          <w:color w:val="000000" w:themeColor="text1"/>
        </w:rPr>
        <w:t xml:space="preserve">, </w:t>
      </w:r>
      <w:r w:rsidRPr="00391600" w:rsidR="70D537C7">
        <w:rPr>
          <w:rFonts w:ascii="Palatino Linotype" w:hAnsi="Palatino Linotype" w:eastAsia="Palatino Linotype"/>
          <w:color w:val="000000" w:themeColor="text1"/>
        </w:rPr>
        <w:t xml:space="preserve">or insufficient project awards. </w:t>
      </w:r>
      <w:r w:rsidRPr="00391600" w:rsidR="51D56BAB">
        <w:rPr>
          <w:rFonts w:ascii="Palatino Linotype" w:hAnsi="Palatino Linotype" w:eastAsia="Palatino Linotype"/>
          <w:color w:val="000000" w:themeColor="text1"/>
        </w:rPr>
        <w:t xml:space="preserve">Consistent with prior directives, </w:t>
      </w:r>
      <w:r w:rsidRPr="00391600" w:rsidR="006A00AA">
        <w:rPr>
          <w:rFonts w:ascii="Palatino Linotype" w:hAnsi="Palatino Linotype" w:eastAsia="Palatino Linotype"/>
          <w:color w:val="000000" w:themeColor="text1"/>
        </w:rPr>
        <w:t>t</w:t>
      </w:r>
      <w:r w:rsidRPr="00391600" w:rsidR="006A00AA">
        <w:rPr>
          <w:rFonts w:ascii="Palatino Linotype" w:hAnsi="Palatino Linotype" w:eastAsia="Times New Roman"/>
          <w:color w:val="000000" w:themeColor="text1"/>
        </w:rPr>
        <w:t xml:space="preserve">he CEC shall first utilize </w:t>
      </w:r>
      <w:r w:rsidRPr="00391600" w:rsidR="009F7F87">
        <w:rPr>
          <w:rFonts w:ascii="Palatino Linotype" w:hAnsi="Palatino Linotype" w:eastAsia="Times New Roman"/>
          <w:color w:val="000000" w:themeColor="text1"/>
        </w:rPr>
        <w:t xml:space="preserve">this </w:t>
      </w:r>
      <w:r w:rsidRPr="00391600" w:rsidR="006A00AA">
        <w:rPr>
          <w:rFonts w:ascii="Palatino Linotype" w:hAnsi="Palatino Linotype" w:eastAsia="Palatino Linotype"/>
          <w:color w:val="000000" w:themeColor="text1"/>
        </w:rPr>
        <w:t xml:space="preserve">balance of </w:t>
      </w:r>
      <w:r w:rsidRPr="00391600" w:rsidR="003E2129">
        <w:rPr>
          <w:rFonts w:ascii="Palatino Linotype" w:hAnsi="Palatino Linotype" w:eastAsia="Palatino Linotype"/>
          <w:color w:val="000000" w:themeColor="text1"/>
        </w:rPr>
        <w:t xml:space="preserve">unencumbered and </w:t>
      </w:r>
      <w:r w:rsidRPr="00391600" w:rsidR="006A00AA">
        <w:rPr>
          <w:rFonts w:ascii="Palatino Linotype" w:hAnsi="Palatino Linotype" w:eastAsia="Palatino Linotype"/>
          <w:color w:val="000000" w:themeColor="text1"/>
        </w:rPr>
        <w:t>unspent</w:t>
      </w:r>
      <w:r w:rsidRPr="00391600" w:rsidR="006A00AA">
        <w:rPr>
          <w:rFonts w:ascii="Palatino Linotype" w:hAnsi="Palatino Linotype" w:eastAsia="Palatino Linotype"/>
          <w:b/>
          <w:bCs/>
          <w:color w:val="000000" w:themeColor="text1"/>
        </w:rPr>
        <w:t xml:space="preserve"> </w:t>
      </w:r>
      <w:r w:rsidRPr="00391600" w:rsidR="006A00AA">
        <w:rPr>
          <w:rFonts w:ascii="Palatino Linotype" w:hAnsi="Palatino Linotype" w:eastAsia="Palatino Linotype"/>
          <w:color w:val="000000" w:themeColor="text1"/>
        </w:rPr>
        <w:t xml:space="preserve">funds </w:t>
      </w:r>
      <w:r w:rsidRPr="00391600" w:rsidR="582CFA99">
        <w:rPr>
          <w:rFonts w:ascii="Palatino Linotype" w:hAnsi="Palatino Linotype" w:eastAsia="Palatino Linotype"/>
          <w:color w:val="000000" w:themeColor="text1"/>
        </w:rPr>
        <w:t xml:space="preserve">to fund its 2024 Plan </w:t>
      </w:r>
      <w:r w:rsidRPr="00391600" w:rsidR="006A00AA">
        <w:rPr>
          <w:rFonts w:ascii="Palatino Linotype" w:hAnsi="Palatino Linotype" w:eastAsia="Palatino Linotype"/>
          <w:color w:val="000000" w:themeColor="text1"/>
        </w:rPr>
        <w:t>g</w:t>
      </w:r>
      <w:r w:rsidRPr="00391600" w:rsidR="006A00AA">
        <w:rPr>
          <w:rFonts w:ascii="Palatino Linotype" w:hAnsi="Palatino Linotype"/>
          <w:color w:val="000000" w:themeColor="text1"/>
        </w:rPr>
        <w:t xml:space="preserve">iven </w:t>
      </w:r>
      <w:r w:rsidRPr="00391600" w:rsidR="009F7F87">
        <w:rPr>
          <w:rFonts w:ascii="Palatino Linotype" w:hAnsi="Palatino Linotype"/>
          <w:color w:val="000000" w:themeColor="text1"/>
        </w:rPr>
        <w:t xml:space="preserve">it </w:t>
      </w:r>
      <w:r w:rsidRPr="00391600" w:rsidR="006A00AA">
        <w:rPr>
          <w:rFonts w:ascii="Palatino Linotype" w:hAnsi="Palatino Linotype"/>
          <w:color w:val="000000" w:themeColor="text1"/>
        </w:rPr>
        <w:t>exceeds the $21.6</w:t>
      </w:r>
      <w:r w:rsidRPr="00391600" w:rsidR="00977155">
        <w:rPr>
          <w:rFonts w:ascii="Palatino Linotype" w:hAnsi="Palatino Linotype"/>
          <w:color w:val="000000" w:themeColor="text1"/>
        </w:rPr>
        <w:t>M</w:t>
      </w:r>
      <w:r w:rsidRPr="00391600" w:rsidR="005724CB">
        <w:rPr>
          <w:rFonts w:ascii="Palatino Linotype" w:hAnsi="Palatino Linotype"/>
          <w:color w:val="000000" w:themeColor="text1"/>
        </w:rPr>
        <w:t xml:space="preserve"> requested</w:t>
      </w:r>
      <w:r w:rsidRPr="00391600" w:rsidR="006A00AA">
        <w:rPr>
          <w:rFonts w:ascii="Palatino Linotype" w:hAnsi="Palatino Linotype"/>
          <w:color w:val="000000" w:themeColor="text1"/>
        </w:rPr>
        <w:t xml:space="preserve"> budget for Initiatives</w:t>
      </w:r>
      <w:r w:rsidRPr="00391600" w:rsidR="001D0E78">
        <w:rPr>
          <w:rFonts w:ascii="Palatino Linotype" w:hAnsi="Palatino Linotype"/>
          <w:color w:val="000000" w:themeColor="text1"/>
        </w:rPr>
        <w:t>.</w:t>
      </w:r>
      <w:r w:rsidRPr="00391600" w:rsidR="006A00AA">
        <w:rPr>
          <w:rFonts w:ascii="Palatino Linotype" w:hAnsi="Palatino Linotype"/>
          <w:color w:val="000000" w:themeColor="text1"/>
        </w:rPr>
        <w:t xml:space="preserve"> </w:t>
      </w:r>
    </w:p>
    <w:p w:rsidRPr="00391600" w:rsidR="00FE4818" w:rsidP="00591F15" w:rsidRDefault="633DC09B" w14:paraId="46006B8E" w14:textId="70824402">
      <w:pPr>
        <w:pStyle w:val="10sp0"/>
        <w:spacing w:line="276" w:lineRule="auto"/>
        <w:rPr>
          <w:rFonts w:ascii="Palatino Linotype" w:hAnsi="Palatino Linotype"/>
          <w:color w:val="000000" w:themeColor="text1"/>
        </w:rPr>
      </w:pPr>
      <w:r w:rsidRPr="00391600">
        <w:rPr>
          <w:rFonts w:ascii="Palatino Linotype" w:hAnsi="Palatino Linotype"/>
          <w:color w:val="000000" w:themeColor="text1"/>
        </w:rPr>
        <w:t xml:space="preserve">In response to Resolution comments, </w:t>
      </w:r>
      <w:r w:rsidRPr="00391600" w:rsidR="45C4114A">
        <w:rPr>
          <w:rFonts w:ascii="Palatino Linotype" w:hAnsi="Palatino Linotype"/>
          <w:color w:val="000000" w:themeColor="text1"/>
        </w:rPr>
        <w:t>t</w:t>
      </w:r>
      <w:r w:rsidRPr="00391600" w:rsidR="6FC85215">
        <w:rPr>
          <w:rFonts w:ascii="Palatino Linotype" w:hAnsi="Palatino Linotype"/>
          <w:color w:val="000000" w:themeColor="text1"/>
        </w:rPr>
        <w:t>his</w:t>
      </w:r>
      <w:r w:rsidRPr="00391600" w:rsidR="00F771B1">
        <w:rPr>
          <w:rFonts w:ascii="Palatino Linotype" w:hAnsi="Palatino Linotype"/>
          <w:color w:val="000000" w:themeColor="text1"/>
        </w:rPr>
        <w:t xml:space="preserve"> Resolution was modified to allow the CEC to collect </w:t>
      </w:r>
      <w:r w:rsidRPr="00391600" w:rsidR="05460E8A">
        <w:rPr>
          <w:rFonts w:ascii="Palatino Linotype" w:hAnsi="Palatino Linotype"/>
          <w:color w:val="000000" w:themeColor="text1"/>
        </w:rPr>
        <w:t>$2.4</w:t>
      </w:r>
      <w:r w:rsidRPr="00391600" w:rsidR="00977155">
        <w:rPr>
          <w:rFonts w:ascii="Palatino Linotype" w:hAnsi="Palatino Linotype"/>
          <w:color w:val="000000" w:themeColor="text1"/>
        </w:rPr>
        <w:t>M</w:t>
      </w:r>
      <w:r w:rsidRPr="00391600" w:rsidR="05460E8A">
        <w:rPr>
          <w:rFonts w:ascii="Palatino Linotype" w:hAnsi="Palatino Linotype"/>
          <w:color w:val="000000" w:themeColor="text1"/>
        </w:rPr>
        <w:t xml:space="preserve"> in </w:t>
      </w:r>
      <w:r w:rsidRPr="00391600" w:rsidR="00F771B1">
        <w:rPr>
          <w:rFonts w:ascii="Palatino Linotype" w:hAnsi="Palatino Linotype"/>
          <w:color w:val="000000" w:themeColor="text1"/>
        </w:rPr>
        <w:t>new</w:t>
      </w:r>
      <w:r w:rsidRPr="00391600" w:rsidR="7F634D1C">
        <w:rPr>
          <w:rFonts w:ascii="Palatino Linotype" w:hAnsi="Palatino Linotype"/>
          <w:color w:val="000000" w:themeColor="text1"/>
        </w:rPr>
        <w:t>, additional</w:t>
      </w:r>
      <w:r w:rsidRPr="00391600" w:rsidR="00F771B1">
        <w:rPr>
          <w:rFonts w:ascii="Palatino Linotype" w:hAnsi="Palatino Linotype"/>
          <w:color w:val="000000" w:themeColor="text1"/>
        </w:rPr>
        <w:t xml:space="preserve"> ratepayer funds to support the administrative needs of implementing its 2024 </w:t>
      </w:r>
      <w:r w:rsidRPr="00391600" w:rsidR="4AB68426">
        <w:rPr>
          <w:rFonts w:ascii="Palatino Linotype" w:hAnsi="Palatino Linotype"/>
          <w:color w:val="000000" w:themeColor="text1"/>
        </w:rPr>
        <w:t xml:space="preserve">and 2025 </w:t>
      </w:r>
      <w:r w:rsidRPr="00391600" w:rsidR="00F771B1">
        <w:rPr>
          <w:rFonts w:ascii="Palatino Linotype" w:hAnsi="Palatino Linotype"/>
          <w:color w:val="000000" w:themeColor="text1"/>
        </w:rPr>
        <w:t>Gas RD&amp;D Plan</w:t>
      </w:r>
      <w:r w:rsidRPr="00391600" w:rsidR="3080C7B8">
        <w:rPr>
          <w:rFonts w:ascii="Palatino Linotype" w:hAnsi="Palatino Linotype"/>
          <w:color w:val="000000" w:themeColor="text1"/>
        </w:rPr>
        <w:t>s</w:t>
      </w:r>
      <w:r w:rsidRPr="00391600" w:rsidR="00F771B1">
        <w:rPr>
          <w:rFonts w:ascii="Palatino Linotype" w:hAnsi="Palatino Linotype"/>
          <w:color w:val="000000" w:themeColor="text1"/>
        </w:rPr>
        <w:t xml:space="preserve">. The CEC may collect </w:t>
      </w:r>
      <w:r w:rsidRPr="00391600" w:rsidR="0068380A">
        <w:rPr>
          <w:rFonts w:ascii="Palatino Linotype" w:hAnsi="Palatino Linotype"/>
          <w:color w:val="000000" w:themeColor="text1"/>
        </w:rPr>
        <w:t>an additional</w:t>
      </w:r>
      <w:r w:rsidRPr="00391600" w:rsidR="00E60027">
        <w:rPr>
          <w:rFonts w:ascii="Palatino Linotype" w:hAnsi="Palatino Linotype"/>
          <w:color w:val="000000" w:themeColor="text1"/>
        </w:rPr>
        <w:t xml:space="preserve"> </w:t>
      </w:r>
      <w:r w:rsidRPr="00391600" w:rsidR="00E60027">
        <w:rPr>
          <w:rFonts w:ascii="Palatino Linotype" w:hAnsi="Palatino Linotype"/>
          <w:color w:val="000000" w:themeColor="text1"/>
        </w:rPr>
        <w:lastRenderedPageBreak/>
        <w:t xml:space="preserve">and limited </w:t>
      </w:r>
      <w:r w:rsidRPr="00391600" w:rsidR="00F771B1">
        <w:rPr>
          <w:rFonts w:ascii="Palatino Linotype" w:hAnsi="Palatino Linotype"/>
          <w:color w:val="000000" w:themeColor="text1"/>
        </w:rPr>
        <w:t>$2.4</w:t>
      </w:r>
      <w:r w:rsidRPr="00391600" w:rsidR="00977155">
        <w:rPr>
          <w:rFonts w:ascii="Palatino Linotype" w:hAnsi="Palatino Linotype"/>
          <w:color w:val="000000" w:themeColor="text1"/>
        </w:rPr>
        <w:t>M</w:t>
      </w:r>
      <w:r w:rsidRPr="00391600" w:rsidR="00F771B1">
        <w:rPr>
          <w:rFonts w:ascii="Palatino Linotype" w:hAnsi="Palatino Linotype"/>
          <w:color w:val="000000" w:themeColor="text1"/>
        </w:rPr>
        <w:t xml:space="preserve"> in new ratepayer funds for administrative costs</w:t>
      </w:r>
      <w:r w:rsidRPr="00391600" w:rsidR="607ABCB8">
        <w:rPr>
          <w:rFonts w:ascii="Palatino Linotype" w:hAnsi="Palatino Linotype"/>
          <w:color w:val="000000" w:themeColor="text1"/>
        </w:rPr>
        <w:t xml:space="preserve"> for both </w:t>
      </w:r>
      <w:r w:rsidRPr="00391600" w:rsidR="001C078A">
        <w:rPr>
          <w:rFonts w:ascii="Palatino Linotype" w:hAnsi="Palatino Linotype"/>
          <w:color w:val="000000" w:themeColor="text1"/>
        </w:rPr>
        <w:t xml:space="preserve">the </w:t>
      </w:r>
      <w:r w:rsidRPr="00391600" w:rsidR="607ABCB8">
        <w:rPr>
          <w:rFonts w:ascii="Palatino Linotype" w:hAnsi="Palatino Linotype"/>
          <w:color w:val="000000" w:themeColor="text1"/>
        </w:rPr>
        <w:t>2024 Plan Year and 2025 Plan Year</w:t>
      </w:r>
      <w:r w:rsidRPr="00391600" w:rsidR="00E908B5">
        <w:rPr>
          <w:rFonts w:ascii="Palatino Linotype" w:hAnsi="Palatino Linotype"/>
          <w:color w:val="000000" w:themeColor="text1"/>
        </w:rPr>
        <w:t>, consistent with</w:t>
      </w:r>
      <w:r w:rsidRPr="00391600" w:rsidR="00502FCF">
        <w:rPr>
          <w:rFonts w:ascii="Palatino Linotype" w:hAnsi="Palatino Linotype"/>
          <w:color w:val="000000" w:themeColor="text1"/>
        </w:rPr>
        <w:t xml:space="preserve"> $2.4</w:t>
      </w:r>
      <w:r w:rsidRPr="00391600" w:rsidR="00977155">
        <w:rPr>
          <w:rFonts w:ascii="Palatino Linotype" w:hAnsi="Palatino Linotype"/>
          <w:color w:val="000000" w:themeColor="text1"/>
        </w:rPr>
        <w:t>M</w:t>
      </w:r>
      <w:r w:rsidRPr="00391600" w:rsidR="00502FCF">
        <w:rPr>
          <w:rFonts w:ascii="Palatino Linotype" w:hAnsi="Palatino Linotype"/>
          <w:color w:val="000000" w:themeColor="text1"/>
        </w:rPr>
        <w:t xml:space="preserve"> allocated in previous years </w:t>
      </w:r>
      <w:r w:rsidRPr="00391600" w:rsidR="0053391F">
        <w:rPr>
          <w:rFonts w:ascii="Palatino Linotype" w:hAnsi="Palatino Linotype"/>
          <w:color w:val="000000" w:themeColor="text1"/>
        </w:rPr>
        <w:t>for</w:t>
      </w:r>
      <w:r w:rsidRPr="00391600" w:rsidR="00502FCF">
        <w:rPr>
          <w:rFonts w:ascii="Palatino Linotype" w:hAnsi="Palatino Linotype"/>
          <w:color w:val="000000" w:themeColor="text1"/>
        </w:rPr>
        <w:t xml:space="preserve"> administrative costs</w:t>
      </w:r>
      <w:r w:rsidRPr="00391600" w:rsidR="00E908B5">
        <w:rPr>
          <w:rFonts w:ascii="Palatino Linotype" w:hAnsi="Palatino Linotype"/>
          <w:color w:val="000000" w:themeColor="text1"/>
        </w:rPr>
        <w:t>.</w:t>
      </w:r>
      <w:r w:rsidRPr="00391600" w:rsidR="00F771B1">
        <w:rPr>
          <w:rFonts w:ascii="Palatino Linotype" w:hAnsi="Palatino Linotype"/>
          <w:color w:val="000000" w:themeColor="text1"/>
        </w:rPr>
        <w:t xml:space="preserve"> </w:t>
      </w:r>
      <w:r w:rsidRPr="00391600" w:rsidR="00AC0CB3">
        <w:rPr>
          <w:rFonts w:ascii="Palatino Linotype" w:hAnsi="Palatino Linotype"/>
          <w:color w:val="000000" w:themeColor="text1"/>
        </w:rPr>
        <w:t xml:space="preserve">This </w:t>
      </w:r>
      <w:r w:rsidRPr="00391600" w:rsidR="776B26E0">
        <w:rPr>
          <w:rFonts w:ascii="Palatino Linotype" w:hAnsi="Palatino Linotype"/>
          <w:color w:val="000000" w:themeColor="text1"/>
        </w:rPr>
        <w:t>additional ratepayer funding</w:t>
      </w:r>
      <w:r w:rsidRPr="00391600" w:rsidR="00AC0CB3">
        <w:rPr>
          <w:rFonts w:ascii="Palatino Linotype" w:hAnsi="Palatino Linotype"/>
          <w:color w:val="000000" w:themeColor="text1"/>
        </w:rPr>
        <w:t xml:space="preserve"> represents a</w:t>
      </w:r>
      <w:r w:rsidRPr="00391600" w:rsidR="005B2948">
        <w:rPr>
          <w:rFonts w:ascii="Palatino Linotype" w:hAnsi="Palatino Linotype"/>
          <w:color w:val="000000" w:themeColor="text1"/>
        </w:rPr>
        <w:t xml:space="preserve">n exception </w:t>
      </w:r>
      <w:r w:rsidRPr="00391600" w:rsidR="00C244A4">
        <w:rPr>
          <w:rFonts w:ascii="Palatino Linotype" w:hAnsi="Palatino Linotype"/>
          <w:color w:val="000000" w:themeColor="text1"/>
        </w:rPr>
        <w:t>to</w:t>
      </w:r>
      <w:r w:rsidRPr="00391600" w:rsidR="005B2948">
        <w:rPr>
          <w:rFonts w:ascii="Palatino Linotype" w:hAnsi="Palatino Linotype"/>
          <w:color w:val="000000" w:themeColor="text1"/>
        </w:rPr>
        <w:t xml:space="preserve"> </w:t>
      </w:r>
      <w:r w:rsidRPr="00391600" w:rsidR="00F771B1">
        <w:rPr>
          <w:rFonts w:ascii="Palatino Linotype" w:hAnsi="Palatino Linotype"/>
          <w:color w:val="000000" w:themeColor="text1"/>
        </w:rPr>
        <w:t xml:space="preserve">the Commission’s </w:t>
      </w:r>
      <w:r w:rsidRPr="00391600" w:rsidR="00BD7185">
        <w:rPr>
          <w:rFonts w:ascii="Palatino Linotype" w:hAnsi="Palatino Linotype"/>
          <w:color w:val="000000" w:themeColor="text1"/>
        </w:rPr>
        <w:t xml:space="preserve">requirement </w:t>
      </w:r>
      <w:r w:rsidRPr="00391600" w:rsidR="00BC71E9">
        <w:rPr>
          <w:rFonts w:ascii="Palatino Linotype" w:hAnsi="Palatino Linotype"/>
          <w:color w:val="000000" w:themeColor="text1"/>
        </w:rPr>
        <w:t>for a 10</w:t>
      </w:r>
      <w:r w:rsidRPr="00391600" w:rsidR="007F6895">
        <w:rPr>
          <w:rFonts w:ascii="Palatino Linotype" w:hAnsi="Palatino Linotype"/>
          <w:color w:val="000000" w:themeColor="text1"/>
        </w:rPr>
        <w:t xml:space="preserve">% </w:t>
      </w:r>
      <w:r w:rsidRPr="00391600" w:rsidR="00124BD6">
        <w:rPr>
          <w:rFonts w:ascii="Palatino Linotype" w:hAnsi="Palatino Linotype"/>
          <w:color w:val="000000" w:themeColor="text1"/>
        </w:rPr>
        <w:t xml:space="preserve">budget </w:t>
      </w:r>
      <w:r w:rsidRPr="00391600" w:rsidR="00941E29">
        <w:rPr>
          <w:rFonts w:ascii="Palatino Linotype" w:hAnsi="Palatino Linotype"/>
          <w:color w:val="000000" w:themeColor="text1"/>
        </w:rPr>
        <w:t xml:space="preserve">cap </w:t>
      </w:r>
      <w:r w:rsidRPr="00391600" w:rsidR="480DD14C">
        <w:rPr>
          <w:rFonts w:ascii="Palatino Linotype" w:hAnsi="Palatino Linotype"/>
          <w:color w:val="000000" w:themeColor="text1"/>
        </w:rPr>
        <w:t xml:space="preserve">on administrative funding of a </w:t>
      </w:r>
      <w:r w:rsidRPr="00391600" w:rsidR="00F771B1">
        <w:rPr>
          <w:rFonts w:ascii="Palatino Linotype" w:hAnsi="Palatino Linotype"/>
          <w:color w:val="000000" w:themeColor="text1"/>
        </w:rPr>
        <w:t xml:space="preserve">CEC </w:t>
      </w:r>
      <w:r w:rsidRPr="00391600" w:rsidR="2A87CEF4">
        <w:rPr>
          <w:rFonts w:ascii="Palatino Linotype" w:hAnsi="Palatino Linotype"/>
          <w:color w:val="000000" w:themeColor="text1"/>
        </w:rPr>
        <w:t>annual</w:t>
      </w:r>
      <w:r w:rsidRPr="00391600" w:rsidR="00A543C1">
        <w:rPr>
          <w:rFonts w:ascii="Palatino Linotype" w:hAnsi="Palatino Linotype"/>
          <w:color w:val="000000" w:themeColor="text1"/>
        </w:rPr>
        <w:t xml:space="preserve"> </w:t>
      </w:r>
      <w:r w:rsidRPr="00391600" w:rsidR="00E2696F">
        <w:rPr>
          <w:rFonts w:ascii="Palatino Linotype" w:hAnsi="Palatino Linotype"/>
          <w:color w:val="000000" w:themeColor="text1"/>
        </w:rPr>
        <w:t xml:space="preserve">total </w:t>
      </w:r>
      <w:r w:rsidRPr="00391600" w:rsidR="00EE41DC">
        <w:rPr>
          <w:rFonts w:ascii="Palatino Linotype" w:hAnsi="Palatino Linotype"/>
          <w:color w:val="000000" w:themeColor="text1"/>
        </w:rPr>
        <w:t xml:space="preserve">budget </w:t>
      </w:r>
      <w:r w:rsidRPr="00391600" w:rsidR="00801BCB">
        <w:rPr>
          <w:rFonts w:ascii="Palatino Linotype" w:hAnsi="Palatino Linotype"/>
          <w:color w:val="000000" w:themeColor="text1"/>
        </w:rPr>
        <w:t>level</w:t>
      </w:r>
      <w:r w:rsidRPr="00391600" w:rsidR="00F771B1">
        <w:rPr>
          <w:rFonts w:ascii="Palatino Linotype" w:hAnsi="Palatino Linotype"/>
          <w:color w:val="000000" w:themeColor="text1"/>
        </w:rPr>
        <w:t xml:space="preserve"> adopted in Resolution G-3546 (2019) and </w:t>
      </w:r>
      <w:r w:rsidRPr="00391600" w:rsidR="4F6C4396">
        <w:rPr>
          <w:rFonts w:ascii="Palatino Linotype" w:hAnsi="Palatino Linotype"/>
          <w:color w:val="000000" w:themeColor="text1"/>
        </w:rPr>
        <w:t xml:space="preserve">reiterated </w:t>
      </w:r>
      <w:r w:rsidRPr="00391600" w:rsidR="00F771B1">
        <w:rPr>
          <w:rFonts w:ascii="Palatino Linotype" w:hAnsi="Palatino Linotype"/>
          <w:color w:val="000000" w:themeColor="text1"/>
        </w:rPr>
        <w:t>in Resolution G-3592 (2023).</w:t>
      </w:r>
      <w:r w:rsidRPr="00391600">
        <w:rPr>
          <w:rStyle w:val="FootnoteReference"/>
          <w:rFonts w:ascii="Palatino Linotype" w:hAnsi="Palatino Linotype"/>
          <w:color w:val="000000" w:themeColor="text1"/>
        </w:rPr>
        <w:footnoteReference w:id="68"/>
      </w:r>
      <w:r w:rsidRPr="00391600" w:rsidR="00935EF7">
        <w:rPr>
          <w:rFonts w:ascii="Palatino Linotype" w:hAnsi="Palatino Linotype"/>
          <w:color w:val="000000" w:themeColor="text1"/>
        </w:rPr>
        <w:t xml:space="preserve"> See further explanation in the Comments section of this Resolution.</w:t>
      </w:r>
    </w:p>
    <w:tbl>
      <w:tblPr>
        <w:tblStyle w:val="TableGrid"/>
        <w:tblW w:w="9558" w:type="dxa"/>
        <w:tblInd w:w="-113" w:type="dxa"/>
        <w:tblLayout w:type="fixed"/>
        <w:tblLook w:val="04A0" w:firstRow="1" w:lastRow="0" w:firstColumn="1" w:lastColumn="0" w:noHBand="0" w:noVBand="1"/>
      </w:tblPr>
      <w:tblGrid>
        <w:gridCol w:w="6768"/>
        <w:gridCol w:w="990"/>
        <w:gridCol w:w="1800"/>
      </w:tblGrid>
      <w:tr w:rsidRPr="00391600" w:rsidR="00465E31" w:rsidTr="6FAFEDE3" w14:paraId="282217A9" w14:textId="77777777">
        <w:tc>
          <w:tcPr>
            <w:tcW w:w="9558" w:type="dxa"/>
            <w:gridSpan w:val="3"/>
          </w:tcPr>
          <w:p w:rsidRPr="00391600" w:rsidR="00465E31" w:rsidRDefault="00465E31" w14:paraId="3A682E94" w14:textId="48D5A5A6">
            <w:pPr>
              <w:jc w:val="center"/>
              <w:rPr>
                <w:rFonts w:ascii="Palatino Linotype" w:hAnsi="Palatino Linotype"/>
                <w:b/>
                <w:bCs/>
                <w:color w:val="000000" w:themeColor="text1"/>
              </w:rPr>
            </w:pPr>
            <w:r w:rsidRPr="00391600">
              <w:rPr>
                <w:rFonts w:ascii="Palatino Linotype" w:hAnsi="Palatino Linotype"/>
                <w:b/>
                <w:bCs/>
                <w:color w:val="000000" w:themeColor="text1"/>
              </w:rPr>
              <w:t xml:space="preserve">Table </w:t>
            </w:r>
            <w:r w:rsidRPr="00391600" w:rsidR="00A62009">
              <w:rPr>
                <w:rFonts w:ascii="Palatino Linotype" w:hAnsi="Palatino Linotype"/>
                <w:b/>
                <w:bCs/>
                <w:color w:val="000000" w:themeColor="text1"/>
              </w:rPr>
              <w:t>5</w:t>
            </w:r>
            <w:r w:rsidRPr="00391600">
              <w:rPr>
                <w:rFonts w:ascii="Palatino Linotype" w:hAnsi="Palatino Linotype"/>
                <w:b/>
                <w:bCs/>
                <w:color w:val="000000" w:themeColor="text1"/>
              </w:rPr>
              <w:t>: CEC’s 2024 Gas RD&amp;D Plan Budgets</w:t>
            </w:r>
          </w:p>
        </w:tc>
      </w:tr>
      <w:tr w:rsidRPr="00391600" w:rsidR="00825E53" w:rsidTr="6FAFEDE3" w14:paraId="3598CCC4" w14:textId="77777777">
        <w:tc>
          <w:tcPr>
            <w:tcW w:w="6768" w:type="dxa"/>
            <w:tcBorders>
              <w:right w:val="single" w:color="auto" w:sz="4" w:space="0"/>
            </w:tcBorders>
          </w:tcPr>
          <w:p w:rsidRPr="00391600" w:rsidR="00825E53" w:rsidP="00825E53" w:rsidRDefault="253BD1B7" w14:paraId="38D1FFD5" w14:textId="1E4F4E14">
            <w:pPr>
              <w:rPr>
                <w:rFonts w:ascii="Palatino Linotype" w:hAnsi="Palatino Linotype"/>
                <w:b/>
                <w:bCs/>
                <w:color w:val="000000" w:themeColor="text1"/>
                <w:sz w:val="22"/>
                <w:szCs w:val="22"/>
              </w:rPr>
            </w:pPr>
            <w:r w:rsidRPr="00391600">
              <w:rPr>
                <w:rFonts w:ascii="Palatino Linotype" w:hAnsi="Palatino Linotype"/>
                <w:color w:val="000000" w:themeColor="text1"/>
                <w:sz w:val="22"/>
                <w:szCs w:val="22"/>
              </w:rPr>
              <w:t xml:space="preserve">Total Identified </w:t>
            </w:r>
            <w:r w:rsidRPr="00391600" w:rsidR="1F4CC60E">
              <w:rPr>
                <w:rFonts w:ascii="Palatino Linotype" w:hAnsi="Palatino Linotype"/>
                <w:color w:val="000000" w:themeColor="text1"/>
                <w:sz w:val="22"/>
                <w:szCs w:val="22"/>
              </w:rPr>
              <w:t>Unspent Funds per April 30, 2026, Data Request</w:t>
            </w:r>
            <w:r w:rsidRPr="00391600" w:rsidR="00B03DC9">
              <w:rPr>
                <w:rStyle w:val="FootnoteReference"/>
                <w:rFonts w:ascii="Palatino Linotype" w:hAnsi="Palatino Linotype"/>
                <w:b/>
                <w:bCs/>
                <w:color w:val="000000" w:themeColor="text1"/>
                <w:sz w:val="22"/>
                <w:szCs w:val="22"/>
              </w:rPr>
              <w:footnoteReference w:id="69"/>
            </w:r>
          </w:p>
        </w:tc>
        <w:tc>
          <w:tcPr>
            <w:tcW w:w="990" w:type="dxa"/>
            <w:tcBorders>
              <w:top w:val="single" w:color="auto" w:sz="4" w:space="0"/>
              <w:left w:val="single" w:color="auto" w:sz="4" w:space="0"/>
              <w:bottom w:val="single" w:color="auto" w:sz="4" w:space="0"/>
              <w:right w:val="nil"/>
            </w:tcBorders>
            <w:vAlign w:val="center"/>
          </w:tcPr>
          <w:p w:rsidRPr="00391600" w:rsidR="00825E53" w:rsidP="00825E53" w:rsidRDefault="00825E53" w14:paraId="6B5053C3" w14:textId="4CAD572D">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tcPr>
          <w:p w:rsidRPr="00391600" w:rsidR="00825E53" w:rsidP="00825E53" w:rsidRDefault="00825E53" w14:paraId="03AA4153" w14:textId="637327E9">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31,076,69</w:t>
            </w:r>
            <w:r w:rsidRPr="00391600" w:rsidR="00591F15">
              <w:rPr>
                <w:rFonts w:ascii="Palatino Linotype" w:hAnsi="Palatino Linotype"/>
                <w:color w:val="000000" w:themeColor="text1"/>
                <w:sz w:val="22"/>
                <w:szCs w:val="22"/>
              </w:rPr>
              <w:t>0</w:t>
            </w:r>
          </w:p>
        </w:tc>
      </w:tr>
      <w:tr w:rsidRPr="00391600" w:rsidR="00465E31" w:rsidTr="6FAFEDE3" w14:paraId="5CED8627" w14:textId="77777777">
        <w:tc>
          <w:tcPr>
            <w:tcW w:w="6768" w:type="dxa"/>
            <w:tcBorders>
              <w:right w:val="single" w:color="auto" w:sz="4" w:space="0"/>
            </w:tcBorders>
          </w:tcPr>
          <w:p w:rsidRPr="00391600" w:rsidR="00465E31" w:rsidRDefault="00430474" w14:paraId="3ADCB26D" w14:textId="53CEFCE5">
            <w:pPr>
              <w:rPr>
                <w:rFonts w:ascii="Palatino Linotype" w:hAnsi="Palatino Linotype"/>
                <w:color w:val="000000" w:themeColor="text1"/>
                <w:sz w:val="22"/>
                <w:szCs w:val="22"/>
              </w:rPr>
            </w:pPr>
            <w:r w:rsidRPr="00391600">
              <w:rPr>
                <w:rFonts w:ascii="Palatino Linotype" w:hAnsi="Palatino Linotype"/>
                <w:b/>
                <w:bCs/>
                <w:color w:val="000000" w:themeColor="text1"/>
                <w:sz w:val="22"/>
                <w:szCs w:val="22"/>
              </w:rPr>
              <w:t xml:space="preserve">Utilized </w:t>
            </w:r>
            <w:r w:rsidRPr="00391600" w:rsidR="00465E31">
              <w:rPr>
                <w:rFonts w:ascii="Palatino Linotype" w:hAnsi="Palatino Linotype"/>
                <w:b/>
                <w:bCs/>
                <w:color w:val="000000" w:themeColor="text1"/>
                <w:sz w:val="22"/>
                <w:szCs w:val="22"/>
              </w:rPr>
              <w:t>Unspent Funds</w:t>
            </w:r>
            <w:r w:rsidRPr="00391600" w:rsidR="0061598E">
              <w:rPr>
                <w:rFonts w:ascii="Palatino Linotype" w:hAnsi="Palatino Linotype"/>
                <w:b/>
                <w:bCs/>
                <w:color w:val="000000" w:themeColor="text1"/>
                <w:sz w:val="22"/>
                <w:szCs w:val="22"/>
              </w:rPr>
              <w:t xml:space="preserve"> for Initiatives</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3FB5E294"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465E31" w14:paraId="3FC21F95" w14:textId="20D113A3">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21,600,000</w:t>
            </w:r>
          </w:p>
        </w:tc>
      </w:tr>
      <w:tr w:rsidRPr="00391600" w:rsidR="00465E31" w:rsidTr="6FAFEDE3" w14:paraId="74973485" w14:textId="77777777">
        <w:tc>
          <w:tcPr>
            <w:tcW w:w="6768" w:type="dxa"/>
            <w:tcBorders>
              <w:right w:val="single" w:color="auto" w:sz="4" w:space="0"/>
            </w:tcBorders>
          </w:tcPr>
          <w:p w:rsidRPr="00391600" w:rsidR="00465E31" w:rsidRDefault="00465E31" w14:paraId="1F406448"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New Ratepayer Funds for Initiatives</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0453D708"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465E31" w14:paraId="1F6CFC37" w14:textId="77777777">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0</w:t>
            </w:r>
          </w:p>
        </w:tc>
      </w:tr>
      <w:tr w:rsidRPr="00391600" w:rsidR="00465E31" w:rsidTr="6FAFEDE3" w14:paraId="0CE6A356" w14:textId="77777777">
        <w:tc>
          <w:tcPr>
            <w:tcW w:w="6768" w:type="dxa"/>
            <w:tcBorders>
              <w:right w:val="single" w:color="auto" w:sz="4" w:space="0"/>
            </w:tcBorders>
          </w:tcPr>
          <w:p w:rsidRPr="00391600" w:rsidR="00465E31" w:rsidRDefault="00465E31" w14:paraId="67C6D13E"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New Ratepayer Funds for Program Administration</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51562C56"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591F15" w14:paraId="71EFBFE6" w14:textId="0E5EDD53">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2,400,000</w:t>
            </w:r>
          </w:p>
        </w:tc>
      </w:tr>
      <w:tr w:rsidRPr="00391600" w:rsidR="00465E31" w:rsidTr="6FAFEDE3" w14:paraId="20E8881E" w14:textId="77777777">
        <w:tc>
          <w:tcPr>
            <w:tcW w:w="6768" w:type="dxa"/>
            <w:tcBorders>
              <w:right w:val="single" w:color="auto" w:sz="4" w:space="0"/>
            </w:tcBorders>
          </w:tcPr>
          <w:p w:rsidRPr="00391600" w:rsidR="00465E31" w:rsidRDefault="00465E31" w14:paraId="0714D451"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New Ratepayer Funds</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4521D223"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591F15" w14:paraId="3D8750B9" w14:textId="685D74CB">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2,400,000</w:t>
            </w:r>
            <w:r w:rsidRPr="00391600" w:rsidR="00465E31">
              <w:rPr>
                <w:rFonts w:ascii="Palatino Linotype" w:hAnsi="Palatino Linotype"/>
                <w:color w:val="000000" w:themeColor="text1"/>
                <w:sz w:val="22"/>
                <w:szCs w:val="22"/>
              </w:rPr>
              <w:t xml:space="preserve">     </w:t>
            </w:r>
          </w:p>
        </w:tc>
      </w:tr>
      <w:tr w:rsidRPr="00391600" w:rsidR="00465E31" w:rsidTr="6FAFEDE3" w14:paraId="784614C0" w14:textId="77777777">
        <w:tc>
          <w:tcPr>
            <w:tcW w:w="6768" w:type="dxa"/>
            <w:tcBorders>
              <w:right w:val="single" w:color="auto" w:sz="4" w:space="0"/>
            </w:tcBorders>
          </w:tcPr>
          <w:p w:rsidRPr="00391600" w:rsidR="00465E31" w:rsidRDefault="00465E31" w14:paraId="13BAACCF"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Budget for Initiatives</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7B8446BB"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465E31" w14:paraId="1C9A635B" w14:textId="77777777">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21,600,000</w:t>
            </w:r>
          </w:p>
        </w:tc>
      </w:tr>
      <w:tr w:rsidRPr="00391600" w:rsidR="00465E31" w:rsidTr="6FAFEDE3" w14:paraId="7548CD12" w14:textId="77777777">
        <w:tc>
          <w:tcPr>
            <w:tcW w:w="6768" w:type="dxa"/>
            <w:tcBorders>
              <w:right w:val="single" w:color="auto" w:sz="4" w:space="0"/>
            </w:tcBorders>
          </w:tcPr>
          <w:p w:rsidRPr="00391600" w:rsidR="00465E31" w:rsidRDefault="00465E31" w14:paraId="339711D2"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Budget for Program Administration</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459379BC"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A97EB6" w14:paraId="45B1EFF9" w14:textId="5FA98F7F">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2,400,000</w:t>
            </w:r>
          </w:p>
        </w:tc>
      </w:tr>
      <w:tr w:rsidRPr="00391600" w:rsidR="00465E31" w:rsidTr="6FAFEDE3" w14:paraId="013768AC" w14:textId="77777777">
        <w:tc>
          <w:tcPr>
            <w:tcW w:w="6768" w:type="dxa"/>
            <w:tcBorders>
              <w:right w:val="single" w:color="auto" w:sz="4" w:space="0"/>
            </w:tcBorders>
          </w:tcPr>
          <w:p w:rsidRPr="00391600" w:rsidR="00465E31" w:rsidRDefault="00426D5F" w14:paraId="04F0114C" w14:textId="7F354804">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ANNUAL BUDGET</w:t>
            </w:r>
          </w:p>
        </w:tc>
        <w:tc>
          <w:tcPr>
            <w:tcW w:w="990" w:type="dxa"/>
            <w:tcBorders>
              <w:top w:val="single" w:color="auto" w:sz="4" w:space="0"/>
              <w:left w:val="single" w:color="auto" w:sz="4" w:space="0"/>
              <w:bottom w:val="single" w:color="auto" w:sz="4" w:space="0"/>
              <w:right w:val="nil"/>
            </w:tcBorders>
            <w:vAlign w:val="center"/>
          </w:tcPr>
          <w:p w:rsidRPr="00391600" w:rsidR="00465E31" w:rsidRDefault="00465E31" w14:paraId="08D43780" w14:textId="77777777">
            <w:pPr>
              <w:rPr>
                <w:rFonts w:ascii="Palatino Linotype" w:hAnsi="Palatino Linotype"/>
                <w:b/>
                <w:bCs/>
                <w:color w:val="000000" w:themeColor="text1"/>
                <w:sz w:val="22"/>
                <w:szCs w:val="22"/>
              </w:rPr>
            </w:pPr>
            <w:r w:rsidRPr="00391600">
              <w:rPr>
                <w:rFonts w:ascii="Palatino Linotype" w:hAnsi="Palatino Linotype"/>
                <w:color w:val="000000" w:themeColor="text1"/>
                <w:sz w:val="22"/>
                <w:szCs w:val="22"/>
              </w:rPr>
              <w:t>$</w:t>
            </w:r>
          </w:p>
        </w:tc>
        <w:tc>
          <w:tcPr>
            <w:tcW w:w="1800" w:type="dxa"/>
            <w:tcBorders>
              <w:top w:val="single" w:color="auto" w:sz="4" w:space="0"/>
              <w:left w:val="nil"/>
              <w:bottom w:val="single" w:color="auto" w:sz="4" w:space="0"/>
              <w:right w:val="single" w:color="auto" w:sz="4" w:space="0"/>
            </w:tcBorders>
            <w:vAlign w:val="center"/>
          </w:tcPr>
          <w:p w:rsidRPr="00391600" w:rsidR="00465E31" w:rsidRDefault="00465E31" w14:paraId="5061E764" w14:textId="40F281E3">
            <w:pPr>
              <w:jc w:val="right"/>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2</w:t>
            </w:r>
            <w:r w:rsidRPr="00391600" w:rsidR="00EC0B8D">
              <w:rPr>
                <w:rFonts w:ascii="Palatino Linotype" w:hAnsi="Palatino Linotype"/>
                <w:b/>
                <w:bCs/>
                <w:color w:val="000000" w:themeColor="text1"/>
                <w:sz w:val="22"/>
                <w:szCs w:val="22"/>
              </w:rPr>
              <w:t>4</w:t>
            </w:r>
            <w:r w:rsidRPr="00391600">
              <w:rPr>
                <w:rFonts w:ascii="Palatino Linotype" w:hAnsi="Palatino Linotype"/>
                <w:b/>
                <w:bCs/>
                <w:color w:val="000000" w:themeColor="text1"/>
                <w:sz w:val="22"/>
                <w:szCs w:val="22"/>
              </w:rPr>
              <w:t>,</w:t>
            </w:r>
            <w:r w:rsidRPr="00391600" w:rsidR="00EC0B8D">
              <w:rPr>
                <w:rFonts w:ascii="Palatino Linotype" w:hAnsi="Palatino Linotype"/>
                <w:b/>
                <w:bCs/>
                <w:color w:val="000000" w:themeColor="text1"/>
                <w:sz w:val="22"/>
                <w:szCs w:val="22"/>
              </w:rPr>
              <w:t>0</w:t>
            </w:r>
            <w:r w:rsidRPr="00391600">
              <w:rPr>
                <w:rFonts w:ascii="Palatino Linotype" w:hAnsi="Palatino Linotype"/>
                <w:b/>
                <w:bCs/>
                <w:color w:val="000000" w:themeColor="text1"/>
                <w:sz w:val="22"/>
                <w:szCs w:val="22"/>
              </w:rPr>
              <w:t>00,000</w:t>
            </w:r>
          </w:p>
        </w:tc>
      </w:tr>
    </w:tbl>
    <w:p w:rsidRPr="00391600" w:rsidR="00465E31" w:rsidP="00B609BE" w:rsidRDefault="00465E31" w14:paraId="02DE6406" w14:textId="77777777">
      <w:pPr>
        <w:pStyle w:val="10sp0"/>
        <w:spacing w:before="240" w:after="0" w:line="276" w:lineRule="auto"/>
        <w:rPr>
          <w:rFonts w:ascii="Palatino Linotype" w:hAnsi="Palatino Linotype"/>
          <w:b/>
          <w:bCs/>
          <w:color w:val="000000" w:themeColor="text1"/>
        </w:rPr>
      </w:pPr>
    </w:p>
    <w:p w:rsidRPr="00391600" w:rsidR="00D426A3" w:rsidP="00816348" w:rsidRDefault="00D426A3" w14:paraId="04366A08" w14:textId="0BBC7E1E">
      <w:pPr>
        <w:pStyle w:val="10sp0"/>
        <w:spacing w:line="276" w:lineRule="auto"/>
        <w:rPr>
          <w:rFonts w:ascii="Palatino Linotype" w:hAnsi="Palatino Linotype"/>
          <w:b/>
          <w:bCs/>
          <w:color w:val="000000" w:themeColor="text1"/>
        </w:rPr>
      </w:pPr>
      <w:r w:rsidRPr="00391600">
        <w:rPr>
          <w:rFonts w:ascii="Palatino Linotype" w:hAnsi="Palatino Linotype"/>
          <w:b/>
          <w:bCs/>
          <w:color w:val="000000" w:themeColor="text1"/>
        </w:rPr>
        <w:t xml:space="preserve">Assessment of 2025 Plan </w:t>
      </w:r>
    </w:p>
    <w:p w:rsidRPr="00391600" w:rsidR="00816348" w:rsidP="00816348" w:rsidRDefault="00BB4C4A" w14:paraId="3F918F0D" w14:textId="591C2346">
      <w:pPr>
        <w:pStyle w:val="10sp0"/>
        <w:spacing w:after="0" w:line="276" w:lineRule="auto"/>
        <w:rPr>
          <w:rFonts w:ascii="Palatino Linotype" w:hAnsi="Palatino Linotype"/>
          <w:color w:val="000000" w:themeColor="text1"/>
        </w:rPr>
      </w:pPr>
      <w:r w:rsidRPr="00391600">
        <w:rPr>
          <w:rFonts w:ascii="Palatino Linotype" w:hAnsi="Palatino Linotype" w:eastAsia="Palatino Linotype"/>
          <w:color w:val="000000" w:themeColor="text1"/>
        </w:rPr>
        <w:t xml:space="preserve">Energy Division </w:t>
      </w:r>
      <w:r w:rsidRPr="00391600">
        <w:rPr>
          <w:rFonts w:ascii="Palatino Linotype" w:hAnsi="Palatino Linotype"/>
          <w:color w:val="000000" w:themeColor="text1"/>
        </w:rPr>
        <w:t>s</w:t>
      </w:r>
      <w:r w:rsidRPr="00391600" w:rsidR="00426CD9">
        <w:rPr>
          <w:rFonts w:ascii="Palatino Linotype" w:hAnsi="Palatino Linotype"/>
          <w:color w:val="000000" w:themeColor="text1"/>
        </w:rPr>
        <w:t>taff</w:t>
      </w:r>
      <w:r w:rsidRPr="00391600" w:rsidR="00816348">
        <w:rPr>
          <w:rFonts w:ascii="Palatino Linotype" w:hAnsi="Palatino Linotype"/>
          <w:color w:val="000000" w:themeColor="text1"/>
        </w:rPr>
        <w:t xml:space="preserve"> </w:t>
      </w:r>
      <w:proofErr w:type="gramStart"/>
      <w:r w:rsidRPr="00391600" w:rsidR="00816348">
        <w:rPr>
          <w:rFonts w:ascii="Palatino Linotype" w:hAnsi="Palatino Linotype"/>
          <w:color w:val="000000" w:themeColor="text1"/>
        </w:rPr>
        <w:t>conducted a</w:t>
      </w:r>
      <w:r w:rsidRPr="00391600" w:rsidR="00BB0000">
        <w:rPr>
          <w:rFonts w:ascii="Palatino Linotype" w:hAnsi="Palatino Linotype"/>
          <w:color w:val="000000" w:themeColor="text1"/>
        </w:rPr>
        <w:t xml:space="preserve">n </w:t>
      </w:r>
      <w:r w:rsidRPr="00391600" w:rsidR="00816348">
        <w:rPr>
          <w:rFonts w:ascii="Palatino Linotype" w:hAnsi="Palatino Linotype"/>
          <w:color w:val="000000" w:themeColor="text1"/>
        </w:rPr>
        <w:t>assessment of</w:t>
      </w:r>
      <w:proofErr w:type="gramEnd"/>
      <w:r w:rsidRPr="00391600" w:rsidR="00816348">
        <w:rPr>
          <w:rFonts w:ascii="Palatino Linotype" w:hAnsi="Palatino Linotype"/>
          <w:color w:val="000000" w:themeColor="text1"/>
        </w:rPr>
        <w:t xml:space="preserve"> CEC’s AL 10-G-A proposing its 2025 Gas RD&amp;D Investment Plan.</w:t>
      </w:r>
      <w:r w:rsidRPr="00391600" w:rsidR="00E456E0">
        <w:rPr>
          <w:rStyle w:val="FootnoteReference"/>
          <w:rFonts w:ascii="Palatino Linotype" w:hAnsi="Palatino Linotype"/>
          <w:color w:val="000000" w:themeColor="text1"/>
        </w:rPr>
        <w:footnoteReference w:id="70"/>
      </w:r>
      <w:r w:rsidRPr="00391600" w:rsidR="00816348">
        <w:rPr>
          <w:rFonts w:ascii="Palatino Linotype" w:hAnsi="Palatino Linotype"/>
          <w:color w:val="000000" w:themeColor="text1"/>
        </w:rPr>
        <w:t xml:space="preserve"> </w:t>
      </w:r>
      <w:r w:rsidRPr="00391600" w:rsidR="0037224F">
        <w:rPr>
          <w:rFonts w:ascii="Palatino Linotype" w:hAnsi="Palatino Linotype"/>
          <w:color w:val="000000" w:themeColor="text1"/>
        </w:rPr>
        <w:t>Staff assessed CEC’s 202</w:t>
      </w:r>
      <w:r w:rsidRPr="00391600" w:rsidR="00D45CB3">
        <w:rPr>
          <w:rFonts w:ascii="Palatino Linotype" w:hAnsi="Palatino Linotype"/>
          <w:color w:val="000000" w:themeColor="text1"/>
        </w:rPr>
        <w:t>5</w:t>
      </w:r>
      <w:r w:rsidRPr="00391600" w:rsidR="0037224F">
        <w:rPr>
          <w:rFonts w:ascii="Palatino Linotype" w:hAnsi="Palatino Linotype"/>
          <w:color w:val="000000" w:themeColor="text1"/>
        </w:rPr>
        <w:t xml:space="preserve"> Plan based on consistency with requirements and </w:t>
      </w:r>
      <w:r w:rsidRPr="00391600" w:rsidR="00DD097C">
        <w:rPr>
          <w:rFonts w:ascii="Palatino Linotype" w:hAnsi="Palatino Linotype"/>
          <w:color w:val="000000" w:themeColor="text1"/>
        </w:rPr>
        <w:t xml:space="preserve">previous </w:t>
      </w:r>
      <w:r w:rsidRPr="00391600" w:rsidR="0037224F">
        <w:rPr>
          <w:rFonts w:ascii="Palatino Linotype" w:hAnsi="Palatino Linotype"/>
          <w:color w:val="000000" w:themeColor="text1"/>
        </w:rPr>
        <w:t xml:space="preserve">Commission guidance. </w:t>
      </w:r>
      <w:r w:rsidRPr="00391600" w:rsidR="00DD097C">
        <w:rPr>
          <w:rFonts w:ascii="Palatino Linotype" w:hAnsi="Palatino Linotype"/>
          <w:color w:val="000000" w:themeColor="text1"/>
        </w:rPr>
        <w:t>T</w:t>
      </w:r>
      <w:r w:rsidRPr="00391600" w:rsidR="00504846">
        <w:rPr>
          <w:rFonts w:ascii="Palatino Linotype" w:hAnsi="Palatino Linotype"/>
          <w:color w:val="000000" w:themeColor="text1"/>
        </w:rPr>
        <w:t xml:space="preserve">he Commission finds that </w:t>
      </w:r>
      <w:r w:rsidRPr="00391600" w:rsidR="00DD097C">
        <w:rPr>
          <w:rFonts w:ascii="Palatino Linotype" w:hAnsi="Palatino Linotype"/>
          <w:color w:val="000000" w:themeColor="text1"/>
        </w:rPr>
        <w:t xml:space="preserve">in some areas, </w:t>
      </w:r>
      <w:r w:rsidRPr="00391600" w:rsidR="00504846">
        <w:rPr>
          <w:rFonts w:ascii="Palatino Linotype" w:hAnsi="Palatino Linotype"/>
          <w:color w:val="000000" w:themeColor="text1"/>
        </w:rPr>
        <w:t xml:space="preserve">CEC’s AL 10-G-A is not </w:t>
      </w:r>
      <w:r w:rsidRPr="00391600" w:rsidR="00F5798E">
        <w:rPr>
          <w:rFonts w:ascii="Palatino Linotype" w:hAnsi="Palatino Linotype"/>
          <w:color w:val="000000" w:themeColor="text1"/>
        </w:rPr>
        <w:t xml:space="preserve">fully </w:t>
      </w:r>
      <w:r w:rsidRPr="00391600" w:rsidR="00504846">
        <w:rPr>
          <w:rFonts w:ascii="Palatino Linotype" w:hAnsi="Palatino Linotype"/>
          <w:color w:val="000000" w:themeColor="text1"/>
        </w:rPr>
        <w:t xml:space="preserve">compliant with Commission requirements </w:t>
      </w:r>
      <w:r w:rsidRPr="00391600" w:rsidR="00957AA7">
        <w:rPr>
          <w:rFonts w:ascii="Palatino Linotype" w:hAnsi="Palatino Linotype"/>
          <w:color w:val="000000" w:themeColor="text1"/>
        </w:rPr>
        <w:t xml:space="preserve">for </w:t>
      </w:r>
      <w:r w:rsidRPr="00391600" w:rsidR="00504846">
        <w:rPr>
          <w:rFonts w:ascii="Palatino Linotype" w:hAnsi="Palatino Linotype"/>
          <w:color w:val="000000" w:themeColor="text1"/>
        </w:rPr>
        <w:t>the reasons</w:t>
      </w:r>
      <w:r w:rsidRPr="00391600" w:rsidR="00DD097C">
        <w:rPr>
          <w:rFonts w:ascii="Palatino Linotype" w:hAnsi="Palatino Linotype"/>
          <w:color w:val="000000" w:themeColor="text1"/>
        </w:rPr>
        <w:t xml:space="preserve"> described below</w:t>
      </w:r>
      <w:r w:rsidRPr="00391600" w:rsidR="00C62189">
        <w:rPr>
          <w:rFonts w:ascii="Palatino Linotype" w:hAnsi="Palatino Linotype"/>
          <w:color w:val="000000" w:themeColor="text1"/>
        </w:rPr>
        <w:t>.</w:t>
      </w:r>
      <w:r w:rsidRPr="00391600" w:rsidR="00504846">
        <w:rPr>
          <w:rFonts w:ascii="Palatino Linotype" w:hAnsi="Palatino Linotype"/>
          <w:color w:val="000000" w:themeColor="text1"/>
        </w:rPr>
        <w:t xml:space="preserve"> </w:t>
      </w:r>
      <w:r w:rsidRPr="00391600" w:rsidR="0037224F">
        <w:rPr>
          <w:rFonts w:ascii="Palatino Linotype" w:hAnsi="Palatino Linotype"/>
          <w:color w:val="000000" w:themeColor="text1"/>
        </w:rPr>
        <w:t xml:space="preserve">See </w:t>
      </w:r>
      <w:r w:rsidRPr="00391600" w:rsidR="00C62189">
        <w:rPr>
          <w:rFonts w:ascii="Palatino Linotype" w:hAnsi="Palatino Linotype"/>
          <w:color w:val="000000" w:themeColor="text1"/>
        </w:rPr>
        <w:t xml:space="preserve">also </w:t>
      </w:r>
      <w:r w:rsidRPr="00391600" w:rsidR="0037224F">
        <w:rPr>
          <w:rFonts w:ascii="Palatino Linotype" w:hAnsi="Palatino Linotype"/>
          <w:color w:val="000000" w:themeColor="text1"/>
        </w:rPr>
        <w:t>Appendix</w:t>
      </w:r>
      <w:r w:rsidRPr="00391600" w:rsidR="00A30E95">
        <w:rPr>
          <w:rFonts w:ascii="Palatino Linotype" w:hAnsi="Palatino Linotype"/>
          <w:color w:val="000000" w:themeColor="text1"/>
        </w:rPr>
        <w:t xml:space="preserve"> </w:t>
      </w:r>
      <w:r w:rsidRPr="00391600" w:rsidR="00587988">
        <w:rPr>
          <w:rFonts w:ascii="Palatino Linotype" w:hAnsi="Palatino Linotype"/>
          <w:color w:val="000000" w:themeColor="text1"/>
        </w:rPr>
        <w:t>H</w:t>
      </w:r>
      <w:r w:rsidRPr="00391600" w:rsidR="00A30E95">
        <w:rPr>
          <w:rFonts w:ascii="Palatino Linotype" w:hAnsi="Palatino Linotype"/>
          <w:color w:val="000000" w:themeColor="text1"/>
        </w:rPr>
        <w:t xml:space="preserve"> </w:t>
      </w:r>
      <w:r w:rsidRPr="00391600" w:rsidR="0037224F">
        <w:rPr>
          <w:rFonts w:ascii="Palatino Linotype" w:hAnsi="Palatino Linotype"/>
          <w:color w:val="000000" w:themeColor="text1"/>
        </w:rPr>
        <w:t xml:space="preserve">for </w:t>
      </w:r>
      <w:r w:rsidRPr="00391600" w:rsidR="005E6388">
        <w:rPr>
          <w:rFonts w:ascii="Palatino Linotype" w:hAnsi="Palatino Linotype"/>
          <w:color w:val="000000" w:themeColor="text1"/>
        </w:rPr>
        <w:t xml:space="preserve">additional </w:t>
      </w:r>
      <w:r w:rsidRPr="00391600" w:rsidR="0037224F">
        <w:rPr>
          <w:rFonts w:ascii="Palatino Linotype" w:hAnsi="Palatino Linotype"/>
          <w:color w:val="000000" w:themeColor="text1"/>
        </w:rPr>
        <w:t>details:</w:t>
      </w:r>
    </w:p>
    <w:p w:rsidRPr="00391600" w:rsidR="006643BA" w:rsidP="003B475F" w:rsidRDefault="00B9409D" w14:paraId="7654E9A5" w14:textId="11A39C0B">
      <w:pPr>
        <w:pStyle w:val="10sp0"/>
        <w:numPr>
          <w:ilvl w:val="0"/>
          <w:numId w:val="11"/>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The </w:t>
      </w:r>
      <w:r w:rsidRPr="00391600" w:rsidR="006643BA">
        <w:rPr>
          <w:rFonts w:ascii="Palatino Linotype" w:hAnsi="Palatino Linotype"/>
          <w:color w:val="000000" w:themeColor="text1"/>
        </w:rPr>
        <w:t xml:space="preserve">CEC does not disclose the following nor demonstrate that </w:t>
      </w:r>
      <w:r w:rsidRPr="00391600" w:rsidR="001E4701">
        <w:rPr>
          <w:rFonts w:ascii="Palatino Linotype" w:hAnsi="Palatino Linotype"/>
          <w:color w:val="000000" w:themeColor="text1"/>
        </w:rPr>
        <w:t>it</w:t>
      </w:r>
      <w:r w:rsidRPr="00391600" w:rsidR="006643BA">
        <w:rPr>
          <w:rFonts w:ascii="Palatino Linotype" w:hAnsi="Palatino Linotype"/>
          <w:color w:val="000000" w:themeColor="text1"/>
        </w:rPr>
        <w:t>:</w:t>
      </w:r>
    </w:p>
    <w:p w:rsidRPr="00391600" w:rsidR="001E4701" w:rsidP="001E4701" w:rsidRDefault="001E4701" w14:paraId="1DC07A56" w14:textId="2F767904">
      <w:pPr>
        <w:pStyle w:val="10sp0"/>
        <w:numPr>
          <w:ilvl w:val="1"/>
          <w:numId w:val="11"/>
        </w:numPr>
        <w:spacing w:after="0" w:line="276" w:lineRule="auto"/>
        <w:rPr>
          <w:rFonts w:ascii="Palatino Linotype" w:hAnsi="Palatino Linotype"/>
          <w:color w:val="000000" w:themeColor="text1"/>
        </w:rPr>
      </w:pPr>
      <w:r w:rsidRPr="00391600">
        <w:rPr>
          <w:rFonts w:ascii="Palatino Linotype" w:hAnsi="Palatino Linotype"/>
          <w:color w:val="000000" w:themeColor="text1"/>
        </w:rPr>
        <w:lastRenderedPageBreak/>
        <w:t>First utilized unspent fund balances</w:t>
      </w:r>
      <w:r w:rsidRPr="00391600" w:rsidR="00093AAA">
        <w:rPr>
          <w:rFonts w:ascii="Palatino Linotype" w:hAnsi="Palatino Linotype"/>
          <w:color w:val="000000" w:themeColor="text1"/>
        </w:rPr>
        <w:t xml:space="preserve"> although the CPUC’s requirement to do so was stated in both 2021 and 2023 CPUC Resolutions,</w:t>
      </w:r>
      <w:r w:rsidRPr="00391600">
        <w:rPr>
          <w:rStyle w:val="FootnoteReference"/>
          <w:rFonts w:ascii="Palatino Linotype" w:hAnsi="Palatino Linotype"/>
          <w:color w:val="000000" w:themeColor="text1"/>
        </w:rPr>
        <w:footnoteReference w:id="71"/>
      </w:r>
      <w:r w:rsidRPr="00391600" w:rsidR="00D34B8E">
        <w:rPr>
          <w:rFonts w:ascii="Palatino Linotype" w:hAnsi="Palatino Linotype"/>
          <w:color w:val="000000" w:themeColor="text1"/>
        </w:rPr>
        <w:t xml:space="preserve"> and</w:t>
      </w:r>
      <w:r w:rsidRPr="00391600">
        <w:rPr>
          <w:rFonts w:ascii="Palatino Linotype" w:hAnsi="Palatino Linotype"/>
          <w:color w:val="000000" w:themeColor="text1"/>
        </w:rPr>
        <w:t xml:space="preserve"> </w:t>
      </w:r>
    </w:p>
    <w:p w:rsidRPr="00391600" w:rsidR="001E4701" w:rsidP="001E4701" w:rsidRDefault="001E4701" w14:paraId="7C21EDA9" w14:textId="4B31BDE1">
      <w:pPr>
        <w:pStyle w:val="10sp0"/>
        <w:numPr>
          <w:ilvl w:val="1"/>
          <w:numId w:val="11"/>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Addressed whether any commercial benefits have </w:t>
      </w:r>
      <w:r w:rsidRPr="00391600" w:rsidR="00093AAA">
        <w:rPr>
          <w:rFonts w:ascii="Palatino Linotype" w:hAnsi="Palatino Linotype"/>
          <w:color w:val="000000" w:themeColor="text1"/>
        </w:rPr>
        <w:t xml:space="preserve">been identified that </w:t>
      </w:r>
      <w:r w:rsidRPr="00391600">
        <w:rPr>
          <w:rFonts w:ascii="Palatino Linotype" w:hAnsi="Palatino Linotype"/>
          <w:color w:val="000000" w:themeColor="text1"/>
        </w:rPr>
        <w:t xml:space="preserve">resulted from </w:t>
      </w:r>
      <w:r w:rsidRPr="00391600" w:rsidR="008C503B">
        <w:rPr>
          <w:rFonts w:ascii="Palatino Linotype" w:hAnsi="Palatino Linotype"/>
          <w:color w:val="000000" w:themeColor="text1"/>
        </w:rPr>
        <w:t xml:space="preserve">previous </w:t>
      </w:r>
      <w:r w:rsidRPr="00391600">
        <w:rPr>
          <w:rFonts w:ascii="Palatino Linotype" w:hAnsi="Palatino Linotype"/>
          <w:color w:val="000000" w:themeColor="text1"/>
        </w:rPr>
        <w:t>Gas RD&amp;D investment</w:t>
      </w:r>
      <w:r w:rsidRPr="00391600" w:rsidR="003A4985">
        <w:rPr>
          <w:rFonts w:ascii="Palatino Linotype" w:hAnsi="Palatino Linotype"/>
          <w:color w:val="000000" w:themeColor="text1"/>
        </w:rPr>
        <w:t>s</w:t>
      </w:r>
      <w:r w:rsidRPr="00391600">
        <w:rPr>
          <w:rFonts w:ascii="Palatino Linotype" w:hAnsi="Palatino Linotype"/>
          <w:color w:val="000000" w:themeColor="text1"/>
        </w:rPr>
        <w:t xml:space="preserve"> or otherwise state that none have accrued</w:t>
      </w:r>
      <w:r w:rsidRPr="00391600" w:rsidR="00093AAA">
        <w:rPr>
          <w:rFonts w:ascii="Palatino Linotype" w:hAnsi="Palatino Linotype"/>
          <w:color w:val="000000" w:themeColor="text1"/>
        </w:rPr>
        <w:t xml:space="preserve"> as required in the CPUC’s 2004 Decision establishing the CEC as the Gas RD&amp;D program administrator</w:t>
      </w:r>
      <w:r w:rsidRPr="00391600">
        <w:rPr>
          <w:rFonts w:ascii="Palatino Linotype" w:hAnsi="Palatino Linotype"/>
          <w:color w:val="000000" w:themeColor="text1"/>
        </w:rPr>
        <w:t>.</w:t>
      </w:r>
      <w:r w:rsidRPr="00391600">
        <w:rPr>
          <w:rStyle w:val="FootnoteReference"/>
          <w:rFonts w:ascii="Palatino Linotype" w:hAnsi="Palatino Linotype"/>
          <w:color w:val="000000" w:themeColor="text1"/>
        </w:rPr>
        <w:footnoteReference w:id="72"/>
      </w:r>
      <w:r w:rsidRPr="00391600">
        <w:rPr>
          <w:rFonts w:ascii="Palatino Linotype" w:hAnsi="Palatino Linotype"/>
          <w:color w:val="000000" w:themeColor="text1"/>
        </w:rPr>
        <w:t xml:space="preserve"> </w:t>
      </w:r>
    </w:p>
    <w:p w:rsidRPr="00391600" w:rsidR="006643BA" w:rsidP="0020213F" w:rsidRDefault="00B9409D" w14:paraId="03EBAC69" w14:textId="005A1BBD">
      <w:pPr>
        <w:pStyle w:val="10sp0"/>
        <w:numPr>
          <w:ilvl w:val="0"/>
          <w:numId w:val="11"/>
        </w:numPr>
        <w:spacing w:line="276" w:lineRule="auto"/>
        <w:rPr>
          <w:rFonts w:ascii="Palatino Linotype" w:hAnsi="Palatino Linotype"/>
          <w:color w:val="000000" w:themeColor="text1"/>
        </w:rPr>
      </w:pPr>
      <w:r w:rsidRPr="00391600">
        <w:rPr>
          <w:rFonts w:ascii="Palatino Linotype" w:hAnsi="Palatino Linotype"/>
          <w:color w:val="000000" w:themeColor="text1"/>
        </w:rPr>
        <w:t xml:space="preserve">The </w:t>
      </w:r>
      <w:r w:rsidRPr="00391600" w:rsidR="00F65187">
        <w:rPr>
          <w:rFonts w:ascii="Palatino Linotype" w:hAnsi="Palatino Linotype"/>
          <w:color w:val="000000" w:themeColor="text1"/>
        </w:rPr>
        <w:t xml:space="preserve">CEC </w:t>
      </w:r>
      <w:r w:rsidRPr="00391600" w:rsidR="00C62189">
        <w:rPr>
          <w:rFonts w:ascii="Palatino Linotype" w:hAnsi="Palatino Linotype"/>
          <w:color w:val="000000" w:themeColor="text1"/>
        </w:rPr>
        <w:t>does not</w:t>
      </w:r>
      <w:r w:rsidRPr="00391600" w:rsidR="00F65187">
        <w:rPr>
          <w:rFonts w:ascii="Palatino Linotype" w:hAnsi="Palatino Linotype"/>
          <w:color w:val="000000" w:themeColor="text1"/>
        </w:rPr>
        <w:t xml:space="preserve"> provide </w:t>
      </w:r>
      <w:r w:rsidRPr="00391600" w:rsidR="003221CF">
        <w:rPr>
          <w:rFonts w:ascii="Palatino Linotype" w:hAnsi="Palatino Linotype"/>
          <w:color w:val="000000" w:themeColor="text1"/>
        </w:rPr>
        <w:t xml:space="preserve">sufficient </w:t>
      </w:r>
      <w:r w:rsidRPr="00391600" w:rsidR="00F65187">
        <w:rPr>
          <w:rFonts w:ascii="Palatino Linotype" w:hAnsi="Palatino Linotype"/>
          <w:color w:val="000000" w:themeColor="text1"/>
        </w:rPr>
        <w:t xml:space="preserve">detail to demonstrate that </w:t>
      </w:r>
      <w:r w:rsidRPr="00391600" w:rsidR="00483671">
        <w:rPr>
          <w:rFonts w:ascii="Palatino Linotype" w:hAnsi="Palatino Linotype"/>
          <w:color w:val="000000" w:themeColor="text1"/>
        </w:rPr>
        <w:t xml:space="preserve">the </w:t>
      </w:r>
      <w:r w:rsidRPr="00391600" w:rsidR="00483671">
        <w:rPr>
          <w:rFonts w:ascii="Palatino Linotype" w:hAnsi="Palatino Linotype"/>
          <w:i/>
          <w:iCs/>
          <w:color w:val="000000" w:themeColor="text1"/>
        </w:rPr>
        <w:t xml:space="preserve">Networked Geothermal Heat Pumps </w:t>
      </w:r>
      <w:r w:rsidRPr="00391600" w:rsidR="00483671">
        <w:rPr>
          <w:rFonts w:ascii="Palatino Linotype" w:hAnsi="Palatino Linotype"/>
          <w:color w:val="000000" w:themeColor="text1"/>
        </w:rPr>
        <w:t xml:space="preserve">Initiative </w:t>
      </w:r>
      <w:r w:rsidRPr="00391600" w:rsidR="00BA6849">
        <w:rPr>
          <w:rFonts w:ascii="Palatino Linotype" w:hAnsi="Palatino Linotype"/>
          <w:color w:val="000000" w:themeColor="text1"/>
        </w:rPr>
        <w:t xml:space="preserve">will involve activities that are </w:t>
      </w:r>
      <w:r w:rsidRPr="00391600" w:rsidR="00F65187">
        <w:rPr>
          <w:rFonts w:ascii="Palatino Linotype" w:hAnsi="Palatino Linotype"/>
          <w:color w:val="000000" w:themeColor="text1"/>
        </w:rPr>
        <w:t xml:space="preserve">complementary </w:t>
      </w:r>
      <w:proofErr w:type="gramStart"/>
      <w:r w:rsidRPr="00391600" w:rsidR="00BA6849">
        <w:rPr>
          <w:rFonts w:ascii="Palatino Linotype" w:hAnsi="Palatino Linotype"/>
          <w:color w:val="000000" w:themeColor="text1"/>
        </w:rPr>
        <w:t>to</w:t>
      </w:r>
      <w:proofErr w:type="gramEnd"/>
      <w:r w:rsidRPr="00391600" w:rsidR="00BA6849">
        <w:rPr>
          <w:rFonts w:ascii="Palatino Linotype" w:hAnsi="Palatino Linotype"/>
          <w:color w:val="000000" w:themeColor="text1"/>
        </w:rPr>
        <w:t xml:space="preserve"> </w:t>
      </w:r>
      <w:r w:rsidRPr="00391600" w:rsidR="00F65187">
        <w:rPr>
          <w:rFonts w:ascii="Palatino Linotype" w:hAnsi="Palatino Linotype"/>
          <w:color w:val="000000" w:themeColor="text1"/>
        </w:rPr>
        <w:t xml:space="preserve">rather than duplicative </w:t>
      </w:r>
      <w:r w:rsidRPr="00391600" w:rsidR="00BA6849">
        <w:rPr>
          <w:rFonts w:ascii="Palatino Linotype" w:hAnsi="Palatino Linotype"/>
          <w:color w:val="000000" w:themeColor="text1"/>
        </w:rPr>
        <w:t>of ongoing and proposed CEC Gas RD&amp;D and</w:t>
      </w:r>
      <w:r w:rsidRPr="00391600" w:rsidR="00DB2535">
        <w:rPr>
          <w:rFonts w:ascii="Palatino Linotype" w:hAnsi="Palatino Linotype"/>
          <w:color w:val="000000" w:themeColor="text1"/>
        </w:rPr>
        <w:t xml:space="preserve"> </w:t>
      </w:r>
      <w:r w:rsidRPr="00391600" w:rsidR="00B026A6">
        <w:rPr>
          <w:rFonts w:ascii="Palatino Linotype" w:hAnsi="Palatino Linotype" w:eastAsia="Palatino Linotype"/>
          <w:color w:val="000000" w:themeColor="text1"/>
        </w:rPr>
        <w:t xml:space="preserve">EPIC </w:t>
      </w:r>
      <w:r w:rsidRPr="00391600" w:rsidR="00BA6849">
        <w:rPr>
          <w:rFonts w:ascii="Palatino Linotype" w:hAnsi="Palatino Linotype"/>
          <w:color w:val="000000" w:themeColor="text1"/>
        </w:rPr>
        <w:t>Initiatives</w:t>
      </w:r>
      <w:r w:rsidRPr="00391600" w:rsidR="00F35A04">
        <w:rPr>
          <w:rFonts w:ascii="Palatino Linotype" w:hAnsi="Palatino Linotype"/>
          <w:color w:val="000000" w:themeColor="text1"/>
        </w:rPr>
        <w:t>, as required by PU Code and prior CPUC Resolutions</w:t>
      </w:r>
      <w:r w:rsidRPr="00391600" w:rsidR="00F65187">
        <w:rPr>
          <w:rFonts w:ascii="Palatino Linotype" w:hAnsi="Palatino Linotype"/>
          <w:color w:val="000000" w:themeColor="text1"/>
        </w:rPr>
        <w:t>.</w:t>
      </w:r>
      <w:r w:rsidRPr="00391600" w:rsidR="00F65187">
        <w:rPr>
          <w:rStyle w:val="FootnoteReference"/>
          <w:rFonts w:ascii="Palatino Linotype" w:hAnsi="Palatino Linotype"/>
          <w:color w:val="000000" w:themeColor="text1"/>
        </w:rPr>
        <w:footnoteReference w:id="73"/>
      </w:r>
      <w:r w:rsidRPr="00391600" w:rsidR="00F65187">
        <w:rPr>
          <w:rFonts w:ascii="Palatino Linotype" w:hAnsi="Palatino Linotype"/>
          <w:color w:val="000000" w:themeColor="text1"/>
        </w:rPr>
        <w:t xml:space="preserve"> </w:t>
      </w:r>
    </w:p>
    <w:p w:rsidRPr="00391600" w:rsidR="00EB1970" w:rsidP="00E75BDC" w:rsidRDefault="008A0E78" w14:paraId="25E48840" w14:textId="12CCFDB7">
      <w:pPr>
        <w:pStyle w:val="10sp0"/>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The omissions noted above can be rectified with supplemental information. </w:t>
      </w:r>
      <w:r w:rsidRPr="00391600" w:rsidR="00E75BDC">
        <w:rPr>
          <w:rFonts w:ascii="Palatino Linotype" w:hAnsi="Palatino Linotype" w:eastAsia="Palatino Linotype"/>
          <w:color w:val="000000" w:themeColor="text1"/>
        </w:rPr>
        <w:t xml:space="preserve">The CEC shall submit a revised 2025 Plan via Tier 2 AL within </w:t>
      </w:r>
      <w:r w:rsidRPr="00391600" w:rsidR="008D74E3">
        <w:rPr>
          <w:rFonts w:ascii="Palatino Linotype" w:hAnsi="Palatino Linotype" w:eastAsia="Palatino Linotype"/>
          <w:color w:val="000000" w:themeColor="text1"/>
        </w:rPr>
        <w:t>6</w:t>
      </w:r>
      <w:r w:rsidRPr="00391600" w:rsidR="00E75BDC">
        <w:rPr>
          <w:rFonts w:ascii="Palatino Linotype" w:hAnsi="Palatino Linotype" w:eastAsia="Palatino Linotype"/>
          <w:color w:val="000000" w:themeColor="text1"/>
        </w:rPr>
        <w:t xml:space="preserve">0 days </w:t>
      </w:r>
      <w:r w:rsidRPr="00391600">
        <w:rPr>
          <w:rFonts w:ascii="Palatino Linotype" w:hAnsi="Palatino Linotype" w:eastAsia="Palatino Linotype"/>
          <w:color w:val="000000" w:themeColor="text1"/>
        </w:rPr>
        <w:t xml:space="preserve">that can </w:t>
      </w:r>
      <w:r w:rsidRPr="00391600" w:rsidR="00E75BDC">
        <w:rPr>
          <w:rFonts w:ascii="Palatino Linotype" w:hAnsi="Palatino Linotype" w:eastAsia="Palatino Linotype"/>
          <w:color w:val="000000" w:themeColor="text1"/>
        </w:rPr>
        <w:t xml:space="preserve">address the </w:t>
      </w:r>
      <w:r w:rsidRPr="00391600" w:rsidR="00BD684B">
        <w:rPr>
          <w:rFonts w:ascii="Palatino Linotype" w:hAnsi="Palatino Linotype" w:eastAsia="Palatino Linotype"/>
          <w:color w:val="000000" w:themeColor="text1"/>
        </w:rPr>
        <w:t>items</w:t>
      </w:r>
      <w:r w:rsidRPr="00391600" w:rsidR="00E75BDC">
        <w:rPr>
          <w:rFonts w:ascii="Palatino Linotype" w:hAnsi="Palatino Linotype" w:eastAsia="Palatino Linotype"/>
          <w:color w:val="000000" w:themeColor="text1"/>
        </w:rPr>
        <w:t xml:space="preserve"> described above</w:t>
      </w:r>
      <w:r w:rsidRPr="00391600" w:rsidR="000C31E4">
        <w:rPr>
          <w:rFonts w:ascii="Palatino Linotype" w:hAnsi="Palatino Linotype" w:eastAsia="Palatino Linotype"/>
          <w:color w:val="000000" w:themeColor="text1"/>
        </w:rPr>
        <w:t>,</w:t>
      </w:r>
      <w:r w:rsidRPr="00391600" w:rsidR="00E75BDC">
        <w:rPr>
          <w:rFonts w:ascii="Palatino Linotype" w:hAnsi="Palatino Linotype" w:eastAsia="Palatino Linotype"/>
          <w:color w:val="000000" w:themeColor="text1"/>
        </w:rPr>
        <w:t xml:space="preserve"> and as detailed in </w:t>
      </w:r>
      <w:r w:rsidRPr="00391600" w:rsidR="002A7D2F">
        <w:rPr>
          <w:rFonts w:ascii="Palatino Linotype" w:hAnsi="Palatino Linotype" w:eastAsia="Palatino Linotype"/>
          <w:color w:val="000000" w:themeColor="text1"/>
        </w:rPr>
        <w:t>A</w:t>
      </w:r>
      <w:r w:rsidRPr="00391600" w:rsidR="00E75BDC">
        <w:rPr>
          <w:rFonts w:ascii="Palatino Linotype" w:hAnsi="Palatino Linotype" w:eastAsia="Palatino Linotype"/>
          <w:color w:val="000000" w:themeColor="text1"/>
        </w:rPr>
        <w:t xml:space="preserve">ppendix </w:t>
      </w:r>
      <w:r w:rsidRPr="00391600" w:rsidR="00587988">
        <w:rPr>
          <w:rFonts w:ascii="Palatino Linotype" w:hAnsi="Palatino Linotype" w:eastAsia="Palatino Linotype"/>
          <w:color w:val="000000" w:themeColor="text1"/>
        </w:rPr>
        <w:t>H</w:t>
      </w:r>
      <w:r w:rsidRPr="00391600" w:rsidR="00EF2CDA">
        <w:rPr>
          <w:rFonts w:ascii="Palatino Linotype" w:hAnsi="Palatino Linotype" w:eastAsia="Palatino Linotype"/>
          <w:color w:val="000000" w:themeColor="text1"/>
        </w:rPr>
        <w:t xml:space="preserve"> </w:t>
      </w:r>
      <w:r w:rsidRPr="00391600" w:rsidR="00E75BDC">
        <w:rPr>
          <w:rFonts w:ascii="Palatino Linotype" w:hAnsi="Palatino Linotype" w:eastAsia="Palatino Linotype"/>
          <w:color w:val="000000" w:themeColor="text1"/>
        </w:rPr>
        <w:t>of this Resolution</w:t>
      </w:r>
      <w:r w:rsidRPr="00391600" w:rsidR="00703F39">
        <w:rPr>
          <w:rFonts w:ascii="Palatino Linotype" w:hAnsi="Palatino Linotype" w:eastAsia="Palatino Linotype"/>
          <w:color w:val="000000" w:themeColor="text1"/>
        </w:rPr>
        <w:t>.</w:t>
      </w:r>
      <w:r w:rsidRPr="00391600" w:rsidR="00E75BDC">
        <w:rPr>
          <w:rFonts w:ascii="Palatino Linotype" w:hAnsi="Palatino Linotype" w:eastAsia="Palatino Linotype"/>
          <w:color w:val="000000" w:themeColor="text1"/>
        </w:rPr>
        <w:t xml:space="preserve"> </w:t>
      </w:r>
      <w:r w:rsidRPr="00391600" w:rsidR="00036DAA">
        <w:rPr>
          <w:rFonts w:ascii="Palatino Linotype" w:hAnsi="Palatino Linotype" w:eastAsia="Palatino Linotype"/>
          <w:color w:val="000000" w:themeColor="text1"/>
        </w:rPr>
        <w:t>Once the revised Plan is approved via Tier 2 AL, the CEC will have full approval of its 2025 Plan and can utilize authorized funding in accordance with the approved Plan</w:t>
      </w:r>
      <w:r w:rsidRPr="00391600" w:rsidR="00977EF5">
        <w:rPr>
          <w:rFonts w:ascii="Palatino Linotype" w:hAnsi="Palatino Linotype" w:eastAsia="Palatino Linotype"/>
          <w:color w:val="000000" w:themeColor="text1"/>
        </w:rPr>
        <w:t>. </w:t>
      </w:r>
    </w:p>
    <w:p w:rsidRPr="00391600" w:rsidR="00F62F4B" w:rsidP="00E75BDC" w:rsidRDefault="00F62F4B" w14:paraId="69185C26" w14:textId="4005C440">
      <w:pPr>
        <w:pStyle w:val="10sp0"/>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Energy Division staff worked with CEC staff to review the balances of previously approved funds from its FY 2015-2016 Plan to present in relation to currently requested funds for the CEC’s 2024 Plan. </w:t>
      </w:r>
      <w:r w:rsidRPr="00391600" w:rsidR="00C87758">
        <w:rPr>
          <w:rFonts w:ascii="Palatino Linotype" w:hAnsi="Palatino Linotype" w:eastAsia="Palatino Linotype"/>
          <w:color w:val="000000" w:themeColor="text1"/>
        </w:rPr>
        <w:t xml:space="preserve">Utilization of unspent fund balances was required in both 2021 and 2023 CPUC Resolutions, and so the review of available balances was undertaken to ensure the 2024 and 2025 Plans </w:t>
      </w:r>
      <w:proofErr w:type="gramStart"/>
      <w:r w:rsidRPr="00391600" w:rsidR="00C87758">
        <w:rPr>
          <w:rFonts w:ascii="Palatino Linotype" w:hAnsi="Palatino Linotype" w:eastAsia="Palatino Linotype"/>
          <w:color w:val="000000" w:themeColor="text1"/>
        </w:rPr>
        <w:t>are in compliance with</w:t>
      </w:r>
      <w:proofErr w:type="gramEnd"/>
      <w:r w:rsidRPr="00391600" w:rsidR="00C87758">
        <w:rPr>
          <w:rFonts w:ascii="Palatino Linotype" w:hAnsi="Palatino Linotype" w:eastAsia="Palatino Linotype"/>
          <w:color w:val="000000" w:themeColor="text1"/>
        </w:rPr>
        <w:t xml:space="preserve"> that order. </w:t>
      </w:r>
      <w:r w:rsidRPr="00391600">
        <w:rPr>
          <w:rFonts w:ascii="Palatino Linotype" w:hAnsi="Palatino Linotype" w:eastAsia="Palatino Linotype"/>
          <w:color w:val="000000" w:themeColor="text1"/>
        </w:rPr>
        <w:t xml:space="preserve">As </w:t>
      </w:r>
      <w:r w:rsidRPr="00391600" w:rsidR="539F186F">
        <w:rPr>
          <w:rFonts w:ascii="Palatino Linotype" w:hAnsi="Palatino Linotype" w:eastAsia="Palatino Linotype"/>
          <w:color w:val="000000" w:themeColor="text1"/>
        </w:rPr>
        <w:t>previously noted,</w:t>
      </w:r>
      <w:r w:rsidRPr="00391600">
        <w:rPr>
          <w:rFonts w:ascii="Palatino Linotype" w:hAnsi="Palatino Linotype" w:eastAsia="Palatino Linotype"/>
          <w:color w:val="000000" w:themeColor="text1"/>
        </w:rPr>
        <w:t xml:space="preserve"> the CEC reported </w:t>
      </w:r>
      <w:r w:rsidRPr="00391600" w:rsidR="005F04F2">
        <w:rPr>
          <w:rFonts w:ascii="Palatino Linotype" w:hAnsi="Palatino Linotype" w:eastAsia="Palatino Linotype"/>
          <w:color w:val="000000" w:themeColor="text1"/>
        </w:rPr>
        <w:t xml:space="preserve">to the CPUC </w:t>
      </w:r>
      <w:r w:rsidRPr="00391600" w:rsidR="55197607">
        <w:rPr>
          <w:rFonts w:ascii="Palatino Linotype" w:hAnsi="Palatino Linotype" w:eastAsia="Palatino Linotype"/>
          <w:color w:val="000000" w:themeColor="text1"/>
        </w:rPr>
        <w:t xml:space="preserve">that as of April 2026, </w:t>
      </w:r>
      <w:r w:rsidRPr="00391600">
        <w:rPr>
          <w:rFonts w:ascii="Palatino Linotype" w:hAnsi="Palatino Linotype" w:eastAsia="Palatino Linotype"/>
          <w:color w:val="000000" w:themeColor="text1"/>
        </w:rPr>
        <w:t xml:space="preserve">at least $31,076,690 in </w:t>
      </w:r>
      <w:r w:rsidRPr="00391600" w:rsidR="00DC34CB">
        <w:rPr>
          <w:rFonts w:ascii="Palatino Linotype" w:hAnsi="Palatino Linotype" w:eastAsia="Palatino Linotype"/>
          <w:color w:val="000000" w:themeColor="text1"/>
        </w:rPr>
        <w:t xml:space="preserve">unencumbered and </w:t>
      </w:r>
      <w:r w:rsidRPr="00391600">
        <w:rPr>
          <w:rFonts w:ascii="Palatino Linotype" w:hAnsi="Palatino Linotype" w:eastAsia="Palatino Linotype"/>
          <w:color w:val="000000" w:themeColor="text1"/>
        </w:rPr>
        <w:t>unspent</w:t>
      </w:r>
      <w:r w:rsidRPr="00391600">
        <w:rPr>
          <w:rFonts w:ascii="Palatino Linotype" w:hAnsi="Palatino Linotype" w:eastAsia="Palatino Linotype"/>
          <w:b/>
          <w:bCs/>
          <w:color w:val="000000" w:themeColor="text1"/>
        </w:rPr>
        <w:t xml:space="preserve"> </w:t>
      </w:r>
      <w:r w:rsidRPr="00391600">
        <w:rPr>
          <w:rFonts w:ascii="Palatino Linotype" w:hAnsi="Palatino Linotype" w:eastAsia="Palatino Linotype"/>
          <w:color w:val="000000" w:themeColor="text1"/>
        </w:rPr>
        <w:t xml:space="preserve">funds for which up </w:t>
      </w:r>
      <w:r w:rsidRPr="00391600" w:rsidR="002E3B64">
        <w:rPr>
          <w:rFonts w:ascii="Palatino Linotype" w:hAnsi="Palatino Linotype" w:eastAsia="Palatino Linotype"/>
          <w:color w:val="000000" w:themeColor="text1"/>
        </w:rPr>
        <w:t>many</w:t>
      </w:r>
      <w:r w:rsidRPr="00391600" w:rsidR="000C1E03">
        <w:rPr>
          <w:rFonts w:ascii="Palatino Linotype" w:hAnsi="Palatino Linotype" w:eastAsia="Palatino Linotype"/>
          <w:color w:val="000000" w:themeColor="text1"/>
        </w:rPr>
        <w:t xml:space="preserve"> </w:t>
      </w:r>
      <w:r w:rsidRPr="00391600">
        <w:rPr>
          <w:rFonts w:ascii="Palatino Linotype" w:hAnsi="Palatino Linotype" w:eastAsia="Palatino Linotype"/>
          <w:color w:val="000000" w:themeColor="text1"/>
        </w:rPr>
        <w:t xml:space="preserve">years have passed since encumbrance or since funds were authorized without being encumbered. </w:t>
      </w:r>
      <w:r w:rsidRPr="00391600" w:rsidR="00542FD8">
        <w:rPr>
          <w:rFonts w:ascii="Palatino Linotype" w:hAnsi="Palatino Linotype" w:eastAsia="Palatino Linotype"/>
          <w:color w:val="000000" w:themeColor="text1"/>
        </w:rPr>
        <w:t>Unspent funds are a normal occurrence and may occur during program administration for a variety of reasons, including project termination, project completion under budget, project timeline extensions, or insufficient project awards</w:t>
      </w:r>
      <w:r w:rsidRPr="00391600" w:rsidR="00D02945">
        <w:rPr>
          <w:rFonts w:ascii="Palatino Linotype" w:hAnsi="Palatino Linotype" w:eastAsia="Palatino Linotype"/>
          <w:color w:val="000000" w:themeColor="text1"/>
        </w:rPr>
        <w:t>.</w:t>
      </w:r>
      <w:r w:rsidRPr="00391600" w:rsidR="00542FD8">
        <w:rPr>
          <w:rFonts w:ascii="Palatino Linotype" w:hAnsi="Palatino Linotype" w:eastAsia="Palatino Linotype"/>
          <w:color w:val="000000" w:themeColor="text1"/>
        </w:rPr>
        <w:t xml:space="preserve"> </w:t>
      </w:r>
      <w:r w:rsidRPr="00391600">
        <w:rPr>
          <w:rFonts w:ascii="Palatino Linotype" w:hAnsi="Palatino Linotype" w:eastAsia="Palatino Linotype"/>
          <w:color w:val="000000" w:themeColor="text1"/>
        </w:rPr>
        <w:t xml:space="preserve">Some of these funds, $21.6M, </w:t>
      </w:r>
      <w:r w:rsidRPr="00391600">
        <w:rPr>
          <w:rFonts w:ascii="Palatino Linotype" w:hAnsi="Palatino Linotype" w:eastAsia="Palatino Linotype"/>
          <w:color w:val="000000" w:themeColor="text1"/>
        </w:rPr>
        <w:lastRenderedPageBreak/>
        <w:t xml:space="preserve">shall be used to cover CEC 2024 Plan costs as noted above. There will then be a remaining balance of $9,476,690 of these </w:t>
      </w:r>
      <w:r w:rsidRPr="00391600" w:rsidR="00DC34CB">
        <w:rPr>
          <w:rFonts w:ascii="Palatino Linotype" w:hAnsi="Palatino Linotype" w:eastAsia="Palatino Linotype"/>
          <w:color w:val="000000" w:themeColor="text1"/>
        </w:rPr>
        <w:t xml:space="preserve">unencumbered and </w:t>
      </w:r>
      <w:r w:rsidRPr="00391600">
        <w:rPr>
          <w:rFonts w:ascii="Palatino Linotype" w:hAnsi="Palatino Linotype" w:eastAsia="Palatino Linotype"/>
          <w:color w:val="000000" w:themeColor="text1"/>
        </w:rPr>
        <w:t>unspent funds.</w:t>
      </w:r>
      <w:r w:rsidRPr="00391600" w:rsidR="23472586">
        <w:rPr>
          <w:rFonts w:ascii="Palatino Linotype" w:hAnsi="Palatino Linotype" w:eastAsia="Palatino Linotype"/>
          <w:color w:val="000000" w:themeColor="text1"/>
        </w:rPr>
        <w:t xml:space="preserve"> </w:t>
      </w:r>
    </w:p>
    <w:p w:rsidRPr="00391600" w:rsidR="00332F91" w:rsidP="00E75BDC" w:rsidRDefault="008F15EB" w14:paraId="7EDFA2FF" w14:textId="441D91E2">
      <w:pPr>
        <w:pStyle w:val="10sp0"/>
        <w:spacing w:line="276" w:lineRule="auto"/>
        <w:rPr>
          <w:rFonts w:ascii="Palatino Linotype" w:hAnsi="Palatino Linotype"/>
          <w:color w:val="000000" w:themeColor="text1"/>
        </w:rPr>
      </w:pPr>
      <w:r w:rsidRPr="00391600">
        <w:rPr>
          <w:rFonts w:ascii="Palatino Linotype" w:hAnsi="Palatino Linotype" w:eastAsia="Palatino Linotype"/>
          <w:color w:val="000000" w:themeColor="text1"/>
        </w:rPr>
        <w:t>Consistent with prior directives, t</w:t>
      </w:r>
      <w:r w:rsidRPr="00391600" w:rsidR="00245A3A">
        <w:rPr>
          <w:rFonts w:ascii="Palatino Linotype" w:hAnsi="Palatino Linotype" w:eastAsia="Palatino Linotype"/>
          <w:color w:val="000000" w:themeColor="text1"/>
        </w:rPr>
        <w:t>o fund its 2025 Plan, t</w:t>
      </w:r>
      <w:r w:rsidRPr="00391600" w:rsidR="00245A3A">
        <w:rPr>
          <w:rFonts w:ascii="Palatino Linotype" w:hAnsi="Palatino Linotype" w:eastAsia="Times New Roman"/>
          <w:color w:val="000000" w:themeColor="text1"/>
        </w:rPr>
        <w:t xml:space="preserve">he CEC shall first utilize its remaining </w:t>
      </w:r>
      <w:r w:rsidRPr="00391600" w:rsidR="00DC34CB">
        <w:rPr>
          <w:rFonts w:ascii="Palatino Linotype" w:hAnsi="Palatino Linotype" w:eastAsia="Palatino Linotype"/>
          <w:color w:val="000000" w:themeColor="text1"/>
        </w:rPr>
        <w:t xml:space="preserve">$9,476,690 </w:t>
      </w:r>
      <w:r w:rsidRPr="00391600" w:rsidR="00245A3A">
        <w:rPr>
          <w:rFonts w:ascii="Palatino Linotype" w:hAnsi="Palatino Linotype" w:eastAsia="Palatino Linotype"/>
          <w:color w:val="000000" w:themeColor="text1"/>
        </w:rPr>
        <w:t>balance after funding its 2024 Plan</w:t>
      </w:r>
      <w:r w:rsidRPr="00391600" w:rsidR="00245A3A">
        <w:rPr>
          <w:rFonts w:ascii="Palatino Linotype" w:hAnsi="Palatino Linotype"/>
          <w:color w:val="000000" w:themeColor="text1"/>
        </w:rPr>
        <w:t>.</w:t>
      </w:r>
      <w:r w:rsidRPr="00391600" w:rsidR="00245A3A">
        <w:rPr>
          <w:rStyle w:val="FootnoteReference"/>
          <w:rFonts w:ascii="Palatino Linotype" w:hAnsi="Palatino Linotype"/>
          <w:color w:val="000000" w:themeColor="text1"/>
        </w:rPr>
        <w:footnoteReference w:id="74"/>
      </w:r>
      <w:r w:rsidRPr="00391600" w:rsidR="00245A3A">
        <w:rPr>
          <w:rFonts w:ascii="Palatino Linotype" w:hAnsi="Palatino Linotype"/>
          <w:color w:val="000000" w:themeColor="text1"/>
        </w:rPr>
        <w:t xml:space="preserve"> </w:t>
      </w:r>
      <w:r w:rsidRPr="00391600" w:rsidR="0096646D">
        <w:rPr>
          <w:rFonts w:ascii="Palatino Linotype" w:hAnsi="Palatino Linotype"/>
          <w:color w:val="000000" w:themeColor="text1"/>
        </w:rPr>
        <w:t>The Commission’s approval of a total budget of $24</w:t>
      </w:r>
      <w:r w:rsidRPr="00391600" w:rsidR="00DC34CB">
        <w:rPr>
          <w:rFonts w:ascii="Palatino Linotype" w:hAnsi="Palatino Linotype"/>
          <w:color w:val="000000" w:themeColor="text1"/>
        </w:rPr>
        <w:t>M</w:t>
      </w:r>
      <w:r w:rsidRPr="00391600" w:rsidR="0096646D">
        <w:rPr>
          <w:rFonts w:ascii="Palatino Linotype" w:hAnsi="Palatino Linotype"/>
          <w:color w:val="000000" w:themeColor="text1"/>
        </w:rPr>
        <w:t xml:space="preserve"> for the CEC’s 2025 Plan is comprised of </w:t>
      </w:r>
      <w:r w:rsidRPr="00391600" w:rsidR="0096646D">
        <w:rPr>
          <w:rFonts w:ascii="Palatino Linotype" w:hAnsi="Palatino Linotype" w:eastAsia="Palatino Linotype"/>
          <w:color w:val="000000" w:themeColor="text1"/>
        </w:rPr>
        <w:t>$9,476,69</w:t>
      </w:r>
      <w:r w:rsidRPr="00391600" w:rsidR="000863E0">
        <w:rPr>
          <w:rFonts w:ascii="Palatino Linotype" w:hAnsi="Palatino Linotype" w:eastAsia="Palatino Linotype"/>
          <w:color w:val="000000" w:themeColor="text1"/>
        </w:rPr>
        <w:t>0</w:t>
      </w:r>
      <w:r w:rsidRPr="00391600" w:rsidR="0096646D">
        <w:rPr>
          <w:rFonts w:ascii="Palatino Linotype" w:hAnsi="Palatino Linotype" w:eastAsia="Palatino Linotype"/>
          <w:color w:val="000000" w:themeColor="text1"/>
        </w:rPr>
        <w:t xml:space="preserve"> in unspent funds </w:t>
      </w:r>
      <w:r w:rsidRPr="00391600" w:rsidR="00A075DE">
        <w:rPr>
          <w:rFonts w:ascii="Palatino Linotype" w:hAnsi="Palatino Linotype" w:eastAsia="Palatino Linotype"/>
          <w:color w:val="000000" w:themeColor="text1"/>
        </w:rPr>
        <w:t xml:space="preserve">and $12,123,310 </w:t>
      </w:r>
      <w:r w:rsidRPr="00391600" w:rsidR="0096646D">
        <w:rPr>
          <w:rFonts w:ascii="Palatino Linotype" w:hAnsi="Palatino Linotype"/>
          <w:color w:val="000000" w:themeColor="text1"/>
        </w:rPr>
        <w:t>in authorized new ratepayer funds</w:t>
      </w:r>
      <w:r w:rsidRPr="00391600" w:rsidR="00E908B5">
        <w:rPr>
          <w:rFonts w:ascii="Palatino Linotype" w:hAnsi="Palatino Linotype"/>
          <w:color w:val="000000" w:themeColor="text1"/>
        </w:rPr>
        <w:t xml:space="preserve"> for Initiatives</w:t>
      </w:r>
      <w:r w:rsidRPr="00391600" w:rsidR="00EA6D21">
        <w:rPr>
          <w:rFonts w:ascii="Palatino Linotype" w:hAnsi="Palatino Linotype"/>
          <w:color w:val="000000" w:themeColor="text1"/>
        </w:rPr>
        <w:t>.</w:t>
      </w:r>
      <w:r w:rsidRPr="00391600" w:rsidR="0096646D">
        <w:rPr>
          <w:rStyle w:val="FootnoteReference"/>
          <w:rFonts w:ascii="Palatino Linotype" w:hAnsi="Palatino Linotype" w:eastAsiaTheme="minorEastAsia" w:cstheme="minorBidi"/>
          <w:color w:val="000000" w:themeColor="text1"/>
        </w:rPr>
        <w:footnoteReference w:id="75"/>
      </w:r>
      <w:r w:rsidRPr="00391600" w:rsidR="001A67DE">
        <w:rPr>
          <w:rFonts w:ascii="Palatino Linotype" w:hAnsi="Palatino Linotype"/>
          <w:color w:val="000000" w:themeColor="text1"/>
        </w:rPr>
        <w:t xml:space="preserve"> </w:t>
      </w:r>
    </w:p>
    <w:p w:rsidRPr="00391600" w:rsidR="00332F91" w:rsidP="00332F91" w:rsidRDefault="00A1062E" w14:paraId="0C195A47" w14:textId="0D2CCB4A">
      <w:pPr>
        <w:pStyle w:val="10sp0"/>
        <w:spacing w:line="276" w:lineRule="auto"/>
        <w:rPr>
          <w:rFonts w:ascii="Palatino Linotype" w:hAnsi="Palatino Linotype"/>
          <w:color w:val="000000" w:themeColor="text1"/>
        </w:rPr>
      </w:pPr>
      <w:r w:rsidRPr="00391600">
        <w:rPr>
          <w:rFonts w:ascii="Palatino Linotype" w:hAnsi="Palatino Linotype"/>
          <w:color w:val="000000" w:themeColor="text1"/>
        </w:rPr>
        <w:t>In response to Resolution comments, t</w:t>
      </w:r>
      <w:r w:rsidRPr="00391600" w:rsidR="00332F91">
        <w:rPr>
          <w:rFonts w:ascii="Palatino Linotype" w:hAnsi="Palatino Linotype"/>
          <w:color w:val="000000" w:themeColor="text1"/>
        </w:rPr>
        <w:t>his Resolution was modified to allow the CEC to collect</w:t>
      </w:r>
      <w:r w:rsidRPr="00391600" w:rsidR="00507603">
        <w:rPr>
          <w:rFonts w:ascii="Palatino Linotype" w:hAnsi="Palatino Linotype"/>
          <w:color w:val="000000" w:themeColor="text1"/>
        </w:rPr>
        <w:t xml:space="preserve"> </w:t>
      </w:r>
      <w:r w:rsidRPr="00391600" w:rsidR="00544F17">
        <w:rPr>
          <w:rFonts w:ascii="Palatino Linotype" w:hAnsi="Palatino Linotype"/>
          <w:color w:val="000000" w:themeColor="text1"/>
        </w:rPr>
        <w:t>$2.4M in</w:t>
      </w:r>
      <w:r w:rsidRPr="00391600" w:rsidR="00332F91">
        <w:rPr>
          <w:rFonts w:ascii="Palatino Linotype" w:hAnsi="Palatino Linotype"/>
          <w:color w:val="000000" w:themeColor="text1"/>
        </w:rPr>
        <w:t xml:space="preserve"> new</w:t>
      </w:r>
      <w:r w:rsidRPr="00391600" w:rsidR="00544F17">
        <w:rPr>
          <w:rFonts w:ascii="Palatino Linotype" w:hAnsi="Palatino Linotype"/>
          <w:color w:val="000000" w:themeColor="text1"/>
        </w:rPr>
        <w:t>, additional</w:t>
      </w:r>
      <w:r w:rsidRPr="00391600" w:rsidR="00332F91">
        <w:rPr>
          <w:rFonts w:ascii="Palatino Linotype" w:hAnsi="Palatino Linotype"/>
          <w:color w:val="000000" w:themeColor="text1"/>
        </w:rPr>
        <w:t xml:space="preserve"> ratepayer funds to support the administrative needs of implementing its </w:t>
      </w:r>
      <w:r w:rsidRPr="00391600" w:rsidR="0078557F">
        <w:rPr>
          <w:rFonts w:ascii="Palatino Linotype" w:hAnsi="Palatino Linotype"/>
          <w:color w:val="000000" w:themeColor="text1"/>
        </w:rPr>
        <w:t xml:space="preserve">2024 and </w:t>
      </w:r>
      <w:r w:rsidRPr="00391600" w:rsidR="00332F91">
        <w:rPr>
          <w:rFonts w:ascii="Palatino Linotype" w:hAnsi="Palatino Linotype"/>
          <w:color w:val="000000" w:themeColor="text1"/>
        </w:rPr>
        <w:t>2025 Gas RD&amp;D Plan</w:t>
      </w:r>
      <w:r w:rsidRPr="00391600" w:rsidR="0078557F">
        <w:rPr>
          <w:rFonts w:ascii="Palatino Linotype" w:hAnsi="Palatino Linotype"/>
          <w:color w:val="000000" w:themeColor="text1"/>
        </w:rPr>
        <w:t>s</w:t>
      </w:r>
      <w:r w:rsidRPr="00391600" w:rsidR="00332F91">
        <w:rPr>
          <w:rFonts w:ascii="Palatino Linotype" w:hAnsi="Palatino Linotype"/>
          <w:color w:val="000000" w:themeColor="text1"/>
        </w:rPr>
        <w:t>. The CEC may collect an additional and limited $2.4</w:t>
      </w:r>
      <w:r w:rsidRPr="00391600" w:rsidR="002D4B3E">
        <w:rPr>
          <w:rFonts w:ascii="Palatino Linotype" w:hAnsi="Palatino Linotype"/>
          <w:color w:val="000000" w:themeColor="text1"/>
        </w:rPr>
        <w:t>M</w:t>
      </w:r>
      <w:r w:rsidRPr="00391600" w:rsidR="00332F91">
        <w:rPr>
          <w:rFonts w:ascii="Palatino Linotype" w:hAnsi="Palatino Linotype"/>
          <w:color w:val="000000" w:themeColor="text1"/>
        </w:rPr>
        <w:t xml:space="preserve"> in new ratepayer funds for administrative costs</w:t>
      </w:r>
      <w:r w:rsidRPr="00391600" w:rsidR="0078557F">
        <w:rPr>
          <w:rFonts w:ascii="Palatino Linotype" w:hAnsi="Palatino Linotype"/>
          <w:color w:val="000000" w:themeColor="text1"/>
        </w:rPr>
        <w:t xml:space="preserve"> for both the 2024 Plan Year and 2025 Plan Year</w:t>
      </w:r>
      <w:r w:rsidRPr="00391600" w:rsidR="00332F91">
        <w:rPr>
          <w:rFonts w:ascii="Palatino Linotype" w:hAnsi="Palatino Linotype"/>
          <w:color w:val="000000" w:themeColor="text1"/>
        </w:rPr>
        <w:t>, consistent with $2.4</w:t>
      </w:r>
      <w:r w:rsidRPr="00391600" w:rsidR="002D4B3E">
        <w:rPr>
          <w:rFonts w:ascii="Palatino Linotype" w:hAnsi="Palatino Linotype"/>
          <w:color w:val="000000" w:themeColor="text1"/>
        </w:rPr>
        <w:t>M</w:t>
      </w:r>
      <w:r w:rsidRPr="00391600" w:rsidR="00332F91">
        <w:rPr>
          <w:rFonts w:ascii="Palatino Linotype" w:hAnsi="Palatino Linotype"/>
          <w:color w:val="000000" w:themeColor="text1"/>
        </w:rPr>
        <w:t xml:space="preserve"> allocated in previous years for administrative costs. This </w:t>
      </w:r>
      <w:r w:rsidRPr="00391600" w:rsidR="0078557F">
        <w:rPr>
          <w:rFonts w:ascii="Palatino Linotype" w:hAnsi="Palatino Linotype"/>
          <w:color w:val="000000" w:themeColor="text1"/>
        </w:rPr>
        <w:t xml:space="preserve">additional ratepayer funding </w:t>
      </w:r>
      <w:r w:rsidRPr="00391600" w:rsidR="00332F91">
        <w:rPr>
          <w:rFonts w:ascii="Palatino Linotype" w:hAnsi="Palatino Linotype"/>
          <w:color w:val="000000" w:themeColor="text1"/>
        </w:rPr>
        <w:t xml:space="preserve">represents an exception to the Commission’s requirement for a 10% budget cap </w:t>
      </w:r>
      <w:r w:rsidRPr="00391600" w:rsidR="0078557F">
        <w:rPr>
          <w:rFonts w:ascii="Palatino Linotype" w:hAnsi="Palatino Linotype"/>
          <w:color w:val="000000" w:themeColor="text1"/>
        </w:rPr>
        <w:t xml:space="preserve">on administrative funding of a </w:t>
      </w:r>
      <w:r w:rsidRPr="00391600" w:rsidR="00332F91">
        <w:rPr>
          <w:rFonts w:ascii="Palatino Linotype" w:hAnsi="Palatino Linotype"/>
          <w:color w:val="000000" w:themeColor="text1"/>
        </w:rPr>
        <w:t xml:space="preserve">CEC </w:t>
      </w:r>
      <w:r w:rsidRPr="00391600" w:rsidR="00DA3BC1">
        <w:rPr>
          <w:rFonts w:ascii="Palatino Linotype" w:hAnsi="Palatino Linotype"/>
          <w:color w:val="000000" w:themeColor="text1"/>
        </w:rPr>
        <w:t>annual</w:t>
      </w:r>
      <w:r w:rsidRPr="00391600" w:rsidR="00C93F0A">
        <w:rPr>
          <w:rFonts w:ascii="Palatino Linotype" w:hAnsi="Palatino Linotype"/>
          <w:color w:val="000000" w:themeColor="text1"/>
        </w:rPr>
        <w:t xml:space="preserve"> </w:t>
      </w:r>
      <w:r w:rsidRPr="00391600" w:rsidR="00332F91">
        <w:rPr>
          <w:rFonts w:ascii="Palatino Linotype" w:hAnsi="Palatino Linotype"/>
          <w:color w:val="000000" w:themeColor="text1"/>
        </w:rPr>
        <w:t xml:space="preserve">budget level adopted in Resolution G-3546 (2019) and </w:t>
      </w:r>
      <w:r w:rsidRPr="00391600" w:rsidR="00596213">
        <w:rPr>
          <w:rFonts w:ascii="Palatino Linotype" w:hAnsi="Palatino Linotype"/>
          <w:color w:val="000000" w:themeColor="text1"/>
        </w:rPr>
        <w:t>reiterated</w:t>
      </w:r>
      <w:r w:rsidRPr="00391600" w:rsidR="003F33EF">
        <w:rPr>
          <w:rFonts w:ascii="Palatino Linotype" w:hAnsi="Palatino Linotype"/>
          <w:color w:val="000000" w:themeColor="text1"/>
        </w:rPr>
        <w:t xml:space="preserve"> </w:t>
      </w:r>
      <w:r w:rsidRPr="00391600" w:rsidR="00332F91">
        <w:rPr>
          <w:rFonts w:ascii="Palatino Linotype" w:hAnsi="Palatino Linotype"/>
          <w:color w:val="000000" w:themeColor="text1"/>
        </w:rPr>
        <w:t>in Resolution G-3592 (2023).</w:t>
      </w:r>
      <w:r w:rsidRPr="00391600" w:rsidR="00332F91">
        <w:rPr>
          <w:rStyle w:val="FootnoteReference"/>
          <w:rFonts w:ascii="Palatino Linotype" w:hAnsi="Palatino Linotype"/>
          <w:color w:val="000000" w:themeColor="text1"/>
        </w:rPr>
        <w:footnoteReference w:id="76"/>
      </w:r>
      <w:r w:rsidRPr="00391600" w:rsidR="00511ABD">
        <w:rPr>
          <w:rFonts w:ascii="Palatino Linotype" w:hAnsi="Palatino Linotype"/>
          <w:color w:val="000000" w:themeColor="text1"/>
        </w:rPr>
        <w:t xml:space="preserve"> See further explanation in the Comments section of this Resolution.</w:t>
      </w:r>
    </w:p>
    <w:p w:rsidRPr="00391600" w:rsidR="00F37100" w:rsidP="002B6C26" w:rsidRDefault="00BF6683" w14:paraId="1395CEFC" w14:textId="6CEB5BF0">
      <w:pPr>
        <w:spacing w:after="0" w:line="276" w:lineRule="auto"/>
        <w:rPr>
          <w:rFonts w:ascii="Palatino Linotype" w:hAnsi="Palatino Linotype" w:eastAsia="Times New Roman" w:cs="Times New Roman"/>
          <w:b/>
          <w:color w:val="000000" w:themeColor="text1"/>
          <w:kern w:val="0"/>
          <w14:ligatures w14:val="none"/>
        </w:rPr>
      </w:pPr>
      <w:r w:rsidRPr="00391600">
        <w:rPr>
          <w:rFonts w:ascii="Palatino Linotype" w:hAnsi="Palatino Linotype" w:eastAsia="Palatino Linotype"/>
          <w:color w:val="000000" w:themeColor="text1"/>
        </w:rPr>
        <w:t>If, a</w:t>
      </w:r>
      <w:r w:rsidRPr="00391600" w:rsidR="00914F7E">
        <w:rPr>
          <w:rFonts w:ascii="Palatino Linotype" w:hAnsi="Palatino Linotype" w:eastAsia="Palatino Linotype"/>
          <w:color w:val="000000" w:themeColor="text1"/>
        </w:rPr>
        <w:t>t the time this Resolution is issued,</w:t>
      </w:r>
      <w:r w:rsidRPr="00391600" w:rsidDel="00BF6683" w:rsidR="00914F7E">
        <w:rPr>
          <w:rFonts w:ascii="Palatino Linotype" w:hAnsi="Palatino Linotype" w:eastAsia="Palatino Linotype"/>
          <w:color w:val="000000" w:themeColor="text1"/>
        </w:rPr>
        <w:t xml:space="preserve"> </w:t>
      </w:r>
      <w:r w:rsidRPr="00391600" w:rsidR="00914F7E">
        <w:rPr>
          <w:rFonts w:ascii="Palatino Linotype" w:hAnsi="Palatino Linotype" w:eastAsia="Palatino Linotype"/>
          <w:color w:val="000000" w:themeColor="text1"/>
        </w:rPr>
        <w:t xml:space="preserve">the CEC has encumbered or spent a portion of the approximately $31M in </w:t>
      </w:r>
      <w:r w:rsidRPr="00391600" w:rsidR="00460460">
        <w:rPr>
          <w:rFonts w:ascii="Palatino Linotype" w:hAnsi="Palatino Linotype" w:eastAsia="Palatino Linotype"/>
          <w:color w:val="000000" w:themeColor="text1"/>
        </w:rPr>
        <w:t xml:space="preserve">identified </w:t>
      </w:r>
      <w:r w:rsidRPr="00391600" w:rsidR="00914F7E">
        <w:rPr>
          <w:rFonts w:ascii="Palatino Linotype" w:hAnsi="Palatino Linotype" w:eastAsia="Palatino Linotype"/>
          <w:color w:val="000000" w:themeColor="text1"/>
        </w:rPr>
        <w:t>unspent</w:t>
      </w:r>
      <w:r w:rsidRPr="00391600" w:rsidR="00914F7E">
        <w:rPr>
          <w:rFonts w:ascii="Palatino Linotype" w:hAnsi="Palatino Linotype" w:eastAsia="Palatino Linotype"/>
          <w:b/>
          <w:bCs/>
          <w:color w:val="000000" w:themeColor="text1"/>
        </w:rPr>
        <w:t xml:space="preserve"> </w:t>
      </w:r>
      <w:r w:rsidRPr="00391600" w:rsidR="00914F7E">
        <w:rPr>
          <w:rFonts w:ascii="Palatino Linotype" w:hAnsi="Palatino Linotype" w:eastAsia="Palatino Linotype"/>
          <w:color w:val="000000" w:themeColor="text1"/>
        </w:rPr>
        <w:t xml:space="preserve">funds since reporting balances </w:t>
      </w:r>
      <w:r w:rsidRPr="00391600" w:rsidR="00DD19A6">
        <w:rPr>
          <w:rFonts w:ascii="Palatino Linotype" w:hAnsi="Palatino Linotype" w:eastAsia="Palatino Linotype"/>
          <w:color w:val="000000" w:themeColor="text1"/>
        </w:rPr>
        <w:t xml:space="preserve">to the CPUC </w:t>
      </w:r>
      <w:r w:rsidRPr="00391600" w:rsidR="00914F7E">
        <w:rPr>
          <w:rFonts w:ascii="Palatino Linotype" w:hAnsi="Palatino Linotype" w:eastAsia="Palatino Linotype"/>
          <w:color w:val="000000" w:themeColor="text1"/>
        </w:rPr>
        <w:t xml:space="preserve">on April 30, 2026, the CEC shall provide updated balances to Energy Division in its Tier 2 ALs in the format </w:t>
      </w:r>
      <w:r w:rsidRPr="00391600" w:rsidR="00DD19A6">
        <w:rPr>
          <w:rFonts w:ascii="Palatino Linotype" w:hAnsi="Palatino Linotype" w:eastAsia="Palatino Linotype"/>
          <w:color w:val="000000" w:themeColor="text1"/>
        </w:rPr>
        <w:t xml:space="preserve">provided in </w:t>
      </w:r>
      <w:r w:rsidRPr="00391600" w:rsidR="00914F7E">
        <w:rPr>
          <w:rFonts w:ascii="Palatino Linotype" w:hAnsi="Palatino Linotype" w:eastAsia="Palatino Linotype"/>
          <w:color w:val="000000" w:themeColor="text1"/>
        </w:rPr>
        <w:t xml:space="preserve">Appendix </w:t>
      </w:r>
      <w:r w:rsidRPr="00391600" w:rsidR="00587988">
        <w:rPr>
          <w:rFonts w:ascii="Palatino Linotype" w:hAnsi="Palatino Linotype" w:eastAsia="Palatino Linotype"/>
          <w:color w:val="000000" w:themeColor="text1"/>
        </w:rPr>
        <w:t>F</w:t>
      </w:r>
      <w:r w:rsidRPr="00391600" w:rsidR="00914F7E">
        <w:rPr>
          <w:rFonts w:ascii="Palatino Linotype" w:hAnsi="Palatino Linotype" w:eastAsia="Palatino Linotype"/>
          <w:color w:val="000000" w:themeColor="text1"/>
        </w:rPr>
        <w:t xml:space="preserve">. In its Tier 2 AL, the CEC shall also report commercial benefits from </w:t>
      </w:r>
      <w:r w:rsidRPr="00391600" w:rsidR="00955969">
        <w:rPr>
          <w:rFonts w:ascii="Palatino Linotype" w:hAnsi="Palatino Linotype" w:eastAsia="Palatino Linotype"/>
          <w:color w:val="000000" w:themeColor="text1"/>
        </w:rPr>
        <w:t xml:space="preserve">previous </w:t>
      </w:r>
      <w:r w:rsidRPr="00391600" w:rsidR="00914F7E">
        <w:rPr>
          <w:rFonts w:ascii="Palatino Linotype" w:hAnsi="Palatino Linotype" w:eastAsia="Palatino Linotype"/>
          <w:color w:val="000000" w:themeColor="text1"/>
        </w:rPr>
        <w:t>Gas RD&amp;D investments or otherwise state that none have accrued</w:t>
      </w:r>
      <w:r w:rsidRPr="00391600" w:rsidR="005057A7">
        <w:rPr>
          <w:rFonts w:ascii="Palatino Linotype" w:hAnsi="Palatino Linotype" w:eastAsia="Palatino Linotype"/>
          <w:color w:val="000000" w:themeColor="text1"/>
        </w:rPr>
        <w:t>.</w:t>
      </w:r>
      <w:r w:rsidRPr="00391600" w:rsidR="00914F7E">
        <w:rPr>
          <w:rFonts w:ascii="Palatino Linotype" w:hAnsi="Palatino Linotype" w:eastAsia="Palatino Linotype"/>
          <w:color w:val="000000" w:themeColor="text1"/>
        </w:rPr>
        <w:t xml:space="preserve"> Energy Division is authorized to modify the calculations of </w:t>
      </w:r>
      <w:r w:rsidRPr="00391600" w:rsidR="005B6D03">
        <w:rPr>
          <w:rFonts w:ascii="Palatino Linotype" w:hAnsi="Palatino Linotype" w:eastAsia="Palatino Linotype"/>
          <w:color w:val="000000" w:themeColor="text1"/>
        </w:rPr>
        <w:t xml:space="preserve">the </w:t>
      </w:r>
      <w:r w:rsidRPr="00391600" w:rsidR="00914F7E">
        <w:rPr>
          <w:rFonts w:ascii="Palatino Linotype" w:hAnsi="Palatino Linotype" w:eastAsia="Palatino Linotype"/>
          <w:color w:val="000000" w:themeColor="text1"/>
        </w:rPr>
        <w:lastRenderedPageBreak/>
        <w:t xml:space="preserve">CEC’s 2025 Plan budget commensurately based on the </w:t>
      </w:r>
      <w:r w:rsidRPr="00391600" w:rsidR="0034515C">
        <w:rPr>
          <w:rFonts w:ascii="Palatino Linotype" w:hAnsi="Palatino Linotype" w:eastAsia="Palatino Linotype"/>
          <w:color w:val="000000" w:themeColor="text1"/>
        </w:rPr>
        <w:t xml:space="preserve">updated </w:t>
      </w:r>
      <w:r w:rsidRPr="00391600" w:rsidR="00914F7E">
        <w:rPr>
          <w:rFonts w:ascii="Palatino Linotype" w:hAnsi="Palatino Linotype" w:eastAsia="Palatino Linotype"/>
          <w:color w:val="000000" w:themeColor="text1"/>
        </w:rPr>
        <w:t xml:space="preserve">balances of unspent funds in addition to commercial benefits according to the methods described in this Resolution. </w:t>
      </w:r>
    </w:p>
    <w:p w:rsidRPr="00391600" w:rsidR="00554151" w:rsidP="00CA2AF6" w:rsidRDefault="00554151" w14:paraId="782CA937" w14:textId="77777777">
      <w:pPr>
        <w:spacing w:after="0" w:line="276" w:lineRule="auto"/>
        <w:rPr>
          <w:rFonts w:ascii="Palatino Linotype" w:hAnsi="Palatino Linotype" w:eastAsia="Times New Roman" w:cs="Times New Roman"/>
          <w:b/>
          <w:bCs/>
          <w:color w:val="000000" w:themeColor="text1"/>
          <w:kern w:val="0"/>
          <w14:ligatures w14:val="none"/>
        </w:rPr>
      </w:pPr>
    </w:p>
    <w:tbl>
      <w:tblPr>
        <w:tblStyle w:val="TableGrid"/>
        <w:tblW w:w="9558" w:type="dxa"/>
        <w:tblInd w:w="-113" w:type="dxa"/>
        <w:tblLayout w:type="fixed"/>
        <w:tblLook w:val="04A0" w:firstRow="1" w:lastRow="0" w:firstColumn="1" w:lastColumn="0" w:noHBand="0" w:noVBand="1"/>
      </w:tblPr>
      <w:tblGrid>
        <w:gridCol w:w="7038"/>
        <w:gridCol w:w="540"/>
        <w:gridCol w:w="1980"/>
      </w:tblGrid>
      <w:tr w:rsidRPr="00391600" w:rsidR="00465E31" w:rsidTr="6FAFEDE3" w14:paraId="1CDF40E3" w14:textId="77777777">
        <w:tc>
          <w:tcPr>
            <w:tcW w:w="9558" w:type="dxa"/>
            <w:gridSpan w:val="3"/>
          </w:tcPr>
          <w:p w:rsidRPr="00391600" w:rsidR="00465E31" w:rsidRDefault="00465E31" w14:paraId="40A1DE70" w14:textId="5AA749BE">
            <w:pPr>
              <w:jc w:val="center"/>
              <w:rPr>
                <w:rFonts w:ascii="Palatino Linotype" w:hAnsi="Palatino Linotype"/>
                <w:b/>
                <w:bCs/>
                <w:color w:val="000000" w:themeColor="text1"/>
              </w:rPr>
            </w:pPr>
            <w:r w:rsidRPr="00391600">
              <w:rPr>
                <w:rFonts w:ascii="Palatino Linotype" w:hAnsi="Palatino Linotype"/>
                <w:b/>
                <w:bCs/>
                <w:color w:val="000000" w:themeColor="text1"/>
              </w:rPr>
              <w:t xml:space="preserve">Table </w:t>
            </w:r>
            <w:r w:rsidRPr="00391600" w:rsidR="00A62009">
              <w:rPr>
                <w:rFonts w:ascii="Palatino Linotype" w:hAnsi="Palatino Linotype"/>
                <w:b/>
                <w:bCs/>
                <w:color w:val="000000" w:themeColor="text1"/>
              </w:rPr>
              <w:t>6</w:t>
            </w:r>
            <w:r w:rsidRPr="00391600">
              <w:rPr>
                <w:rFonts w:ascii="Palatino Linotype" w:hAnsi="Palatino Linotype"/>
                <w:b/>
                <w:bCs/>
                <w:color w:val="000000" w:themeColor="text1"/>
              </w:rPr>
              <w:t>: CEC’s 2025 Gas RD&amp;D Plan Budgets</w:t>
            </w:r>
          </w:p>
        </w:tc>
      </w:tr>
      <w:tr w:rsidRPr="00391600" w:rsidR="00A471E3" w:rsidTr="6FAFEDE3" w14:paraId="350A12B9" w14:textId="77777777">
        <w:tc>
          <w:tcPr>
            <w:tcW w:w="7038" w:type="dxa"/>
            <w:tcBorders>
              <w:right w:val="single" w:color="auto" w:sz="4" w:space="0"/>
            </w:tcBorders>
          </w:tcPr>
          <w:p w:rsidRPr="00391600" w:rsidR="00A471E3" w:rsidP="00A97EB6" w:rsidRDefault="19E66C67" w14:paraId="10FAECB2" w14:textId="054BF544">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Total</w:t>
            </w:r>
            <w:r w:rsidRPr="00391600" w:rsidDel="00614FCD" w:rsidR="44405E5A">
              <w:rPr>
                <w:rFonts w:ascii="Palatino Linotype" w:hAnsi="Palatino Linotype"/>
                <w:color w:val="000000" w:themeColor="text1"/>
                <w:sz w:val="22"/>
                <w:szCs w:val="22"/>
              </w:rPr>
              <w:t xml:space="preserve"> </w:t>
            </w:r>
            <w:r w:rsidRPr="00391600" w:rsidR="4DB44D28">
              <w:rPr>
                <w:rFonts w:ascii="Palatino Linotype" w:hAnsi="Palatino Linotype"/>
                <w:color w:val="000000" w:themeColor="text1"/>
                <w:sz w:val="22"/>
                <w:szCs w:val="22"/>
              </w:rPr>
              <w:t xml:space="preserve">Identified </w:t>
            </w:r>
            <w:r w:rsidRPr="00391600" w:rsidR="44405E5A">
              <w:rPr>
                <w:rFonts w:ascii="Palatino Linotype" w:hAnsi="Palatino Linotype"/>
                <w:color w:val="000000" w:themeColor="text1"/>
                <w:sz w:val="22"/>
                <w:szCs w:val="22"/>
              </w:rPr>
              <w:t>Unspent Funds per April 30, 2026, Data Request</w:t>
            </w:r>
            <w:r w:rsidRPr="00391600" w:rsidR="00987734">
              <w:rPr>
                <w:rStyle w:val="FootnoteReference"/>
                <w:rFonts w:ascii="Palatino Linotype" w:hAnsi="Palatino Linotype"/>
                <w:color w:val="000000" w:themeColor="text1"/>
                <w:sz w:val="22"/>
                <w:szCs w:val="22"/>
              </w:rPr>
              <w:footnoteReference w:id="77"/>
            </w:r>
          </w:p>
        </w:tc>
        <w:tc>
          <w:tcPr>
            <w:tcW w:w="540" w:type="dxa"/>
            <w:tcBorders>
              <w:top w:val="single" w:color="auto" w:sz="4" w:space="0"/>
              <w:left w:val="single" w:color="auto" w:sz="4" w:space="0"/>
              <w:bottom w:val="single" w:color="auto" w:sz="4" w:space="0"/>
              <w:right w:val="nil"/>
            </w:tcBorders>
            <w:vAlign w:val="center"/>
          </w:tcPr>
          <w:p w:rsidRPr="00391600" w:rsidR="00A471E3" w:rsidP="00A97EB6" w:rsidRDefault="00B42D4B" w14:paraId="055721EA" w14:textId="07FEA191">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A471E3" w:rsidP="00A97EB6" w:rsidRDefault="00B42D4B" w14:paraId="7ABCB8CA" w14:textId="5C66F04A">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31,076,69</w:t>
            </w:r>
            <w:r w:rsidRPr="00391600" w:rsidR="008E0569">
              <w:rPr>
                <w:rFonts w:ascii="Palatino Linotype" w:hAnsi="Palatino Linotype"/>
                <w:color w:val="000000" w:themeColor="text1"/>
                <w:sz w:val="22"/>
                <w:szCs w:val="22"/>
              </w:rPr>
              <w:t>0</w:t>
            </w:r>
          </w:p>
        </w:tc>
      </w:tr>
      <w:tr w:rsidRPr="00391600" w:rsidR="002337FE" w:rsidTr="6FAFEDE3" w14:paraId="6297F701" w14:textId="77777777">
        <w:tc>
          <w:tcPr>
            <w:tcW w:w="7038" w:type="dxa"/>
            <w:tcBorders>
              <w:right w:val="single" w:color="auto" w:sz="4" w:space="0"/>
            </w:tcBorders>
          </w:tcPr>
          <w:p w:rsidRPr="00391600" w:rsidR="002337FE" w:rsidP="00A97EB6" w:rsidRDefault="00624604" w14:paraId="0D5F0816" w14:textId="3E6E198C">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Funding Re-allocated from Unspent Funds to 2024 Plan</w:t>
            </w:r>
          </w:p>
        </w:tc>
        <w:tc>
          <w:tcPr>
            <w:tcW w:w="540" w:type="dxa"/>
            <w:tcBorders>
              <w:top w:val="single" w:color="auto" w:sz="4" w:space="0"/>
              <w:left w:val="single" w:color="auto" w:sz="4" w:space="0"/>
              <w:bottom w:val="single" w:color="auto" w:sz="4" w:space="0"/>
              <w:right w:val="nil"/>
            </w:tcBorders>
            <w:vAlign w:val="center"/>
          </w:tcPr>
          <w:p w:rsidRPr="00391600" w:rsidR="002337FE" w:rsidP="00A97EB6" w:rsidRDefault="00624604" w14:paraId="11C5F1D0" w14:textId="1EF9BFBC">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2337FE" w:rsidP="00A97EB6" w:rsidRDefault="00624604" w14:paraId="71DA666A" w14:textId="136E37A1">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21,600,000</w:t>
            </w:r>
          </w:p>
        </w:tc>
      </w:tr>
      <w:tr w:rsidRPr="00391600" w:rsidR="00A97EB6" w:rsidTr="6FAFEDE3" w14:paraId="18C2B895" w14:textId="77777777">
        <w:tc>
          <w:tcPr>
            <w:tcW w:w="7038" w:type="dxa"/>
            <w:tcBorders>
              <w:right w:val="single" w:color="auto" w:sz="4" w:space="0"/>
            </w:tcBorders>
          </w:tcPr>
          <w:p w:rsidRPr="00391600" w:rsidR="00A97EB6" w:rsidP="00A97EB6" w:rsidRDefault="003A7AD1" w14:paraId="4B589587" w14:textId="741D28F6">
            <w:pPr>
              <w:rPr>
                <w:rFonts w:ascii="Palatino Linotype" w:hAnsi="Palatino Linotype"/>
                <w:color w:val="000000" w:themeColor="text1"/>
                <w:sz w:val="22"/>
                <w:szCs w:val="22"/>
              </w:rPr>
            </w:pPr>
            <w:r w:rsidRPr="00391600">
              <w:rPr>
                <w:rFonts w:ascii="Palatino Linotype" w:hAnsi="Palatino Linotype"/>
                <w:b/>
                <w:bCs/>
                <w:color w:val="000000" w:themeColor="text1"/>
                <w:sz w:val="22"/>
                <w:szCs w:val="22"/>
              </w:rPr>
              <w:t xml:space="preserve">Utilized </w:t>
            </w:r>
            <w:r w:rsidRPr="00391600" w:rsidR="00A97EB6">
              <w:rPr>
                <w:rFonts w:ascii="Palatino Linotype" w:hAnsi="Palatino Linotype"/>
                <w:b/>
                <w:bCs/>
                <w:color w:val="000000" w:themeColor="text1"/>
                <w:sz w:val="22"/>
                <w:szCs w:val="22"/>
              </w:rPr>
              <w:t xml:space="preserve">Unspent Funds for </w:t>
            </w:r>
            <w:r w:rsidRPr="00391600" w:rsidR="00624604">
              <w:rPr>
                <w:rFonts w:ascii="Palatino Linotype" w:hAnsi="Palatino Linotype"/>
                <w:b/>
                <w:bCs/>
                <w:color w:val="000000" w:themeColor="text1"/>
                <w:sz w:val="22"/>
                <w:szCs w:val="22"/>
              </w:rPr>
              <w:t xml:space="preserve">2025 </w:t>
            </w:r>
            <w:r w:rsidRPr="00391600" w:rsidR="00A97EB6">
              <w:rPr>
                <w:rFonts w:ascii="Palatino Linotype" w:hAnsi="Palatino Linotype"/>
                <w:b/>
                <w:bCs/>
                <w:color w:val="000000" w:themeColor="text1"/>
                <w:sz w:val="22"/>
                <w:szCs w:val="22"/>
              </w:rPr>
              <w:t>Initiatives</w:t>
            </w:r>
          </w:p>
        </w:tc>
        <w:tc>
          <w:tcPr>
            <w:tcW w:w="540" w:type="dxa"/>
            <w:tcBorders>
              <w:top w:val="single" w:color="auto" w:sz="4" w:space="0"/>
              <w:left w:val="single" w:color="auto" w:sz="4" w:space="0"/>
              <w:bottom w:val="single" w:color="auto" w:sz="4" w:space="0"/>
              <w:right w:val="nil"/>
            </w:tcBorders>
            <w:vAlign w:val="center"/>
          </w:tcPr>
          <w:p w:rsidRPr="00391600" w:rsidR="00A97EB6" w:rsidP="00A97EB6" w:rsidRDefault="00A97EB6" w14:paraId="5694B9F2"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A97EB6" w:rsidP="00A97EB6" w:rsidRDefault="00A97EB6" w14:paraId="22AE6E1B" w14:textId="1DB95CA8">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9,476,69</w:t>
            </w:r>
            <w:r w:rsidRPr="00391600" w:rsidR="008E0569">
              <w:rPr>
                <w:rFonts w:ascii="Palatino Linotype" w:hAnsi="Palatino Linotype"/>
                <w:color w:val="000000" w:themeColor="text1"/>
                <w:sz w:val="22"/>
                <w:szCs w:val="22"/>
              </w:rPr>
              <w:t>0</w:t>
            </w:r>
          </w:p>
        </w:tc>
      </w:tr>
      <w:tr w:rsidRPr="00391600" w:rsidR="00465E31" w:rsidTr="6FAFEDE3" w14:paraId="6BDA0178" w14:textId="77777777">
        <w:tc>
          <w:tcPr>
            <w:tcW w:w="7038" w:type="dxa"/>
            <w:tcBorders>
              <w:right w:val="single" w:color="auto" w:sz="4" w:space="0"/>
            </w:tcBorders>
          </w:tcPr>
          <w:p w:rsidRPr="00391600" w:rsidR="00465E31" w:rsidRDefault="00465E31" w14:paraId="012FFD81"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New Ratepayer Funds for Initiatives</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777FBE08"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465E31" w14:paraId="7AAA21A7" w14:textId="661D539B">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12,123,3</w:t>
            </w:r>
            <w:r w:rsidRPr="00391600" w:rsidR="008E0569">
              <w:rPr>
                <w:rFonts w:ascii="Palatino Linotype" w:hAnsi="Palatino Linotype"/>
                <w:color w:val="000000" w:themeColor="text1"/>
                <w:sz w:val="22"/>
                <w:szCs w:val="22"/>
              </w:rPr>
              <w:t>10</w:t>
            </w:r>
          </w:p>
        </w:tc>
      </w:tr>
      <w:tr w:rsidRPr="00391600" w:rsidR="00465E31" w:rsidTr="6FAFEDE3" w14:paraId="571C6202" w14:textId="77777777">
        <w:tc>
          <w:tcPr>
            <w:tcW w:w="7038" w:type="dxa"/>
            <w:tcBorders>
              <w:right w:val="single" w:color="auto" w:sz="4" w:space="0"/>
            </w:tcBorders>
          </w:tcPr>
          <w:p w:rsidRPr="00391600" w:rsidR="00465E31" w:rsidRDefault="00465E31" w14:paraId="257757E6"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New Ratepayer Funds for Program Administration</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55B7FF31"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8E0569" w14:paraId="0EC5D8D7" w14:textId="0E1D43FE">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2,400,000</w:t>
            </w:r>
          </w:p>
        </w:tc>
      </w:tr>
      <w:tr w:rsidRPr="00391600" w:rsidR="00465E31" w:rsidTr="6FAFEDE3" w14:paraId="1E37258F" w14:textId="77777777">
        <w:tc>
          <w:tcPr>
            <w:tcW w:w="7038" w:type="dxa"/>
            <w:tcBorders>
              <w:right w:val="single" w:color="auto" w:sz="4" w:space="0"/>
            </w:tcBorders>
          </w:tcPr>
          <w:p w:rsidRPr="00391600" w:rsidR="00465E31" w:rsidRDefault="00465E31" w14:paraId="76E8BF83"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New Ratepayer Funds</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5480E398"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465E31" w14:paraId="6FA814E9" w14:textId="00740B46">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1</w:t>
            </w:r>
            <w:r w:rsidRPr="00391600" w:rsidR="002F6D74">
              <w:rPr>
                <w:rFonts w:ascii="Palatino Linotype" w:hAnsi="Palatino Linotype"/>
                <w:color w:val="000000" w:themeColor="text1"/>
                <w:sz w:val="22"/>
                <w:szCs w:val="22"/>
              </w:rPr>
              <w:t>4,523,310</w:t>
            </w:r>
          </w:p>
        </w:tc>
      </w:tr>
      <w:tr w:rsidRPr="00391600" w:rsidR="00465E31" w:rsidTr="6FAFEDE3" w14:paraId="625D1B44" w14:textId="77777777">
        <w:tc>
          <w:tcPr>
            <w:tcW w:w="7038" w:type="dxa"/>
            <w:tcBorders>
              <w:right w:val="single" w:color="auto" w:sz="4" w:space="0"/>
            </w:tcBorders>
          </w:tcPr>
          <w:p w:rsidRPr="00391600" w:rsidR="00465E31" w:rsidRDefault="00465E31" w14:paraId="44A89C9E"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Budget for Initiatives</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6C3EDB4E"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465E31" w14:paraId="42701EDF" w14:textId="77777777">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21,600,000</w:t>
            </w:r>
          </w:p>
        </w:tc>
      </w:tr>
      <w:tr w:rsidRPr="00391600" w:rsidR="00465E31" w:rsidTr="6FAFEDE3" w14:paraId="74233768" w14:textId="77777777">
        <w:tc>
          <w:tcPr>
            <w:tcW w:w="7038" w:type="dxa"/>
            <w:tcBorders>
              <w:right w:val="single" w:color="auto" w:sz="4" w:space="0"/>
            </w:tcBorders>
          </w:tcPr>
          <w:p w:rsidRPr="00391600" w:rsidR="00465E31" w:rsidRDefault="00465E31" w14:paraId="28EBD9C5"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Budget for Program Administration</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403303EC"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A97EB6" w14:paraId="002A5C4A" w14:textId="1B78200E">
            <w:pPr>
              <w:jc w:val="right"/>
              <w:rPr>
                <w:rFonts w:ascii="Palatino Linotype" w:hAnsi="Palatino Linotype"/>
                <w:color w:val="000000" w:themeColor="text1"/>
                <w:sz w:val="22"/>
                <w:szCs w:val="22"/>
              </w:rPr>
            </w:pPr>
            <w:r w:rsidRPr="00391600">
              <w:rPr>
                <w:rFonts w:ascii="Palatino Linotype" w:hAnsi="Palatino Linotype"/>
                <w:color w:val="000000" w:themeColor="text1"/>
                <w:sz w:val="22"/>
                <w:szCs w:val="22"/>
              </w:rPr>
              <w:t>2,400,000</w:t>
            </w:r>
          </w:p>
        </w:tc>
      </w:tr>
      <w:tr w:rsidRPr="00391600" w:rsidR="00465E31" w:rsidTr="6FAFEDE3" w14:paraId="6101001C" w14:textId="77777777">
        <w:tc>
          <w:tcPr>
            <w:tcW w:w="7038" w:type="dxa"/>
            <w:tcBorders>
              <w:right w:val="single" w:color="auto" w:sz="4" w:space="0"/>
            </w:tcBorders>
          </w:tcPr>
          <w:p w:rsidRPr="00391600" w:rsidR="00465E31" w:rsidRDefault="00465E31" w14:paraId="0611774A" w14:textId="77777777">
            <w:pPr>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Total Annual Budget</w:t>
            </w:r>
          </w:p>
        </w:tc>
        <w:tc>
          <w:tcPr>
            <w:tcW w:w="540" w:type="dxa"/>
            <w:tcBorders>
              <w:top w:val="single" w:color="auto" w:sz="4" w:space="0"/>
              <w:left w:val="single" w:color="auto" w:sz="4" w:space="0"/>
              <w:bottom w:val="single" w:color="auto" w:sz="4" w:space="0"/>
              <w:right w:val="nil"/>
            </w:tcBorders>
            <w:vAlign w:val="center"/>
          </w:tcPr>
          <w:p w:rsidRPr="00391600" w:rsidR="00465E31" w:rsidRDefault="00465E31" w14:paraId="470DE5FB" w14:textId="77777777">
            <w:pPr>
              <w:rPr>
                <w:rFonts w:ascii="Palatino Linotype" w:hAnsi="Palatino Linotype"/>
                <w:b/>
                <w:bCs/>
                <w:color w:val="000000" w:themeColor="text1"/>
                <w:sz w:val="22"/>
                <w:szCs w:val="22"/>
              </w:rPr>
            </w:pPr>
            <w:r w:rsidRPr="00391600">
              <w:rPr>
                <w:rFonts w:ascii="Palatino Linotype" w:hAnsi="Palatino Linotype"/>
                <w:color w:val="000000" w:themeColor="text1"/>
                <w:sz w:val="22"/>
                <w:szCs w:val="22"/>
              </w:rPr>
              <w:t>$</w:t>
            </w:r>
          </w:p>
        </w:tc>
        <w:tc>
          <w:tcPr>
            <w:tcW w:w="1980" w:type="dxa"/>
            <w:tcBorders>
              <w:top w:val="single" w:color="auto" w:sz="4" w:space="0"/>
              <w:left w:val="nil"/>
              <w:bottom w:val="single" w:color="auto" w:sz="4" w:space="0"/>
              <w:right w:val="single" w:color="auto" w:sz="4" w:space="0"/>
            </w:tcBorders>
          </w:tcPr>
          <w:p w:rsidRPr="00391600" w:rsidR="00465E31" w:rsidRDefault="00465E31" w14:paraId="7B3CA7DF" w14:textId="40DED9DA">
            <w:pPr>
              <w:jc w:val="right"/>
              <w:rPr>
                <w:rFonts w:ascii="Palatino Linotype" w:hAnsi="Palatino Linotype"/>
                <w:b/>
                <w:bCs/>
                <w:color w:val="000000" w:themeColor="text1"/>
                <w:sz w:val="22"/>
                <w:szCs w:val="22"/>
              </w:rPr>
            </w:pPr>
            <w:r w:rsidRPr="00391600">
              <w:rPr>
                <w:rFonts w:ascii="Palatino Linotype" w:hAnsi="Palatino Linotype"/>
                <w:b/>
                <w:bCs/>
                <w:color w:val="000000" w:themeColor="text1"/>
                <w:sz w:val="22"/>
                <w:szCs w:val="22"/>
              </w:rPr>
              <w:t>2</w:t>
            </w:r>
            <w:r w:rsidRPr="00391600" w:rsidR="00A97EB6">
              <w:rPr>
                <w:rFonts w:ascii="Palatino Linotype" w:hAnsi="Palatino Linotype"/>
                <w:b/>
                <w:bCs/>
                <w:color w:val="000000" w:themeColor="text1"/>
                <w:sz w:val="22"/>
                <w:szCs w:val="22"/>
              </w:rPr>
              <w:t>4,000,000</w:t>
            </w:r>
          </w:p>
        </w:tc>
      </w:tr>
    </w:tbl>
    <w:p w:rsidRPr="00391600" w:rsidR="00E13A8D" w:rsidP="00E13A8D" w:rsidRDefault="00E13A8D" w14:paraId="57786ED0"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86650C" w:rsidP="00E820A0" w:rsidRDefault="000E01F1" w14:paraId="68CEC27C" w14:textId="5D493561">
      <w:p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For clarity, we provide the graph below to illustrate how </w:t>
      </w:r>
      <w:r w:rsidRPr="00391600" w:rsidR="00430ED9">
        <w:rPr>
          <w:rFonts w:ascii="Palatino Linotype" w:hAnsi="Palatino Linotype" w:eastAsia="Palatino Linotype" w:cs="Times New Roman"/>
          <w:color w:val="000000" w:themeColor="text1"/>
          <w:kern w:val="0"/>
          <w14:ligatures w14:val="none"/>
        </w:rPr>
        <w:t xml:space="preserve">unencumbered and </w:t>
      </w:r>
      <w:r w:rsidRPr="00391600">
        <w:rPr>
          <w:rFonts w:ascii="Palatino Linotype" w:hAnsi="Palatino Linotype" w:eastAsia="Palatino Linotype" w:cs="Times New Roman"/>
          <w:color w:val="000000" w:themeColor="text1"/>
          <w:kern w:val="0"/>
          <w14:ligatures w14:val="none"/>
        </w:rPr>
        <w:t>unspent funds and associated Program Administration funds may be supplemented by new ratepayer funds within the authorized zero-based budget cap: </w:t>
      </w:r>
    </w:p>
    <w:p w:rsidRPr="00391600" w:rsidR="00E820A0" w:rsidP="00E263D8" w:rsidRDefault="00E820A0" w14:paraId="7CE9DA66" w14:textId="0741C87D">
      <w:pPr>
        <w:keepNext/>
        <w:spacing w:line="276" w:lineRule="auto"/>
        <w:rPr>
          <w:rFonts w:ascii="Palatino Linotype" w:hAnsi="Palatino Linotype" w:eastAsia="Palatino Linotype" w:cs="Times New Roman"/>
          <w:b/>
          <w:bCs/>
          <w:color w:val="000000" w:themeColor="text1"/>
          <w:kern w:val="0"/>
          <w14:ligatures w14:val="none"/>
        </w:rPr>
      </w:pPr>
      <w:r w:rsidRPr="00391600">
        <w:rPr>
          <w:rFonts w:ascii="Palatino Linotype" w:hAnsi="Palatino Linotype" w:eastAsia="Palatino Linotype" w:cs="Times New Roman"/>
          <w:b/>
          <w:bCs/>
          <w:color w:val="000000" w:themeColor="text1"/>
          <w:kern w:val="0"/>
          <w14:ligatures w14:val="none"/>
        </w:rPr>
        <w:lastRenderedPageBreak/>
        <w:t>Figure 1: Summary of Commission-Approved 2024 and 2025 Plan Budgets by Unspent and New Ratepayer Funds</w:t>
      </w:r>
      <w:r w:rsidRPr="00391600" w:rsidR="00256781">
        <w:rPr>
          <w:rStyle w:val="FootnoteReference"/>
          <w:rFonts w:ascii="Palatino Linotype" w:hAnsi="Palatino Linotype" w:eastAsia="Palatino Linotype" w:cs="Times New Roman"/>
          <w:b/>
          <w:bCs/>
          <w:color w:val="000000" w:themeColor="text1"/>
          <w:kern w:val="0"/>
          <w14:ligatures w14:val="none"/>
        </w:rPr>
        <w:footnoteReference w:id="78"/>
      </w:r>
      <w:r w:rsidRPr="00391600">
        <w:rPr>
          <w:rFonts w:ascii="Palatino Linotype" w:hAnsi="Palatino Linotype" w:eastAsia="Palatino Linotype" w:cs="Times New Roman"/>
          <w:b/>
          <w:bCs/>
          <w:color w:val="000000" w:themeColor="text1"/>
          <w:kern w:val="0"/>
          <w14:ligatures w14:val="none"/>
        </w:rPr>
        <w:t> </w:t>
      </w:r>
    </w:p>
    <w:p w:rsidRPr="00391600" w:rsidR="00396794" w:rsidP="00E263D8" w:rsidRDefault="00EE4E46" w14:paraId="2AC88C04" w14:textId="3979477B">
      <w:pPr>
        <w:keepNext/>
        <w:spacing w:line="276" w:lineRule="auto"/>
        <w:jc w:val="center"/>
        <w:rPr>
          <w:rFonts w:ascii="Palatino Linotype" w:hAnsi="Palatino Linotype" w:eastAsia="Palatino Linotype" w:cs="Times New Roman"/>
          <w:b/>
          <w:bCs/>
          <w:color w:val="000000" w:themeColor="text1"/>
          <w:kern w:val="0"/>
          <w14:ligatures w14:val="none"/>
        </w:rPr>
      </w:pPr>
      <w:r w:rsidRPr="00391600">
        <w:rPr>
          <w:rFonts w:ascii="Palatino Linotype" w:hAnsi="Palatino Linotype" w:eastAsia="Palatino Linotype" w:cs="Times New Roman"/>
          <w:b/>
          <w:bCs/>
          <w:noProof/>
          <w:color w:val="000000" w:themeColor="text1"/>
          <w:kern w:val="0"/>
          <w14:ligatures w14:val="none"/>
        </w:rPr>
        <w:drawing>
          <wp:inline distT="0" distB="0" distL="0" distR="0" wp14:anchorId="5E770C58" wp14:editId="70C205D5">
            <wp:extent cx="4851400" cy="3947982"/>
            <wp:effectExtent l="19050" t="19050" r="25400" b="14605"/>
            <wp:docPr id="871307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07164" name=""/>
                    <pic:cNvPicPr/>
                  </pic:nvPicPr>
                  <pic:blipFill>
                    <a:blip r:embed="rId11"/>
                    <a:stretch>
                      <a:fillRect/>
                    </a:stretch>
                  </pic:blipFill>
                  <pic:spPr>
                    <a:xfrm>
                      <a:off x="0" y="0"/>
                      <a:ext cx="4856979" cy="3952522"/>
                    </a:xfrm>
                    <a:prstGeom prst="rect">
                      <a:avLst/>
                    </a:prstGeom>
                    <a:ln>
                      <a:solidFill>
                        <a:schemeClr val="tx1"/>
                      </a:solidFill>
                    </a:ln>
                  </pic:spPr>
                </pic:pic>
              </a:graphicData>
            </a:graphic>
          </wp:inline>
        </w:drawing>
      </w:r>
    </w:p>
    <w:p w:rsidRPr="00391600" w:rsidR="00B73A86" w:rsidP="00B73A86" w:rsidRDefault="00B73A86" w14:paraId="21C7493E" w14:textId="77777777">
      <w:pPr>
        <w:spacing w:after="0" w:line="276" w:lineRule="auto"/>
        <w:rPr>
          <w:rFonts w:ascii="Palatino Linotype" w:hAnsi="Palatino Linotype" w:eastAsia="Palatino Linotype" w:cs="Times New Roman"/>
          <w:b/>
          <w:color w:val="000000" w:themeColor="text1"/>
          <w:kern w:val="0"/>
          <w14:ligatures w14:val="none"/>
        </w:rPr>
      </w:pPr>
    </w:p>
    <w:p w:rsidRPr="00391600" w:rsidR="00EC1477" w:rsidP="0008578D" w:rsidRDefault="00875510" w14:paraId="46FE575D" w14:textId="6580838D">
      <w:pPr>
        <w:spacing w:line="276" w:lineRule="auto"/>
        <w:rPr>
          <w:rFonts w:ascii="Palatino Linotype" w:hAnsi="Palatino Linotype" w:eastAsia="Palatino Linotype" w:cs="Times New Roman"/>
          <w:b/>
          <w:bCs/>
          <w:color w:val="000000" w:themeColor="text1"/>
          <w:kern w:val="0"/>
          <w14:ligatures w14:val="none"/>
        </w:rPr>
      </w:pPr>
      <w:r w:rsidRPr="00391600">
        <w:rPr>
          <w:rFonts w:ascii="Palatino Linotype" w:hAnsi="Palatino Linotype" w:eastAsia="Palatino Linotype" w:cs="Times New Roman"/>
          <w:b/>
          <w:color w:val="000000" w:themeColor="text1"/>
          <w:kern w:val="0"/>
          <w14:ligatures w14:val="none"/>
        </w:rPr>
        <w:t>Consolidated</w:t>
      </w:r>
      <w:r w:rsidRPr="00391600">
        <w:rPr>
          <w:rFonts w:ascii="Palatino Linotype" w:hAnsi="Palatino Linotype" w:eastAsia="Palatino Linotype" w:cs="Times New Roman"/>
          <w:b/>
          <w:bCs/>
          <w:color w:val="000000" w:themeColor="text1"/>
          <w:kern w:val="0"/>
          <w14:ligatures w14:val="none"/>
        </w:rPr>
        <w:t xml:space="preserve"> </w:t>
      </w:r>
      <w:r w:rsidRPr="00391600" w:rsidR="00C456E6">
        <w:rPr>
          <w:rFonts w:ascii="Palatino Linotype" w:hAnsi="Palatino Linotype" w:eastAsia="Palatino Linotype" w:cs="Times New Roman"/>
          <w:b/>
          <w:bCs/>
          <w:color w:val="000000" w:themeColor="text1"/>
          <w:kern w:val="0"/>
          <w14:ligatures w14:val="none"/>
        </w:rPr>
        <w:t xml:space="preserve">Guidance for Future CEC </w:t>
      </w:r>
      <w:r w:rsidRPr="00391600" w:rsidR="00F37100">
        <w:rPr>
          <w:rFonts w:ascii="Palatino Linotype" w:hAnsi="Palatino Linotype" w:eastAsia="Palatino Linotype" w:cs="Times New Roman"/>
          <w:b/>
          <w:bCs/>
          <w:color w:val="000000" w:themeColor="text1"/>
          <w:kern w:val="0"/>
          <w14:ligatures w14:val="none"/>
        </w:rPr>
        <w:t xml:space="preserve">Gas RD&amp;D </w:t>
      </w:r>
      <w:r w:rsidRPr="00391600" w:rsidR="0008578D">
        <w:rPr>
          <w:rFonts w:ascii="Palatino Linotype" w:hAnsi="Palatino Linotype" w:eastAsia="Palatino Linotype" w:cs="Times New Roman"/>
          <w:b/>
          <w:bCs/>
          <w:color w:val="000000" w:themeColor="text1"/>
          <w:kern w:val="0"/>
          <w14:ligatures w14:val="none"/>
        </w:rPr>
        <w:t>Compliance Filings</w:t>
      </w:r>
      <w:r w:rsidRPr="00391600" w:rsidR="00F37100">
        <w:rPr>
          <w:rFonts w:ascii="Palatino Linotype" w:hAnsi="Palatino Linotype" w:eastAsia="Palatino Linotype" w:cs="Times New Roman"/>
          <w:b/>
          <w:bCs/>
          <w:color w:val="000000" w:themeColor="text1"/>
          <w:kern w:val="0"/>
          <w14:ligatures w14:val="none"/>
        </w:rPr>
        <w:t xml:space="preserve"> </w:t>
      </w:r>
    </w:p>
    <w:p w:rsidRPr="00391600" w:rsidR="006303D2" w:rsidP="00F269F3" w:rsidRDefault="006B0DA9" w14:paraId="6EE1184C" w14:textId="10741CBD">
      <w:pPr>
        <w:spacing w:after="0"/>
        <w:rPr>
          <w:rFonts w:ascii="Palatino Linotype" w:hAnsi="Palatino Linotype"/>
          <w:color w:val="000000" w:themeColor="text1"/>
          <w:highlight w:val="yellow"/>
        </w:rPr>
      </w:pPr>
      <w:r w:rsidRPr="00391600">
        <w:rPr>
          <w:rFonts w:ascii="Palatino Linotype" w:hAnsi="Palatino Linotype"/>
          <w:color w:val="000000" w:themeColor="text1"/>
        </w:rPr>
        <w:t xml:space="preserve">The Commission </w:t>
      </w:r>
      <w:r w:rsidRPr="00391600" w:rsidR="001D6CBB">
        <w:rPr>
          <w:rFonts w:ascii="Palatino Linotype" w:hAnsi="Palatino Linotype"/>
          <w:color w:val="000000" w:themeColor="text1"/>
        </w:rPr>
        <w:t>details the following</w:t>
      </w:r>
      <w:r w:rsidRPr="00391600" w:rsidR="008F0D5D">
        <w:rPr>
          <w:rFonts w:ascii="Palatino Linotype" w:hAnsi="Palatino Linotype"/>
          <w:color w:val="000000" w:themeColor="text1"/>
        </w:rPr>
        <w:t xml:space="preserve"> </w:t>
      </w:r>
      <w:r w:rsidRPr="00391600" w:rsidR="3F7A2A4F">
        <w:rPr>
          <w:rFonts w:ascii="Palatino Linotype" w:hAnsi="Palatino Linotype"/>
          <w:color w:val="000000" w:themeColor="text1"/>
        </w:rPr>
        <w:t xml:space="preserve">consolidated </w:t>
      </w:r>
      <w:r w:rsidRPr="00391600" w:rsidR="008F0D5D">
        <w:rPr>
          <w:rFonts w:ascii="Palatino Linotype" w:hAnsi="Palatino Linotype"/>
          <w:color w:val="000000" w:themeColor="text1"/>
        </w:rPr>
        <w:t>requirements for the efficient development</w:t>
      </w:r>
      <w:r w:rsidRPr="00391600" w:rsidR="00E46E87">
        <w:rPr>
          <w:rFonts w:ascii="Palatino Linotype" w:hAnsi="Palatino Linotype"/>
          <w:color w:val="000000" w:themeColor="text1"/>
        </w:rPr>
        <w:t xml:space="preserve">, </w:t>
      </w:r>
      <w:r w:rsidRPr="00391600" w:rsidR="008F0D5D">
        <w:rPr>
          <w:rFonts w:ascii="Palatino Linotype" w:hAnsi="Palatino Linotype"/>
          <w:color w:val="000000" w:themeColor="text1"/>
        </w:rPr>
        <w:t>streamlined review</w:t>
      </w:r>
      <w:r w:rsidRPr="00391600" w:rsidR="00E46E87">
        <w:rPr>
          <w:rFonts w:ascii="Palatino Linotype" w:hAnsi="Palatino Linotype"/>
          <w:color w:val="000000" w:themeColor="text1"/>
        </w:rPr>
        <w:t>, and effective implementation</w:t>
      </w:r>
      <w:r w:rsidRPr="00391600" w:rsidR="008F0D5D">
        <w:rPr>
          <w:rFonts w:ascii="Palatino Linotype" w:hAnsi="Palatino Linotype"/>
          <w:color w:val="000000" w:themeColor="text1"/>
        </w:rPr>
        <w:t xml:space="preserve"> of future proposed Gas RD&amp;D Plans</w:t>
      </w:r>
      <w:r w:rsidRPr="00391600">
        <w:rPr>
          <w:rFonts w:ascii="Palatino Linotype" w:hAnsi="Palatino Linotype"/>
          <w:color w:val="000000" w:themeColor="text1"/>
        </w:rPr>
        <w:t>.</w:t>
      </w:r>
      <w:r w:rsidRPr="00391600" w:rsidR="00682ACB">
        <w:rPr>
          <w:rFonts w:ascii="Palatino Linotype" w:hAnsi="Palatino Linotype"/>
          <w:color w:val="000000" w:themeColor="text1"/>
        </w:rPr>
        <w:t xml:space="preserve"> </w:t>
      </w:r>
      <w:r w:rsidRPr="00391600" w:rsidR="00DE64B9">
        <w:rPr>
          <w:rFonts w:ascii="Palatino Linotype" w:hAnsi="Palatino Linotype"/>
          <w:color w:val="000000" w:themeColor="text1"/>
        </w:rPr>
        <w:t>The CEC Gas RD&amp;D Program requirements span over two decades of statute, the Gas RD&amp;D funding guidance in D.04-08-010, and 21 Commission resolutions approving the CEC’s Gas RD&amp;D Plans beginning in 2004</w:t>
      </w:r>
      <w:r w:rsidRPr="00391600" w:rsidR="00B46E66">
        <w:rPr>
          <w:rFonts w:ascii="Palatino Linotype" w:hAnsi="Palatino Linotype"/>
          <w:color w:val="000000" w:themeColor="text1"/>
        </w:rPr>
        <w:t>,</w:t>
      </w:r>
      <w:r w:rsidRPr="00391600">
        <w:rPr>
          <w:rStyle w:val="FootnoteReference"/>
          <w:rFonts w:ascii="Palatino Linotype" w:hAnsi="Palatino Linotype" w:eastAsia="Palatino Linotype" w:cs="Times New Roman"/>
          <w:color w:val="000000" w:themeColor="text1"/>
        </w:rPr>
        <w:footnoteReference w:id="79"/>
      </w:r>
      <w:r w:rsidRPr="00391600" w:rsidR="00DE64B9">
        <w:rPr>
          <w:rFonts w:ascii="Palatino Linotype" w:hAnsi="Palatino Linotype"/>
          <w:color w:val="000000" w:themeColor="text1"/>
        </w:rPr>
        <w:t xml:space="preserve"> </w:t>
      </w:r>
      <w:r w:rsidRPr="00391600" w:rsidR="00EF2E13">
        <w:rPr>
          <w:rFonts w:ascii="Palatino Linotype" w:hAnsi="Palatino Linotype"/>
          <w:color w:val="000000" w:themeColor="text1"/>
        </w:rPr>
        <w:t xml:space="preserve">all of which </w:t>
      </w:r>
      <w:r w:rsidRPr="00391600" w:rsidR="00682ACB">
        <w:rPr>
          <w:rFonts w:ascii="Palatino Linotype" w:hAnsi="Palatino Linotype"/>
          <w:color w:val="000000" w:themeColor="text1"/>
        </w:rPr>
        <w:t>were rigorously reviewed by Energy Division staff</w:t>
      </w:r>
      <w:r w:rsidRPr="00391600" w:rsidR="00EF2E13">
        <w:rPr>
          <w:rFonts w:ascii="Palatino Linotype" w:hAnsi="Palatino Linotype"/>
          <w:color w:val="000000" w:themeColor="text1"/>
        </w:rPr>
        <w:t>.</w:t>
      </w:r>
      <w:r w:rsidRPr="00391600" w:rsidR="00682ACB">
        <w:rPr>
          <w:rFonts w:ascii="Palatino Linotype" w:hAnsi="Palatino Linotype"/>
          <w:color w:val="000000" w:themeColor="text1"/>
        </w:rPr>
        <w:t xml:space="preserve"> </w:t>
      </w:r>
      <w:r w:rsidRPr="00391600" w:rsidR="000A3409">
        <w:rPr>
          <w:rFonts w:ascii="Palatino Linotype" w:hAnsi="Palatino Linotype" w:eastAsia="Times New Roman" w:cs="Times New Roman"/>
          <w:color w:val="000000" w:themeColor="text1"/>
        </w:rPr>
        <w:t xml:space="preserve">This Resolution provides </w:t>
      </w:r>
      <w:r w:rsidRPr="00391600" w:rsidR="00EF2E13">
        <w:rPr>
          <w:rFonts w:ascii="Palatino Linotype" w:hAnsi="Palatino Linotype" w:eastAsia="Times New Roman" w:cs="Times New Roman"/>
          <w:color w:val="000000" w:themeColor="text1"/>
        </w:rPr>
        <w:t>this</w:t>
      </w:r>
      <w:r w:rsidRPr="00391600" w:rsidR="000A3409">
        <w:rPr>
          <w:rFonts w:ascii="Palatino Linotype" w:hAnsi="Palatino Linotype" w:eastAsia="Times New Roman" w:cs="Times New Roman"/>
          <w:color w:val="000000" w:themeColor="text1"/>
        </w:rPr>
        <w:t xml:space="preserve"> consolidated list of program requirements based on </w:t>
      </w:r>
      <w:r w:rsidRPr="00391600" w:rsidR="00EF2E13">
        <w:rPr>
          <w:rFonts w:ascii="Palatino Linotype" w:hAnsi="Palatino Linotype" w:eastAsia="Times New Roman" w:cs="Times New Roman"/>
          <w:color w:val="000000" w:themeColor="text1"/>
        </w:rPr>
        <w:t xml:space="preserve">the reviewed </w:t>
      </w:r>
      <w:r w:rsidRPr="00391600" w:rsidR="000A3409">
        <w:rPr>
          <w:rFonts w:ascii="Palatino Linotype" w:hAnsi="Palatino Linotype" w:eastAsia="Times New Roman" w:cs="Times New Roman"/>
          <w:color w:val="000000" w:themeColor="text1"/>
        </w:rPr>
        <w:t xml:space="preserve">prior decisions and </w:t>
      </w:r>
      <w:r w:rsidRPr="00391600" w:rsidR="000A3409">
        <w:rPr>
          <w:rFonts w:ascii="Palatino Linotype" w:hAnsi="Palatino Linotype" w:eastAsia="Times New Roman" w:cs="Times New Roman"/>
          <w:color w:val="000000" w:themeColor="text1"/>
        </w:rPr>
        <w:lastRenderedPageBreak/>
        <w:t xml:space="preserve">resolutions as well as </w:t>
      </w:r>
      <w:proofErr w:type="gramStart"/>
      <w:r w:rsidRPr="00391600" w:rsidR="000A3409">
        <w:rPr>
          <w:rFonts w:ascii="Palatino Linotype" w:hAnsi="Palatino Linotype" w:eastAsia="Times New Roman" w:cs="Times New Roman"/>
          <w:color w:val="000000" w:themeColor="text1"/>
        </w:rPr>
        <w:t>establishes</w:t>
      </w:r>
      <w:proofErr w:type="gramEnd"/>
      <w:r w:rsidRPr="00391600" w:rsidR="000A3409">
        <w:rPr>
          <w:rFonts w:ascii="Palatino Linotype" w:hAnsi="Palatino Linotype" w:eastAsia="Times New Roman" w:cs="Times New Roman"/>
          <w:color w:val="000000" w:themeColor="text1"/>
        </w:rPr>
        <w:t xml:space="preserve"> new requirements for improved Commission oversight.</w:t>
      </w:r>
      <w:r w:rsidRPr="00391600" w:rsidR="00216814">
        <w:rPr>
          <w:rFonts w:ascii="Palatino Linotype" w:hAnsi="Palatino Linotype"/>
          <w:color w:val="000000" w:themeColor="text1"/>
        </w:rPr>
        <w:t xml:space="preserve"> </w:t>
      </w:r>
    </w:p>
    <w:p w:rsidRPr="00391600" w:rsidR="00344BB2" w:rsidP="006C733A" w:rsidRDefault="00344BB2" w14:paraId="38237D7B"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344BB2" w:rsidP="001844F5" w:rsidRDefault="006A0099" w14:paraId="28FE6F04" w14:textId="54C94C97">
      <w:pPr>
        <w:spacing w:line="276" w:lineRule="auto"/>
        <w:rPr>
          <w:rFonts w:ascii="Palatino Linotype" w:hAnsi="Palatino Linotype" w:eastAsia="Century Gothic" w:cs="Century Gothic"/>
          <w:color w:val="000000" w:themeColor="text1"/>
          <w:u w:val="single"/>
        </w:rPr>
      </w:pPr>
      <w:r w:rsidRPr="00391600">
        <w:rPr>
          <w:rFonts w:ascii="Palatino Linotype" w:hAnsi="Palatino Linotype" w:eastAsia="Century Gothic" w:cs="Century Gothic"/>
          <w:color w:val="000000" w:themeColor="text1"/>
          <w:u w:val="single"/>
        </w:rPr>
        <w:t>Annual Investment Planning</w:t>
      </w:r>
    </w:p>
    <w:p w:rsidRPr="00391600" w:rsidR="00344BB2" w:rsidP="003A4AC1" w:rsidRDefault="006A0099" w14:paraId="20BEFDBB" w14:textId="77777777">
      <w:pPr>
        <w:spacing w:line="276" w:lineRule="auto"/>
        <w:rPr>
          <w:rFonts w:ascii="Palatino Linotype" w:hAnsi="Palatino Linotype" w:eastAsia="Century Gothic" w:cs="Century Gothic"/>
          <w:color w:val="000000" w:themeColor="text1"/>
          <w:u w:val="single"/>
        </w:rPr>
      </w:pPr>
      <w:r w:rsidRPr="00391600">
        <w:rPr>
          <w:rFonts w:ascii="Palatino Linotype" w:hAnsi="Palatino Linotype" w:eastAsia="Palatino Linotype" w:cs="Times New Roman"/>
          <w:i/>
          <w:iCs/>
          <w:color w:val="000000" w:themeColor="text1"/>
        </w:rPr>
        <w:t xml:space="preserve">Initiative Criteria </w:t>
      </w:r>
    </w:p>
    <w:p w:rsidRPr="00391600" w:rsidR="006A0099" w:rsidP="00344BB2" w:rsidRDefault="004B5BBC" w14:paraId="04B66EF6" w14:textId="4A02AB2E">
      <w:pPr>
        <w:spacing w:after="0" w:line="276" w:lineRule="auto"/>
        <w:rPr>
          <w:rFonts w:ascii="Palatino Linotype" w:hAnsi="Palatino Linotype" w:eastAsia="Century Gothic" w:cs="Century Gothic"/>
          <w:color w:val="000000" w:themeColor="text1"/>
          <w:u w:val="single"/>
        </w:rPr>
      </w:pPr>
      <w:r w:rsidRPr="00391600">
        <w:rPr>
          <w:rFonts w:ascii="Palatino Linotype" w:hAnsi="Palatino Linotype" w:eastAsia="Century Gothic" w:cs="Century Gothic"/>
          <w:color w:val="000000" w:themeColor="text1"/>
        </w:rPr>
        <w:t xml:space="preserve">The </w:t>
      </w:r>
      <w:r w:rsidRPr="00391600" w:rsidR="006A0099">
        <w:rPr>
          <w:rFonts w:ascii="Palatino Linotype" w:hAnsi="Palatino Linotype" w:eastAsia="Century Gothic" w:cs="Century Gothic"/>
          <w:color w:val="000000" w:themeColor="text1"/>
        </w:rPr>
        <w:t xml:space="preserve">CEC shall develop and propose Gas RD&amp;D investments at the Initiative level and demonstrate the following for each, consistent with Commission guidance (see Appendix </w:t>
      </w:r>
      <w:r w:rsidRPr="00391600" w:rsidR="00587988">
        <w:rPr>
          <w:rFonts w:ascii="Palatino Linotype" w:hAnsi="Palatino Linotype" w:eastAsia="Century Gothic" w:cs="Century Gothic"/>
          <w:color w:val="000000" w:themeColor="text1"/>
        </w:rPr>
        <w:t>C</w:t>
      </w:r>
      <w:r w:rsidRPr="00391600" w:rsidR="006A0099">
        <w:rPr>
          <w:rFonts w:ascii="Palatino Linotype" w:hAnsi="Palatino Linotype" w:eastAsia="Century Gothic" w:cs="Century Gothic"/>
          <w:color w:val="000000" w:themeColor="text1"/>
        </w:rPr>
        <w:t>):</w:t>
      </w:r>
    </w:p>
    <w:p w:rsidRPr="00391600" w:rsidR="006A0099" w:rsidP="00A556C9" w:rsidRDefault="006A0099" w14:paraId="65CB98C0" w14:textId="2043D7A3">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b/>
          <w:bCs/>
          <w:color w:val="000000" w:themeColor="text1"/>
        </w:rPr>
        <w:t>Policy Priority:</w:t>
      </w:r>
      <w:r w:rsidRPr="00391600">
        <w:rPr>
          <w:rFonts w:ascii="Palatino Linotype" w:hAnsi="Palatino Linotype" w:eastAsia="Century Gothic" w:cs="Century Gothic"/>
          <w:color w:val="000000" w:themeColor="text1"/>
        </w:rPr>
        <w:t xml:space="preserve"> Alignment with and prioritization of critical gaps and needs identified in specific CPUC policies and proceedings</w:t>
      </w:r>
      <w:r w:rsidRPr="00391600" w:rsidR="00DA7F63">
        <w:rPr>
          <w:rFonts w:ascii="Palatino Linotype" w:hAnsi="Palatino Linotype" w:eastAsia="Century Gothic" w:cs="Century Gothic"/>
          <w:color w:val="000000" w:themeColor="text1"/>
        </w:rPr>
        <w:t>, which support</w:t>
      </w:r>
      <w:r w:rsidRPr="00391600">
        <w:rPr>
          <w:rFonts w:ascii="Palatino Linotype" w:hAnsi="Palatino Linotype" w:eastAsia="Century Gothic" w:cs="Century Gothic"/>
          <w:color w:val="000000" w:themeColor="text1"/>
        </w:rPr>
        <w:t xml:space="preserve"> </w:t>
      </w:r>
      <w:r w:rsidRPr="00391600" w:rsidR="00DA7F63">
        <w:rPr>
          <w:rFonts w:ascii="Palatino Linotype" w:hAnsi="Palatino Linotype" w:eastAsia="Century Gothic" w:cs="Century Gothic"/>
          <w:color w:val="000000" w:themeColor="text1"/>
        </w:rPr>
        <w:t xml:space="preserve">State goals, </w:t>
      </w:r>
      <w:r w:rsidRPr="00391600">
        <w:rPr>
          <w:rFonts w:ascii="Palatino Linotype" w:hAnsi="Palatino Linotype" w:eastAsia="Century Gothic" w:cs="Century Gothic"/>
          <w:color w:val="000000" w:themeColor="text1"/>
        </w:rPr>
        <w:t>informed by consultation with CPUC staff</w:t>
      </w:r>
      <w:r w:rsidRPr="00391600" w:rsidR="00BF11B8">
        <w:rPr>
          <w:rFonts w:ascii="Palatino Linotype" w:hAnsi="Palatino Linotype" w:eastAsia="Century Gothic" w:cs="Century Gothic"/>
          <w:color w:val="000000" w:themeColor="text1"/>
        </w:rPr>
        <w:t xml:space="preserve"> </w:t>
      </w:r>
      <w:r w:rsidRPr="00391600" w:rsidR="005F4A76">
        <w:rPr>
          <w:rFonts w:ascii="Palatino Linotype" w:hAnsi="Palatino Linotype" w:eastAsia="Century Gothic" w:cs="Century Gothic"/>
          <w:color w:val="000000" w:themeColor="text1"/>
        </w:rPr>
        <w:t>on</w:t>
      </w:r>
      <w:r w:rsidRPr="00391600" w:rsidR="00816C47">
        <w:rPr>
          <w:rFonts w:ascii="Palatino Linotype" w:hAnsi="Palatino Linotype" w:eastAsia="Century Gothic" w:cs="Century Gothic"/>
          <w:color w:val="000000" w:themeColor="text1"/>
        </w:rPr>
        <w:t xml:space="preserve"> </w:t>
      </w:r>
      <w:r w:rsidRPr="00391600" w:rsidR="00C86ED1">
        <w:rPr>
          <w:rFonts w:ascii="Palatino Linotype" w:hAnsi="Palatino Linotype" w:eastAsia="Century Gothic" w:cs="Century Gothic"/>
          <w:color w:val="000000" w:themeColor="text1"/>
        </w:rPr>
        <w:t xml:space="preserve">targeted </w:t>
      </w:r>
      <w:r w:rsidRPr="00391600" w:rsidR="005F4A76">
        <w:rPr>
          <w:rFonts w:ascii="Palatino Linotype" w:hAnsi="Palatino Linotype" w:eastAsia="Century Gothic" w:cs="Century Gothic"/>
          <w:color w:val="000000" w:themeColor="text1"/>
        </w:rPr>
        <w:t xml:space="preserve">policy </w:t>
      </w:r>
      <w:r w:rsidRPr="00391600" w:rsidR="00C86ED1">
        <w:rPr>
          <w:rFonts w:ascii="Palatino Linotype" w:hAnsi="Palatino Linotype" w:eastAsia="Century Gothic" w:cs="Century Gothic"/>
          <w:color w:val="000000" w:themeColor="text1"/>
        </w:rPr>
        <w:t>objectives</w:t>
      </w:r>
      <w:r w:rsidRPr="00391600">
        <w:rPr>
          <w:rFonts w:ascii="Palatino Linotype" w:hAnsi="Palatino Linotype" w:eastAsia="Century Gothic" w:cs="Century Gothic"/>
          <w:color w:val="000000" w:themeColor="text1"/>
        </w:rPr>
        <w:t>.</w:t>
      </w:r>
    </w:p>
    <w:p w:rsidRPr="00391600" w:rsidR="006A0099" w:rsidP="00A556C9" w:rsidRDefault="006A0099" w14:paraId="4EAFDF3B"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b/>
          <w:bCs/>
          <w:color w:val="000000" w:themeColor="text1"/>
        </w:rPr>
        <w:t>Identified Need:</w:t>
      </w:r>
      <w:r w:rsidRPr="00391600">
        <w:rPr>
          <w:rFonts w:ascii="Palatino Linotype" w:hAnsi="Palatino Linotype" w:eastAsia="Century Gothic" w:cs="Century Gothic"/>
          <w:color w:val="000000" w:themeColor="text1"/>
        </w:rPr>
        <w:t xml:space="preserve"> </w:t>
      </w:r>
      <w:r w:rsidRPr="00391600">
        <w:rPr>
          <w:rFonts w:ascii="Palatino Linotype" w:hAnsi="Palatino Linotype"/>
          <w:color w:val="000000" w:themeColor="text1"/>
        </w:rPr>
        <w:t>Innovation and differentiation from existing RD&amp;D activities to support complementary rather than duplicative efforts, informed by specific consultation with other Gas RD&amp;D Administrators. Demonstrate that the Initiative will leverage existing progress while providing distinct additional value.</w:t>
      </w:r>
    </w:p>
    <w:p w:rsidRPr="00391600" w:rsidR="006A0099" w:rsidP="00A556C9" w:rsidRDefault="006A0099" w14:paraId="4C13C056"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b/>
          <w:bCs/>
          <w:color w:val="000000" w:themeColor="text1"/>
        </w:rPr>
        <w:t>Proposed Solution</w:t>
      </w:r>
      <w:r w:rsidRPr="00391600">
        <w:rPr>
          <w:rFonts w:ascii="Palatino Linotype" w:hAnsi="Palatino Linotype" w:eastAsia="Century Gothic" w:cs="Century Gothic"/>
          <w:color w:val="000000" w:themeColor="text1"/>
        </w:rPr>
        <w:t>: Describe Research Topics, anticipated near-term project outputs commensurate with the proposed funding level, and intended pathways to scale, commercialize, and otherwise utilize results from RD&amp;D activities to promote technology transfer and market facilitation.</w:t>
      </w:r>
    </w:p>
    <w:p w:rsidRPr="00391600" w:rsidR="006A0099" w:rsidP="00A556C9" w:rsidRDefault="006A0099" w14:paraId="2CC67E48" w14:textId="77777777">
      <w:pPr>
        <w:pStyle w:val="ListParagraph"/>
        <w:numPr>
          <w:ilvl w:val="0"/>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b/>
          <w:bCs/>
          <w:color w:val="000000" w:themeColor="text1"/>
        </w:rPr>
        <w:t>Anticipated Impacts</w:t>
      </w:r>
      <w:r w:rsidRPr="00391600">
        <w:rPr>
          <w:rFonts w:ascii="Palatino Linotype" w:hAnsi="Palatino Linotype" w:eastAsia="Century Gothic" w:cs="Century Gothic"/>
          <w:color w:val="000000" w:themeColor="text1"/>
        </w:rPr>
        <w:t>:</w:t>
      </w:r>
    </w:p>
    <w:p w:rsidRPr="00391600" w:rsidR="006A0099" w:rsidP="00A556C9" w:rsidRDefault="006A0099" w14:paraId="55E75E3B" w14:textId="322611A8">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color w:val="000000" w:themeColor="text1"/>
        </w:rPr>
        <w:t>Reasonable probability of providing California ratepayer benefit by locating projects in the State of California</w:t>
      </w:r>
      <w:r w:rsidRPr="00391600">
        <w:rPr>
          <w:rStyle w:val="FootnoteReference"/>
          <w:rFonts w:ascii="Palatino Linotype" w:hAnsi="Palatino Linotype" w:eastAsia="Century Gothic" w:cs="Century Gothic"/>
          <w:color w:val="000000" w:themeColor="text1"/>
        </w:rPr>
        <w:footnoteReference w:id="80"/>
      </w:r>
      <w:r w:rsidRPr="00391600">
        <w:rPr>
          <w:rFonts w:ascii="Palatino Linotype" w:hAnsi="Palatino Linotype" w:eastAsia="Century Gothic" w:cs="Century Gothic"/>
          <w:color w:val="000000" w:themeColor="text1"/>
        </w:rPr>
        <w:t xml:space="preserve"> and detailed planned methodologies for tracking and evaluating quantitative impacts from investments </w:t>
      </w:r>
      <w:proofErr w:type="gramStart"/>
      <w:r w:rsidRPr="00391600">
        <w:rPr>
          <w:rFonts w:ascii="Palatino Linotype" w:hAnsi="Palatino Linotype" w:eastAsia="Century Gothic" w:cs="Century Gothic"/>
          <w:color w:val="000000" w:themeColor="text1"/>
        </w:rPr>
        <w:t>through the use of</w:t>
      </w:r>
      <w:proofErr w:type="gramEnd"/>
      <w:r w:rsidRPr="00391600">
        <w:rPr>
          <w:rFonts w:ascii="Palatino Linotype" w:hAnsi="Palatino Linotype" w:eastAsia="Century Gothic" w:cs="Century Gothic"/>
          <w:color w:val="000000" w:themeColor="text1"/>
        </w:rPr>
        <w:t xml:space="preserve"> the </w:t>
      </w:r>
      <w:r w:rsidRPr="00391600" w:rsidR="00DB2535">
        <w:rPr>
          <w:rFonts w:ascii="Palatino Linotype" w:hAnsi="Palatino Linotype" w:eastAsiaTheme="minorEastAsia"/>
          <w:color w:val="000000" w:themeColor="text1"/>
        </w:rPr>
        <w:t xml:space="preserve">EPIC </w:t>
      </w:r>
      <w:r w:rsidRPr="00391600">
        <w:rPr>
          <w:rFonts w:ascii="Palatino Linotype" w:hAnsi="Palatino Linotype" w:eastAsia="Century Gothic" w:cs="Century Gothic"/>
          <w:color w:val="000000" w:themeColor="text1"/>
        </w:rPr>
        <w:t>Program’s Uniform Impacts Analysis Foundational Principles.</w:t>
      </w:r>
      <w:r w:rsidRPr="00391600">
        <w:rPr>
          <w:rStyle w:val="FootnoteReference"/>
          <w:rFonts w:ascii="Palatino Linotype" w:hAnsi="Palatino Linotype" w:eastAsia="Century Gothic" w:cs="Century Gothic"/>
          <w:color w:val="000000" w:themeColor="text1"/>
        </w:rPr>
        <w:footnoteReference w:id="81"/>
      </w:r>
    </w:p>
    <w:p w:rsidRPr="00391600" w:rsidR="006A0099" w:rsidDel="00167DED" w:rsidP="00A556C9" w:rsidRDefault="006A0099" w14:paraId="2816E19D"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color w:val="000000" w:themeColor="text1"/>
        </w:rPr>
        <w:t>C</w:t>
      </w:r>
      <w:r w:rsidRPr="00391600" w:rsidDel="00167DED">
        <w:rPr>
          <w:rFonts w:ascii="Palatino Linotype" w:hAnsi="Palatino Linotype" w:eastAsia="Century Gothic" w:cs="Century Gothic"/>
          <w:color w:val="000000" w:themeColor="text1"/>
        </w:rPr>
        <w:t>ost-effectiveness and protection of affordability</w:t>
      </w:r>
      <w:r w:rsidRPr="00391600">
        <w:rPr>
          <w:rFonts w:ascii="Palatino Linotype" w:hAnsi="Palatino Linotype" w:eastAsia="Century Gothic" w:cs="Century Gothic"/>
          <w:color w:val="000000" w:themeColor="text1"/>
        </w:rPr>
        <w:t xml:space="preserve"> to ratepayers.</w:t>
      </w:r>
    </w:p>
    <w:p w:rsidRPr="00391600" w:rsidR="006A0099" w:rsidP="00A556C9" w:rsidRDefault="006A0099" w14:paraId="10DA1842" w14:textId="77777777">
      <w:pPr>
        <w:pStyle w:val="ListParagraph"/>
        <w:numPr>
          <w:ilvl w:val="1"/>
          <w:numId w:val="9"/>
        </w:numPr>
        <w:spacing w:before="240" w:after="0" w:line="276" w:lineRule="auto"/>
        <w:rPr>
          <w:rFonts w:ascii="Palatino Linotype" w:hAnsi="Palatino Linotype" w:eastAsia="Century Gothic" w:cs="Century Gothic"/>
          <w:color w:val="000000" w:themeColor="text1"/>
        </w:rPr>
      </w:pPr>
      <w:r w:rsidRPr="00391600">
        <w:rPr>
          <w:rFonts w:ascii="Palatino Linotype" w:hAnsi="Palatino Linotype" w:eastAsia="Century Gothic" w:cs="Century Gothic"/>
          <w:color w:val="000000" w:themeColor="text1"/>
        </w:rPr>
        <w:lastRenderedPageBreak/>
        <w:t>Promote equity and provide benefits to Environmental &amp; Social Justice (ESJ) communities, informed by consultation with community-based organizations (CBOs) and the Commission’s most current ESJ Action Plan.</w:t>
      </w:r>
      <w:r w:rsidRPr="00391600">
        <w:rPr>
          <w:rStyle w:val="FootnoteReference"/>
          <w:rFonts w:ascii="Palatino Linotype" w:hAnsi="Palatino Linotype" w:eastAsia="Century Gothic" w:cs="Century Gothic"/>
          <w:color w:val="000000" w:themeColor="text1"/>
        </w:rPr>
        <w:footnoteReference w:id="82"/>
      </w:r>
    </w:p>
    <w:p w:rsidRPr="00391600" w:rsidR="006A0099" w:rsidP="006A0099" w:rsidRDefault="006A0099" w14:paraId="19E155C0" w14:textId="77777777">
      <w:pPr>
        <w:spacing w:after="0" w:line="276" w:lineRule="auto"/>
        <w:rPr>
          <w:rFonts w:ascii="Palatino Linotype" w:hAnsi="Palatino Linotype" w:eastAsia="Palatino Linotype" w:cs="Times New Roman"/>
          <w:i/>
          <w:iCs/>
          <w:color w:val="000000" w:themeColor="text1"/>
          <w:kern w:val="0"/>
          <w14:ligatures w14:val="none"/>
        </w:rPr>
      </w:pPr>
    </w:p>
    <w:p w:rsidRPr="00391600" w:rsidR="006A0099" w:rsidDel="00AE184D" w:rsidP="006A0099" w:rsidRDefault="006A0099" w14:paraId="74A35BF2" w14:textId="07D1F37C">
      <w:pPr>
        <w:spacing w:after="0" w:line="276" w:lineRule="auto"/>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Pre-Submittal Consultation</w:t>
      </w:r>
    </w:p>
    <w:p w:rsidRPr="00391600" w:rsidR="003A4AC1" w:rsidP="00155497" w:rsidRDefault="003A4AC1" w14:paraId="0359B993" w14:textId="115DE1C7">
      <w:pPr>
        <w:spacing w:before="240" w:after="0" w:line="276" w:lineRule="auto"/>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Theme="minorEastAsia"/>
          <w:color w:val="000000" w:themeColor="text1"/>
        </w:rPr>
        <w:t xml:space="preserve">The refined, comprehensive pre-submittal consultation process detailed </w:t>
      </w:r>
      <w:r w:rsidRPr="00391600" w:rsidR="00155497">
        <w:rPr>
          <w:rFonts w:ascii="Palatino Linotype" w:hAnsi="Palatino Linotype" w:eastAsiaTheme="minorEastAsia"/>
          <w:color w:val="000000" w:themeColor="text1"/>
        </w:rPr>
        <w:t xml:space="preserve">below </w:t>
      </w:r>
      <w:r w:rsidRPr="00391600">
        <w:rPr>
          <w:rFonts w:ascii="Palatino Linotype" w:hAnsi="Palatino Linotype" w:eastAsiaTheme="minorEastAsia"/>
          <w:color w:val="000000" w:themeColor="text1"/>
        </w:rPr>
        <w:t>promotes coordinated strategic planning across administrators to facilitate</w:t>
      </w:r>
      <w:r w:rsidRPr="00391600" w:rsidR="00B8435B">
        <w:rPr>
          <w:rFonts w:ascii="Palatino Linotype" w:hAnsi="Palatino Linotype" w:eastAsiaTheme="minorEastAsia"/>
          <w:color w:val="000000" w:themeColor="text1"/>
        </w:rPr>
        <w:t xml:space="preserve"> a</w:t>
      </w:r>
      <w:r w:rsidRPr="00391600">
        <w:rPr>
          <w:rFonts w:ascii="Palatino Linotype" w:hAnsi="Palatino Linotype" w:eastAsiaTheme="minorEastAsia"/>
          <w:color w:val="000000" w:themeColor="text1"/>
        </w:rPr>
        <w:t xml:space="preserve"> holistic investment planning approach</w:t>
      </w:r>
      <w:r w:rsidRPr="00391600" w:rsidR="00B8435B">
        <w:rPr>
          <w:rFonts w:ascii="Palatino Linotype" w:hAnsi="Palatino Linotype" w:eastAsiaTheme="minorEastAsia"/>
          <w:color w:val="000000" w:themeColor="text1"/>
        </w:rPr>
        <w:t>:</w:t>
      </w:r>
      <w:r w:rsidRPr="00391600">
        <w:rPr>
          <w:rStyle w:val="FootnoteReference"/>
          <w:rFonts w:ascii="Palatino Linotype" w:hAnsi="Palatino Linotype" w:eastAsiaTheme="minorEastAsia"/>
          <w:color w:val="000000" w:themeColor="text1"/>
        </w:rPr>
        <w:footnoteReference w:id="83"/>
      </w:r>
    </w:p>
    <w:p w:rsidRPr="00391600" w:rsidR="006A0099" w:rsidP="006A0099" w:rsidRDefault="006A0099" w14:paraId="3A0B51C5"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6A0099" w:rsidP="00BB33C1" w:rsidRDefault="006A0099" w14:paraId="5F4CB9F9" w14:textId="77777777">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Intra-Administrator Coordination</w:t>
      </w:r>
    </w:p>
    <w:p w:rsidRPr="00391600" w:rsidR="006A0099" w:rsidP="00175D56" w:rsidRDefault="003969DE" w14:paraId="1D876345" w14:textId="45883502">
      <w:pPr>
        <w:spacing w:after="0" w:line="276" w:lineRule="auto"/>
        <w:ind w:left="360"/>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The </w:t>
      </w:r>
      <w:r w:rsidRPr="00391600" w:rsidR="006A0099">
        <w:rPr>
          <w:rFonts w:ascii="Palatino Linotype" w:hAnsi="Palatino Linotype" w:eastAsia="Palatino Linotype" w:cs="Times New Roman"/>
          <w:color w:val="000000" w:themeColor="text1"/>
        </w:rPr>
        <w:t>CEC shall be proactive in collaborating with the</w:t>
      </w:r>
      <w:r w:rsidRPr="00391600" w:rsidR="008A51C8">
        <w:rPr>
          <w:rFonts w:ascii="Palatino Linotype" w:hAnsi="Palatino Linotype" w:eastAsia="Palatino Linotype" w:cs="Times New Roman"/>
          <w:color w:val="000000" w:themeColor="text1"/>
        </w:rPr>
        <w:t xml:space="preserve"> IOU</w:t>
      </w:r>
      <w:r w:rsidRPr="00391600" w:rsidR="00013D7A">
        <w:rPr>
          <w:rFonts w:ascii="Palatino Linotype" w:hAnsi="Palatino Linotype" w:eastAsia="Palatino Linotype" w:cs="Times New Roman"/>
          <w:color w:val="000000" w:themeColor="text1"/>
        </w:rPr>
        <w:t xml:space="preserve"> </w:t>
      </w:r>
      <w:r w:rsidRPr="00391600" w:rsidR="00686880">
        <w:rPr>
          <w:rFonts w:ascii="Palatino Linotype" w:hAnsi="Palatino Linotype" w:eastAsia="Palatino Linotype" w:cs="Times New Roman"/>
          <w:color w:val="000000" w:themeColor="text1"/>
        </w:rPr>
        <w:t xml:space="preserve">Gas RD&amp;D </w:t>
      </w:r>
      <w:r w:rsidRPr="00391600" w:rsidR="00013D7A">
        <w:rPr>
          <w:rFonts w:ascii="Palatino Linotype" w:hAnsi="Palatino Linotype" w:eastAsia="Palatino Linotype" w:cs="Times New Roman"/>
          <w:color w:val="000000" w:themeColor="text1"/>
        </w:rPr>
        <w:t>administrator</w:t>
      </w:r>
      <w:r w:rsidRPr="00391600" w:rsidR="008A51C8">
        <w:rPr>
          <w:rFonts w:ascii="Palatino Linotype" w:hAnsi="Palatino Linotype" w:eastAsia="Palatino Linotype" w:cs="Times New Roman"/>
          <w:color w:val="000000" w:themeColor="text1"/>
        </w:rPr>
        <w:t>s</w:t>
      </w:r>
      <w:r w:rsidRPr="00391600" w:rsidR="006A0099">
        <w:rPr>
          <w:rFonts w:ascii="Palatino Linotype" w:hAnsi="Palatino Linotype" w:eastAsia="Palatino Linotype" w:cs="Times New Roman"/>
          <w:color w:val="000000" w:themeColor="text1"/>
        </w:rPr>
        <w:t>, Pacific Gas &amp; Electric (PG&amp;E) and Southern California Gas (</w:t>
      </w:r>
      <w:r w:rsidRPr="00391600" w:rsidR="00CD6242">
        <w:rPr>
          <w:rFonts w:ascii="Palatino Linotype" w:hAnsi="Palatino Linotype" w:eastAsia="Palatino Linotype" w:cs="Times New Roman"/>
          <w:color w:val="000000" w:themeColor="text1"/>
        </w:rPr>
        <w:t>S</w:t>
      </w:r>
      <w:r w:rsidRPr="00391600" w:rsidR="00D86396">
        <w:rPr>
          <w:rFonts w:ascii="Palatino Linotype" w:hAnsi="Palatino Linotype" w:eastAsia="Palatino Linotype" w:cs="Times New Roman"/>
          <w:color w:val="000000" w:themeColor="text1"/>
        </w:rPr>
        <w:t>oCalGas</w:t>
      </w:r>
      <w:r w:rsidRPr="00391600" w:rsidR="006A0099">
        <w:rPr>
          <w:rFonts w:ascii="Palatino Linotype" w:hAnsi="Palatino Linotype" w:eastAsia="Palatino Linotype" w:cs="Times New Roman"/>
          <w:color w:val="000000" w:themeColor="text1"/>
        </w:rPr>
        <w:t xml:space="preserve">), to </w:t>
      </w:r>
      <w:r w:rsidRPr="00391600" w:rsidR="006A0099">
        <w:rPr>
          <w:rFonts w:ascii="Palatino Linotype" w:hAnsi="Palatino Linotype" w:eastAsia="Palatino Linotype" w:cs="Times New Roman"/>
          <w:color w:val="000000" w:themeColor="text1"/>
          <w:kern w:val="0"/>
          <w14:ligatures w14:val="none"/>
        </w:rPr>
        <w:t xml:space="preserve">promote </w:t>
      </w:r>
      <w:r w:rsidRPr="00391600" w:rsidR="006A0099">
        <w:rPr>
          <w:rFonts w:ascii="Palatino Linotype" w:hAnsi="Palatino Linotype" w:eastAsia="Palatino Linotype" w:cs="Times New Roman"/>
          <w:color w:val="000000" w:themeColor="text1"/>
        </w:rPr>
        <w:t xml:space="preserve">and demonstrate </w:t>
      </w:r>
      <w:r w:rsidRPr="00391600" w:rsidR="00591322">
        <w:rPr>
          <w:rFonts w:ascii="Palatino Linotype" w:hAnsi="Palatino Linotype" w:eastAsia="Palatino Linotype" w:cs="Times New Roman"/>
          <w:color w:val="000000" w:themeColor="text1"/>
        </w:rPr>
        <w:t xml:space="preserve">strategically coordinated and </w:t>
      </w:r>
      <w:r w:rsidRPr="00391600" w:rsidR="006A0099">
        <w:rPr>
          <w:rFonts w:ascii="Palatino Linotype" w:hAnsi="Palatino Linotype" w:eastAsia="Palatino Linotype" w:cs="Times New Roman"/>
          <w:color w:val="000000" w:themeColor="text1"/>
          <w:kern w:val="0"/>
          <w14:ligatures w14:val="none"/>
        </w:rPr>
        <w:t>complementary rather than duplicative RD&amp;D activities.</w:t>
      </w:r>
      <w:r w:rsidRPr="00391600" w:rsidR="00B95C9C">
        <w:rPr>
          <w:rStyle w:val="FootnoteReference"/>
          <w:rFonts w:ascii="Palatino Linotype" w:hAnsi="Palatino Linotype" w:eastAsia="Palatino Linotype" w:cs="Times New Roman"/>
          <w:color w:val="000000" w:themeColor="text1"/>
          <w:kern w:val="0"/>
          <w14:ligatures w14:val="none"/>
        </w:rPr>
        <w:footnoteReference w:id="84"/>
      </w:r>
      <w:r w:rsidRPr="00391600" w:rsidR="006A0099">
        <w:rPr>
          <w:rFonts w:ascii="Palatino Linotype" w:hAnsi="Palatino Linotype" w:eastAsia="Palatino Linotype" w:cs="Times New Roman"/>
          <w:color w:val="000000" w:themeColor="text1"/>
          <w:kern w:val="0"/>
          <w14:ligatures w14:val="none"/>
        </w:rPr>
        <w:t xml:space="preserve"> </w:t>
      </w:r>
      <w:r w:rsidRPr="00391600" w:rsidR="00E44BEE">
        <w:rPr>
          <w:rFonts w:ascii="Palatino Linotype" w:hAnsi="Palatino Linotype" w:eastAsia="Palatino Linotype" w:cs="Times New Roman"/>
          <w:color w:val="000000" w:themeColor="text1"/>
          <w:kern w:val="0"/>
          <w14:ligatures w14:val="none"/>
        </w:rPr>
        <w:t xml:space="preserve">The </w:t>
      </w:r>
      <w:r w:rsidRPr="00391600" w:rsidR="006A0099">
        <w:rPr>
          <w:rFonts w:ascii="Palatino Linotype" w:hAnsi="Palatino Linotype" w:eastAsia="Palatino Linotype" w:cs="Times New Roman"/>
          <w:color w:val="000000" w:themeColor="text1"/>
        </w:rPr>
        <w:t xml:space="preserve">CEC shall document this coordination in </w:t>
      </w:r>
      <w:r w:rsidRPr="00391600" w:rsidR="00B06744">
        <w:rPr>
          <w:rFonts w:ascii="Palatino Linotype" w:hAnsi="Palatino Linotype" w:eastAsia="Palatino Linotype" w:cs="Times New Roman"/>
          <w:color w:val="000000" w:themeColor="text1"/>
        </w:rPr>
        <w:t xml:space="preserve">its </w:t>
      </w:r>
      <w:r w:rsidRPr="00391600" w:rsidR="006A0099">
        <w:rPr>
          <w:rFonts w:ascii="Palatino Linotype" w:hAnsi="Palatino Linotype" w:eastAsia="Palatino Linotype" w:cs="Times New Roman"/>
          <w:color w:val="000000" w:themeColor="text1"/>
        </w:rPr>
        <w:t>Gas RD&amp;D Plans at the Initiative level</w:t>
      </w:r>
      <w:r w:rsidRPr="00391600" w:rsidR="006A0099">
        <w:rPr>
          <w:rFonts w:ascii="Palatino Linotype" w:hAnsi="Palatino Linotype" w:eastAsia="Palatino Linotype" w:cs="Times New Roman"/>
          <w:color w:val="000000" w:themeColor="text1"/>
          <w:kern w:val="0"/>
          <w14:ligatures w14:val="none"/>
        </w:rPr>
        <w:t>, including by differentiating proposed Initiatives from similar activities</w:t>
      </w:r>
      <w:r w:rsidRPr="00391600" w:rsidR="006A0099">
        <w:rPr>
          <w:rFonts w:ascii="Palatino Linotype" w:hAnsi="Palatino Linotype" w:eastAsia="Palatino Linotype" w:cs="Times New Roman"/>
          <w:color w:val="000000" w:themeColor="text1"/>
        </w:rPr>
        <w:t>, demonstrating how research outcomes inform future proposals,</w:t>
      </w:r>
      <w:r w:rsidRPr="00391600" w:rsidR="006A0099">
        <w:rPr>
          <w:rFonts w:ascii="Palatino Linotype" w:hAnsi="Palatino Linotype" w:eastAsia="Palatino Linotype" w:cs="Times New Roman"/>
          <w:color w:val="000000" w:themeColor="text1"/>
          <w:kern w:val="0"/>
          <w14:ligatures w14:val="none"/>
        </w:rPr>
        <w:t xml:space="preserve"> and defining </w:t>
      </w:r>
      <w:r w:rsidRPr="00391600" w:rsidR="00591322">
        <w:rPr>
          <w:rFonts w:ascii="Palatino Linotype" w:hAnsi="Palatino Linotype" w:eastAsia="Palatino Linotype" w:cs="Times New Roman"/>
          <w:color w:val="000000" w:themeColor="text1"/>
          <w:kern w:val="0"/>
          <w14:ligatures w14:val="none"/>
        </w:rPr>
        <w:t>each pa</w:t>
      </w:r>
      <w:r w:rsidRPr="00391600" w:rsidR="006C6CA8">
        <w:rPr>
          <w:rFonts w:ascii="Palatino Linotype" w:hAnsi="Palatino Linotype" w:eastAsia="Palatino Linotype" w:cs="Times New Roman"/>
          <w:color w:val="000000" w:themeColor="text1"/>
          <w:kern w:val="0"/>
          <w14:ligatures w14:val="none"/>
        </w:rPr>
        <w:t>rticipant’</w:t>
      </w:r>
      <w:r w:rsidRPr="00391600" w:rsidR="00591322">
        <w:rPr>
          <w:rFonts w:ascii="Palatino Linotype" w:hAnsi="Palatino Linotype" w:eastAsia="Palatino Linotype" w:cs="Times New Roman"/>
          <w:color w:val="000000" w:themeColor="text1"/>
          <w:kern w:val="0"/>
          <w14:ligatures w14:val="none"/>
        </w:rPr>
        <w:t>s</w:t>
      </w:r>
      <w:r w:rsidRPr="00391600" w:rsidR="006A0099">
        <w:rPr>
          <w:rFonts w:ascii="Palatino Linotype" w:hAnsi="Palatino Linotype" w:eastAsia="Palatino Linotype" w:cs="Times New Roman"/>
          <w:color w:val="000000" w:themeColor="text1"/>
          <w:kern w:val="0"/>
          <w14:ligatures w14:val="none"/>
        </w:rPr>
        <w:t xml:space="preserve"> specific intended role for each proposed Initiative.</w:t>
      </w:r>
      <w:r w:rsidRPr="00391600" w:rsidR="006A0099">
        <w:rPr>
          <w:rStyle w:val="FootnoteReference"/>
          <w:rFonts w:ascii="Palatino Linotype" w:hAnsi="Palatino Linotype" w:eastAsia="Palatino Linotype" w:cs="Times New Roman"/>
          <w:color w:val="000000" w:themeColor="text1"/>
          <w:kern w:val="0"/>
          <w14:ligatures w14:val="none"/>
        </w:rPr>
        <w:footnoteReference w:id="85"/>
      </w:r>
      <w:r w:rsidRPr="00391600" w:rsidR="006A0099">
        <w:rPr>
          <w:rFonts w:ascii="Palatino Linotype" w:hAnsi="Palatino Linotype" w:eastAsia="Palatino Linotype" w:cs="Times New Roman"/>
          <w:color w:val="000000" w:themeColor="text1"/>
        </w:rPr>
        <w:t xml:space="preserve"> </w:t>
      </w:r>
    </w:p>
    <w:p w:rsidRPr="00391600" w:rsidR="006A0099" w:rsidP="006A0099" w:rsidRDefault="006A0099" w14:paraId="6DF8116D" w14:textId="77777777">
      <w:pPr>
        <w:spacing w:after="0" w:line="276" w:lineRule="auto"/>
        <w:ind w:left="720"/>
        <w:rPr>
          <w:rFonts w:ascii="Palatino Linotype" w:hAnsi="Palatino Linotype" w:eastAsia="Palatino Linotype" w:cs="Times New Roman"/>
          <w:color w:val="000000" w:themeColor="text1"/>
        </w:rPr>
      </w:pPr>
    </w:p>
    <w:p w:rsidRPr="00391600" w:rsidR="006A0099" w:rsidP="00BB33C1" w:rsidRDefault="006A0099" w14:paraId="60C167C0" w14:textId="6FDF6C8B">
      <w:pPr>
        <w:pStyle w:val="ListParagraph"/>
        <w:numPr>
          <w:ilvl w:val="0"/>
          <w:numId w:val="43"/>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Pre-Submittal Consultation with CPUC Subject Matter Experts</w:t>
      </w:r>
      <w:r w:rsidRPr="00391600" w:rsidR="005E46E4">
        <w:rPr>
          <w:rFonts w:ascii="Palatino Linotype" w:hAnsi="Palatino Linotype" w:eastAsia="Palatino Linotype" w:cs="Times New Roman"/>
          <w:color w:val="000000" w:themeColor="text1"/>
          <w:kern w:val="0"/>
          <w14:ligatures w14:val="none"/>
        </w:rPr>
        <w:t xml:space="preserve"> (SMEs)</w:t>
      </w:r>
    </w:p>
    <w:p w:rsidRPr="00391600" w:rsidR="006A0099" w:rsidP="000C073D" w:rsidRDefault="00B06744" w14:paraId="4203060B" w14:textId="090FD35D">
      <w:pPr>
        <w:spacing w:line="276" w:lineRule="auto"/>
        <w:ind w:left="360"/>
        <w:rPr>
          <w:rFonts w:ascii="Palatino Linotype" w:hAnsi="Palatino Linotype" w:eastAsia="Palatino Linotype" w:cs="Times New Roman"/>
          <w:color w:val="000000" w:themeColor="text1"/>
        </w:rPr>
      </w:pPr>
      <w:r w:rsidRPr="00391600">
        <w:rPr>
          <w:rFonts w:ascii="Palatino Linotype" w:hAnsi="Palatino Linotype" w:eastAsiaTheme="minorEastAsia"/>
          <w:color w:val="000000" w:themeColor="text1"/>
        </w:rPr>
        <w:t xml:space="preserve">The </w:t>
      </w:r>
      <w:r w:rsidRPr="00391600" w:rsidR="006A0099">
        <w:rPr>
          <w:rFonts w:ascii="Palatino Linotype" w:hAnsi="Palatino Linotype" w:eastAsiaTheme="minorEastAsia"/>
          <w:color w:val="000000" w:themeColor="text1"/>
        </w:rPr>
        <w:t xml:space="preserve">CEC shall consult with </w:t>
      </w:r>
      <w:r w:rsidRPr="00391600" w:rsidR="00824251">
        <w:rPr>
          <w:rFonts w:ascii="Palatino Linotype" w:hAnsi="Palatino Linotype" w:eastAsiaTheme="minorEastAsia"/>
          <w:color w:val="000000" w:themeColor="text1"/>
        </w:rPr>
        <w:t>Energy Division</w:t>
      </w:r>
      <w:r w:rsidRPr="00391600" w:rsidR="006A0099">
        <w:rPr>
          <w:rFonts w:ascii="Palatino Linotype" w:hAnsi="Palatino Linotype" w:eastAsiaTheme="minorEastAsia"/>
          <w:color w:val="000000" w:themeColor="text1"/>
        </w:rPr>
        <w:t xml:space="preserve"> staff to seek and integrate feedback prior to Plan submittal, and this consultation shall be documented at the Initiative level in Plans. This consultation is intended to promote ratepayer benefit and create efficiencies in the Commission’s Plan review and approval by proactively aligning proposed investments </w:t>
      </w:r>
      <w:r w:rsidRPr="00391600" w:rsidR="00C76BEA">
        <w:rPr>
          <w:rFonts w:ascii="Palatino Linotype" w:hAnsi="Palatino Linotype" w:eastAsiaTheme="minorEastAsia"/>
          <w:color w:val="000000" w:themeColor="text1"/>
        </w:rPr>
        <w:t xml:space="preserve">at the start of the process </w:t>
      </w:r>
      <w:r w:rsidRPr="00391600" w:rsidR="006A0099">
        <w:rPr>
          <w:rFonts w:ascii="Palatino Linotype" w:hAnsi="Palatino Linotype" w:eastAsiaTheme="minorEastAsia"/>
          <w:color w:val="000000" w:themeColor="text1"/>
        </w:rPr>
        <w:t xml:space="preserve">with </w:t>
      </w:r>
      <w:r w:rsidRPr="00391600" w:rsidR="006A0099">
        <w:rPr>
          <w:rFonts w:ascii="Palatino Linotype" w:hAnsi="Palatino Linotype" w:eastAsia="Palatino Linotype" w:cs="Times New Roman"/>
          <w:color w:val="000000" w:themeColor="text1"/>
        </w:rPr>
        <w:t xml:space="preserve">priority Gas RD&amp;D-related </w:t>
      </w:r>
      <w:r w:rsidRPr="00391600" w:rsidR="006A0099">
        <w:rPr>
          <w:rFonts w:ascii="Palatino Linotype" w:hAnsi="Palatino Linotype" w:eastAsia="Palatino Linotype" w:cs="Times New Roman"/>
          <w:color w:val="000000" w:themeColor="text1"/>
        </w:rPr>
        <w:lastRenderedPageBreak/>
        <w:t>technolog</w:t>
      </w:r>
      <w:r w:rsidRPr="00391600" w:rsidR="00AE15D3">
        <w:rPr>
          <w:rFonts w:ascii="Palatino Linotype" w:hAnsi="Palatino Linotype" w:eastAsia="Palatino Linotype" w:cs="Times New Roman"/>
          <w:color w:val="000000" w:themeColor="text1"/>
        </w:rPr>
        <w:t>ies</w:t>
      </w:r>
      <w:r w:rsidRPr="00391600" w:rsidR="006A0099">
        <w:rPr>
          <w:rFonts w:ascii="Palatino Linotype" w:hAnsi="Palatino Linotype" w:eastAsia="Palatino Linotype" w:cs="Times New Roman"/>
          <w:color w:val="000000" w:themeColor="text1"/>
        </w:rPr>
        <w:t xml:space="preserve">, market needs, and </w:t>
      </w:r>
      <w:r w:rsidRPr="00391600" w:rsidR="006A0099">
        <w:rPr>
          <w:rFonts w:ascii="Palatino Linotype" w:hAnsi="Palatino Linotype" w:eastAsiaTheme="minorEastAsia"/>
          <w:color w:val="000000" w:themeColor="text1"/>
        </w:rPr>
        <w:t>emerging</w:t>
      </w:r>
      <w:r w:rsidRPr="00391600" w:rsidR="006A0099">
        <w:rPr>
          <w:rFonts w:ascii="Palatino Linotype" w:hAnsi="Palatino Linotype" w:eastAsia="Palatino Linotype" w:cs="Times New Roman"/>
          <w:color w:val="000000" w:themeColor="text1"/>
        </w:rPr>
        <w:t xml:space="preserve"> opportunities as identified in CPUC proceedings and policies.</w:t>
      </w:r>
      <w:r w:rsidRPr="00391600" w:rsidR="006A0099">
        <w:rPr>
          <w:rStyle w:val="FootnoteReference"/>
          <w:rFonts w:ascii="Palatino Linotype" w:hAnsi="Palatino Linotype" w:eastAsia="Palatino Linotype" w:cs="Times New Roman"/>
          <w:color w:val="000000" w:themeColor="text1"/>
        </w:rPr>
        <w:footnoteReference w:id="86"/>
      </w:r>
      <w:r w:rsidRPr="00391600" w:rsidR="006A0099">
        <w:rPr>
          <w:rFonts w:ascii="Palatino Linotype" w:hAnsi="Palatino Linotype" w:eastAsia="Palatino Linotype" w:cs="Times New Roman"/>
          <w:color w:val="000000" w:themeColor="text1"/>
        </w:rPr>
        <w:t xml:space="preserve"> </w:t>
      </w:r>
    </w:p>
    <w:p w:rsidRPr="00391600" w:rsidR="006A0099" w:rsidP="003B475F" w:rsidRDefault="006A0099" w14:paraId="090BAC57" w14:textId="4FC3F710">
      <w:pPr>
        <w:spacing w:after="0" w:line="276" w:lineRule="auto"/>
        <w:ind w:left="360"/>
        <w:rPr>
          <w:rFonts w:ascii="Palatino Linotype" w:hAnsi="Palatino Linotype" w:eastAsia="Palatino Linotype" w:cs="Palatino Linotype"/>
          <w:color w:val="000000" w:themeColor="text1"/>
        </w:rPr>
      </w:pPr>
      <w:r w:rsidRPr="00391600">
        <w:rPr>
          <w:rFonts w:ascii="Palatino Linotype" w:hAnsi="Palatino Linotype" w:eastAsia="Palatino Linotype" w:cs="Times New Roman"/>
          <w:color w:val="000000" w:themeColor="text1"/>
        </w:rPr>
        <w:t xml:space="preserve">The </w:t>
      </w:r>
      <w:r w:rsidRPr="00391600" w:rsidR="00326F1D">
        <w:rPr>
          <w:rFonts w:ascii="Palatino Linotype" w:hAnsi="Palatino Linotype" w:eastAsia="Palatino Linotype" w:cs="Times New Roman"/>
          <w:color w:val="000000" w:themeColor="text1"/>
        </w:rPr>
        <w:t xml:space="preserve">CEC should also explain </w:t>
      </w:r>
      <w:r w:rsidRPr="00391600" w:rsidR="006A6951">
        <w:rPr>
          <w:rFonts w:ascii="Palatino Linotype" w:hAnsi="Palatino Linotype" w:eastAsia="Palatino Linotype" w:cs="Times New Roman"/>
          <w:color w:val="000000" w:themeColor="text1"/>
        </w:rPr>
        <w:t xml:space="preserve">consultation and coordination where relevant with the EPIC program. </w:t>
      </w:r>
      <w:r w:rsidRPr="00391600" w:rsidR="0081126F">
        <w:rPr>
          <w:rFonts w:ascii="Palatino Linotype" w:hAnsi="Palatino Linotype" w:eastAsia="Palatino Linotype" w:cs="Times New Roman"/>
          <w:color w:val="000000" w:themeColor="text1"/>
        </w:rPr>
        <w:t xml:space="preserve">The </w:t>
      </w:r>
      <w:r w:rsidRPr="00391600">
        <w:rPr>
          <w:rFonts w:ascii="Palatino Linotype" w:hAnsi="Palatino Linotype" w:eastAsiaTheme="minorEastAsia"/>
          <w:color w:val="000000" w:themeColor="text1"/>
        </w:rPr>
        <w:t xml:space="preserve">EPIC </w:t>
      </w:r>
      <w:r w:rsidRPr="00391600">
        <w:rPr>
          <w:rFonts w:ascii="Palatino Linotype" w:hAnsi="Palatino Linotype" w:eastAsia="Palatino Linotype" w:cs="Palatino Linotype"/>
          <w:color w:val="000000" w:themeColor="text1"/>
        </w:rPr>
        <w:t>Strategic Goal of “Achieving 100% Net-Zero Carbon and the Coordinated Role of Gas” highlights the intrinsic link between gas and electric investment policy and planning, particularly involving electrification and decarbonization efforts. Greater collaboration among California RD&amp;D programs is</w:t>
      </w:r>
      <w:r w:rsidRPr="00391600" w:rsidDel="00BA4BBA">
        <w:rPr>
          <w:rFonts w:ascii="Palatino Linotype" w:hAnsi="Palatino Linotype" w:eastAsia="Palatino Linotype" w:cs="Palatino Linotype"/>
          <w:color w:val="000000" w:themeColor="text1"/>
        </w:rPr>
        <w:t xml:space="preserve"> </w:t>
      </w:r>
      <w:r w:rsidRPr="00391600" w:rsidR="00BA4BBA">
        <w:rPr>
          <w:rFonts w:ascii="Palatino Linotype" w:hAnsi="Palatino Linotype" w:eastAsia="Palatino Linotype" w:cs="Palatino Linotype"/>
          <w:color w:val="000000" w:themeColor="text1"/>
        </w:rPr>
        <w:t xml:space="preserve">necessary </w:t>
      </w:r>
      <w:r w:rsidRPr="00391600">
        <w:rPr>
          <w:rFonts w:ascii="Palatino Linotype" w:hAnsi="Palatino Linotype" w:eastAsia="Palatino Linotype" w:cs="Palatino Linotype"/>
          <w:color w:val="000000" w:themeColor="text1"/>
        </w:rPr>
        <w:t>to identify and scale cost-effective strategies to provide ratepayer benefit and achieve “the last 10 percent of reaching the state’s goal to be carbon neutral by 2045 economy-wide."</w:t>
      </w:r>
      <w:r w:rsidRPr="00391600">
        <w:rPr>
          <w:rStyle w:val="FootnoteReference"/>
          <w:rFonts w:ascii="Palatino Linotype" w:hAnsi="Palatino Linotype" w:eastAsia="Palatino Linotype" w:cs="Palatino Linotype"/>
          <w:color w:val="000000" w:themeColor="text1"/>
        </w:rPr>
        <w:footnoteReference w:id="87"/>
      </w:r>
      <w:r w:rsidRPr="00391600">
        <w:rPr>
          <w:rFonts w:ascii="Palatino Linotype" w:hAnsi="Palatino Linotype" w:eastAsia="Palatino Linotype" w:cs="Palatino Linotype"/>
          <w:color w:val="000000" w:themeColor="text1"/>
        </w:rPr>
        <w:t xml:space="preserve"> The CPUC’s Long-Term Gas Proceeding also </w:t>
      </w:r>
      <w:r w:rsidRPr="00391600">
        <w:rPr>
          <w:rFonts w:ascii="Palatino Linotype" w:hAnsi="Palatino Linotype" w:eastAsia="Palatino Linotype" w:cs="Times New Roman"/>
          <w:color w:val="000000" w:themeColor="text1"/>
        </w:rPr>
        <w:t>concludes</w:t>
      </w:r>
      <w:r w:rsidRPr="00391600">
        <w:rPr>
          <w:rFonts w:ascii="Palatino Linotype" w:hAnsi="Palatino Linotype" w:eastAsia="Palatino Linotype" w:cs="Palatino Linotype"/>
          <w:color w:val="000000" w:themeColor="text1"/>
        </w:rPr>
        <w:t xml:space="preserve"> that, “[t]o achieve California’s decarbonization goals and effectuate an equitable gas transition, a coordinated, iterative, and long-term planning process will help the State agencies and utilities align initiatives related to gas system planning efforts and analytics.”</w:t>
      </w:r>
      <w:r w:rsidRPr="00391600">
        <w:rPr>
          <w:rStyle w:val="FootnoteReference"/>
          <w:rFonts w:ascii="Palatino Linotype" w:hAnsi="Palatino Linotype" w:eastAsia="Palatino Linotype" w:cs="Palatino Linotype"/>
          <w:color w:val="000000" w:themeColor="text1"/>
        </w:rPr>
        <w:footnoteReference w:id="88"/>
      </w:r>
      <w:r w:rsidRPr="00391600">
        <w:rPr>
          <w:rFonts w:ascii="Palatino Linotype" w:hAnsi="Palatino Linotype" w:eastAsia="Palatino Linotype" w:cs="Palatino Linotype"/>
          <w:color w:val="000000" w:themeColor="text1"/>
        </w:rPr>
        <w:t xml:space="preserve"> Thus pre-submittal consultation with CPUC staff </w:t>
      </w:r>
      <w:r w:rsidRPr="00391600">
        <w:rPr>
          <w:rFonts w:ascii="Palatino Linotype" w:hAnsi="Palatino Linotype" w:eastAsiaTheme="minorEastAsia"/>
          <w:color w:val="000000" w:themeColor="text1"/>
        </w:rPr>
        <w:t xml:space="preserve">may be coordinated with other Gas RD&amp;D and EPIC administrators to promote efficiencies and strategic, holistic investment planning across programs, thereby maximizing the impacts of investments. </w:t>
      </w:r>
    </w:p>
    <w:p w:rsidRPr="00391600" w:rsidR="006A0099" w:rsidP="006A0099" w:rsidRDefault="006A0099" w14:paraId="1FDF3F01" w14:textId="77777777">
      <w:pPr>
        <w:spacing w:after="0" w:line="276" w:lineRule="auto"/>
        <w:ind w:left="720"/>
        <w:rPr>
          <w:rFonts w:ascii="Palatino Linotype" w:hAnsi="Palatino Linotype" w:eastAsia="Palatino Linotype" w:cs="Times New Roman"/>
          <w:color w:val="000000" w:themeColor="text1"/>
          <w:kern w:val="0"/>
          <w14:ligatures w14:val="none"/>
        </w:rPr>
      </w:pPr>
    </w:p>
    <w:p w:rsidRPr="00391600" w:rsidR="006A0099" w:rsidP="00BB33C1" w:rsidRDefault="006A0099" w14:paraId="5280C215" w14:textId="0190830B">
      <w:pPr>
        <w:pStyle w:val="ListParagraph"/>
        <w:keepNext/>
        <w:numPr>
          <w:ilvl w:val="0"/>
          <w:numId w:val="43"/>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Public Workshop</w:t>
      </w:r>
      <w:r w:rsidRPr="00391600" w:rsidR="00D114CF">
        <w:rPr>
          <w:rFonts w:ascii="Palatino Linotype" w:hAnsi="Palatino Linotype" w:eastAsia="Palatino Linotype" w:cs="Times New Roman"/>
          <w:color w:val="000000" w:themeColor="text1"/>
          <w:kern w:val="0"/>
          <w14:ligatures w14:val="none"/>
        </w:rPr>
        <w:t xml:space="preserve"> &amp; ESJ </w:t>
      </w:r>
      <w:r w:rsidRPr="00391600" w:rsidR="00121763">
        <w:rPr>
          <w:rFonts w:ascii="Palatino Linotype" w:hAnsi="Palatino Linotype" w:eastAsia="Palatino Linotype" w:cs="Times New Roman"/>
          <w:color w:val="000000" w:themeColor="text1"/>
          <w:kern w:val="0"/>
          <w14:ligatures w14:val="none"/>
        </w:rPr>
        <w:t>Consultation</w:t>
      </w:r>
    </w:p>
    <w:p w:rsidRPr="00391600" w:rsidR="004E310A" w:rsidP="00A47C5B" w:rsidRDefault="00D90EE3" w14:paraId="113E9E6A" w14:textId="7EA51FFA">
      <w:pPr>
        <w:keepNext/>
        <w:spacing w:after="0" w:line="276" w:lineRule="auto"/>
        <w:ind w:left="360"/>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After </w:t>
      </w:r>
      <w:r w:rsidRPr="00391600" w:rsidR="005E46E4">
        <w:rPr>
          <w:rFonts w:ascii="Palatino Linotype" w:hAnsi="Palatino Linotype" w:eastAsia="Palatino Linotype" w:cs="Times New Roman"/>
          <w:color w:val="000000" w:themeColor="text1"/>
          <w:kern w:val="0"/>
          <w14:ligatures w14:val="none"/>
        </w:rPr>
        <w:t xml:space="preserve">receiving and integrating CPUC </w:t>
      </w:r>
      <w:r w:rsidRPr="00391600">
        <w:rPr>
          <w:rFonts w:ascii="Palatino Linotype" w:hAnsi="Palatino Linotype" w:eastAsia="Palatino Linotype" w:cs="Times New Roman"/>
          <w:color w:val="000000" w:themeColor="text1"/>
          <w:kern w:val="0"/>
          <w14:ligatures w14:val="none"/>
        </w:rPr>
        <w:t xml:space="preserve">SME input </w:t>
      </w:r>
      <w:r w:rsidRPr="00391600" w:rsidR="005E46E4">
        <w:rPr>
          <w:rFonts w:ascii="Palatino Linotype" w:hAnsi="Palatino Linotype" w:eastAsia="Palatino Linotype" w:cs="Times New Roman"/>
          <w:color w:val="000000" w:themeColor="text1"/>
          <w:kern w:val="0"/>
          <w14:ligatures w14:val="none"/>
        </w:rPr>
        <w:t>to align</w:t>
      </w:r>
      <w:r w:rsidRPr="00391600" w:rsidR="00FE0758">
        <w:rPr>
          <w:rFonts w:ascii="Palatino Linotype" w:hAnsi="Palatino Linotype" w:eastAsia="Palatino Linotype" w:cs="Times New Roman"/>
          <w:color w:val="000000" w:themeColor="text1"/>
          <w:kern w:val="0"/>
          <w14:ligatures w14:val="none"/>
        </w:rPr>
        <w:t xml:space="preserve"> with </w:t>
      </w:r>
      <w:r w:rsidRPr="00391600" w:rsidR="005E46E4">
        <w:rPr>
          <w:rFonts w:ascii="Palatino Linotype" w:hAnsi="Palatino Linotype" w:eastAsia="Palatino Linotype" w:cs="Times New Roman"/>
          <w:color w:val="000000" w:themeColor="text1"/>
          <w:kern w:val="0"/>
          <w14:ligatures w14:val="none"/>
        </w:rPr>
        <w:t>CPUC proceedings,</w:t>
      </w:r>
      <w:r w:rsidRPr="00391600" w:rsidR="00D51EBD">
        <w:rPr>
          <w:rFonts w:ascii="Palatino Linotype" w:hAnsi="Palatino Linotype" w:eastAsia="Palatino Linotype" w:cs="Times New Roman"/>
          <w:color w:val="000000" w:themeColor="text1"/>
          <w:kern w:val="0"/>
          <w14:ligatures w14:val="none"/>
        </w:rPr>
        <w:t xml:space="preserve"> </w:t>
      </w:r>
      <w:r w:rsidRPr="00391600" w:rsidR="00FE0758">
        <w:rPr>
          <w:rFonts w:ascii="Palatino Linotype" w:hAnsi="Palatino Linotype" w:eastAsia="Palatino Linotype" w:cs="Times New Roman"/>
          <w:color w:val="000000" w:themeColor="text1"/>
          <w:kern w:val="0"/>
          <w14:ligatures w14:val="none"/>
        </w:rPr>
        <w:t xml:space="preserve"> t</w:t>
      </w:r>
      <w:r w:rsidRPr="00391600" w:rsidR="00BA4D05">
        <w:rPr>
          <w:rFonts w:ascii="Palatino Linotype" w:hAnsi="Palatino Linotype" w:eastAsia="Palatino Linotype" w:cs="Times New Roman"/>
          <w:color w:val="000000" w:themeColor="text1"/>
          <w:kern w:val="0"/>
          <w14:ligatures w14:val="none"/>
        </w:rPr>
        <w:t xml:space="preserve">he </w:t>
      </w:r>
      <w:r w:rsidRPr="00391600" w:rsidR="006535B4">
        <w:rPr>
          <w:rFonts w:ascii="Palatino Linotype" w:hAnsi="Palatino Linotype" w:eastAsia="Palatino Linotype" w:cs="Times New Roman"/>
          <w:color w:val="000000" w:themeColor="text1"/>
          <w:kern w:val="0"/>
          <w14:ligatures w14:val="none"/>
        </w:rPr>
        <w:t>CEC</w:t>
      </w:r>
      <w:r w:rsidRPr="00391600" w:rsidR="006A0099">
        <w:rPr>
          <w:rFonts w:ascii="Palatino Linotype" w:hAnsi="Palatino Linotype" w:eastAsia="Palatino Linotype" w:cs="Times New Roman"/>
          <w:color w:val="000000" w:themeColor="text1"/>
          <w:kern w:val="0"/>
          <w14:ligatures w14:val="none"/>
        </w:rPr>
        <w:t xml:space="preserve"> shall </w:t>
      </w:r>
      <w:r w:rsidRPr="00391600" w:rsidR="006A0099">
        <w:rPr>
          <w:rFonts w:ascii="Palatino Linotype" w:hAnsi="Palatino Linotype" w:eastAsia="Palatino Linotype" w:cs="Times New Roman"/>
          <w:color w:val="000000" w:themeColor="text1"/>
        </w:rPr>
        <w:t>co</w:t>
      </w:r>
      <w:r w:rsidRPr="00391600" w:rsidR="003540D0">
        <w:rPr>
          <w:rFonts w:ascii="Palatino Linotype" w:hAnsi="Palatino Linotype" w:eastAsia="Palatino Linotype" w:cs="Times New Roman"/>
          <w:color w:val="000000" w:themeColor="text1"/>
        </w:rPr>
        <w:t>llaborate</w:t>
      </w:r>
      <w:r w:rsidRPr="00391600" w:rsidR="006A0099">
        <w:rPr>
          <w:rFonts w:ascii="Palatino Linotype" w:hAnsi="Palatino Linotype" w:eastAsia="Palatino Linotype" w:cs="Times New Roman"/>
          <w:color w:val="000000" w:themeColor="text1"/>
        </w:rPr>
        <w:t xml:space="preserve"> with </w:t>
      </w:r>
      <w:r w:rsidRPr="00391600" w:rsidR="00CD6242">
        <w:rPr>
          <w:rFonts w:ascii="Palatino Linotype" w:hAnsi="Palatino Linotype" w:eastAsia="Palatino Linotype" w:cs="Times New Roman"/>
          <w:color w:val="000000" w:themeColor="text1"/>
        </w:rPr>
        <w:t>the IOUs</w:t>
      </w:r>
      <w:r w:rsidRPr="00391600" w:rsidR="006A0099">
        <w:rPr>
          <w:rFonts w:ascii="Palatino Linotype" w:hAnsi="Palatino Linotype" w:eastAsia="Palatino Linotype" w:cs="Times New Roman"/>
          <w:color w:val="000000" w:themeColor="text1"/>
        </w:rPr>
        <w:t xml:space="preserve"> to </w:t>
      </w:r>
      <w:r w:rsidRPr="00391600" w:rsidR="006A0099">
        <w:rPr>
          <w:rFonts w:ascii="Palatino Linotype" w:hAnsi="Palatino Linotype" w:eastAsia="Palatino Linotype" w:cs="Times New Roman"/>
          <w:color w:val="000000" w:themeColor="text1"/>
          <w:kern w:val="0"/>
          <w14:ligatures w14:val="none"/>
        </w:rPr>
        <w:t>hold a</w:t>
      </w:r>
      <w:r w:rsidRPr="00391600" w:rsidR="00BB5030">
        <w:rPr>
          <w:rFonts w:ascii="Palatino Linotype" w:hAnsi="Palatino Linotype" w:eastAsia="Palatino Linotype" w:cs="Times New Roman"/>
          <w:color w:val="000000" w:themeColor="text1"/>
          <w:kern w:val="0"/>
          <w14:ligatures w14:val="none"/>
        </w:rPr>
        <w:t xml:space="preserve"> Joint</w:t>
      </w:r>
      <w:r w:rsidRPr="00391600" w:rsidR="006A0099">
        <w:rPr>
          <w:rFonts w:ascii="Palatino Linotype" w:hAnsi="Palatino Linotype" w:eastAsia="Palatino Linotype" w:cs="Times New Roman"/>
          <w:color w:val="000000" w:themeColor="text1"/>
          <w:kern w:val="0"/>
          <w14:ligatures w14:val="none"/>
        </w:rPr>
        <w:t xml:space="preserve"> </w:t>
      </w:r>
      <w:r w:rsidRPr="00391600" w:rsidR="006A0099">
        <w:rPr>
          <w:rFonts w:ascii="Palatino Linotype" w:hAnsi="Palatino Linotype" w:eastAsia="Palatino Linotype" w:cs="Times New Roman"/>
          <w:color w:val="000000" w:themeColor="text1"/>
        </w:rPr>
        <w:t xml:space="preserve">Annual </w:t>
      </w:r>
      <w:r w:rsidRPr="00391600" w:rsidR="006A0099">
        <w:rPr>
          <w:rFonts w:ascii="Palatino Linotype" w:hAnsi="Palatino Linotype" w:eastAsia="Palatino Linotype" w:cs="Times New Roman"/>
          <w:color w:val="000000" w:themeColor="text1"/>
          <w:kern w:val="0"/>
          <w14:ligatures w14:val="none"/>
        </w:rPr>
        <w:t xml:space="preserve">Public Workshop to </w:t>
      </w:r>
      <w:r w:rsidRPr="00391600" w:rsidR="0009435D">
        <w:rPr>
          <w:rFonts w:ascii="Palatino Linotype" w:hAnsi="Palatino Linotype" w:eastAsia="Palatino Linotype" w:cs="Times New Roman"/>
          <w:color w:val="000000" w:themeColor="text1"/>
          <w:kern w:val="0"/>
          <w14:ligatures w14:val="none"/>
        </w:rPr>
        <w:t xml:space="preserve">present </w:t>
      </w:r>
      <w:r w:rsidRPr="00391600" w:rsidDel="0009435D" w:rsidR="002A2C12">
        <w:rPr>
          <w:rFonts w:ascii="Palatino Linotype" w:hAnsi="Palatino Linotype" w:eastAsia="Palatino Linotype" w:cs="Times New Roman"/>
          <w:color w:val="000000" w:themeColor="text1"/>
          <w:kern w:val="0"/>
          <w14:ligatures w14:val="none"/>
        </w:rPr>
        <w:t>coordinate</w:t>
      </w:r>
      <w:r w:rsidRPr="00391600" w:rsidDel="0088668B" w:rsidR="002A2C12">
        <w:rPr>
          <w:rFonts w:ascii="Palatino Linotype" w:hAnsi="Palatino Linotype" w:eastAsia="Palatino Linotype" w:cs="Times New Roman"/>
          <w:color w:val="000000" w:themeColor="text1"/>
          <w:kern w:val="0"/>
          <w14:ligatures w14:val="none"/>
        </w:rPr>
        <w:t>d</w:t>
      </w:r>
      <w:r w:rsidRPr="00391600" w:rsidDel="0088668B" w:rsidR="006A0099">
        <w:rPr>
          <w:rFonts w:ascii="Palatino Linotype" w:hAnsi="Palatino Linotype" w:eastAsia="Palatino Linotype" w:cs="Times New Roman"/>
          <w:color w:val="000000" w:themeColor="text1"/>
          <w:kern w:val="0"/>
          <w14:ligatures w14:val="none"/>
        </w:rPr>
        <w:t xml:space="preserve"> </w:t>
      </w:r>
      <w:r w:rsidRPr="00391600" w:rsidR="006A0099">
        <w:rPr>
          <w:rFonts w:ascii="Palatino Linotype" w:hAnsi="Palatino Linotype" w:eastAsia="Palatino Linotype" w:cs="Times New Roman"/>
          <w:color w:val="000000" w:themeColor="text1"/>
          <w:kern w:val="0"/>
          <w14:ligatures w14:val="none"/>
        </w:rPr>
        <w:t>investment</w:t>
      </w:r>
      <w:r w:rsidRPr="00391600" w:rsidR="005472B1">
        <w:rPr>
          <w:rFonts w:ascii="Palatino Linotype" w:hAnsi="Palatino Linotype" w:eastAsia="Palatino Linotype" w:cs="Times New Roman"/>
          <w:color w:val="000000" w:themeColor="text1"/>
          <w:kern w:val="0"/>
          <w14:ligatures w14:val="none"/>
        </w:rPr>
        <w:t xml:space="preserve"> proposal</w:t>
      </w:r>
      <w:r w:rsidRPr="00391600" w:rsidR="006A0099">
        <w:rPr>
          <w:rFonts w:ascii="Palatino Linotype" w:hAnsi="Palatino Linotype" w:eastAsia="Palatino Linotype" w:cs="Times New Roman"/>
          <w:color w:val="000000" w:themeColor="text1"/>
          <w:kern w:val="0"/>
          <w14:ligatures w14:val="none"/>
        </w:rPr>
        <w:t xml:space="preserve">s for the upcoming year </w:t>
      </w:r>
      <w:r w:rsidRPr="00391600" w:rsidR="003540D0">
        <w:rPr>
          <w:rFonts w:ascii="Palatino Linotype" w:hAnsi="Palatino Linotype" w:eastAsia="Palatino Linotype" w:cs="Times New Roman"/>
          <w:color w:val="000000" w:themeColor="text1"/>
          <w:kern w:val="0"/>
          <w14:ligatures w14:val="none"/>
        </w:rPr>
        <w:t xml:space="preserve">and obtain stakeholder input </w:t>
      </w:r>
      <w:r w:rsidRPr="00391600" w:rsidR="006A0099">
        <w:rPr>
          <w:rFonts w:ascii="Palatino Linotype" w:hAnsi="Palatino Linotype" w:eastAsia="Palatino Linotype" w:cs="Times New Roman"/>
          <w:color w:val="000000" w:themeColor="text1"/>
          <w:kern w:val="0"/>
          <w14:ligatures w14:val="none"/>
        </w:rPr>
        <w:t>prior to Plan submittal</w:t>
      </w:r>
      <w:r w:rsidRPr="00391600" w:rsidR="00901A63">
        <w:rPr>
          <w:rFonts w:ascii="Palatino Linotype" w:hAnsi="Palatino Linotype" w:eastAsia="Palatino Linotype" w:cs="Times New Roman"/>
          <w:color w:val="000000" w:themeColor="text1"/>
          <w:kern w:val="0"/>
          <w14:ligatures w14:val="none"/>
        </w:rPr>
        <w:t>.</w:t>
      </w:r>
      <w:r w:rsidRPr="00391600" w:rsidR="006A0099">
        <w:rPr>
          <w:rStyle w:val="FootnoteReference"/>
          <w:rFonts w:ascii="Palatino Linotype" w:hAnsi="Palatino Linotype" w:eastAsia="Palatino Linotype" w:cs="Times New Roman"/>
          <w:color w:val="000000" w:themeColor="text1"/>
          <w:kern w:val="0"/>
          <w14:ligatures w14:val="none"/>
        </w:rPr>
        <w:footnoteReference w:id="89"/>
      </w:r>
      <w:r w:rsidRPr="00391600" w:rsidR="006A0099">
        <w:rPr>
          <w:rFonts w:ascii="Palatino Linotype" w:hAnsi="Palatino Linotype" w:eastAsia="Palatino Linotype" w:cs="Times New Roman"/>
          <w:color w:val="000000" w:themeColor="text1"/>
          <w:kern w:val="0"/>
          <w14:ligatures w14:val="none"/>
        </w:rPr>
        <w:t xml:space="preserve"> </w:t>
      </w:r>
      <w:r w:rsidRPr="00391600" w:rsidR="00155080">
        <w:rPr>
          <w:rFonts w:ascii="Palatino Linotype" w:hAnsi="Palatino Linotype" w:eastAsia="Palatino Linotype" w:cs="Times New Roman"/>
          <w:color w:val="000000" w:themeColor="text1"/>
          <w:kern w:val="0"/>
          <w14:ligatures w14:val="none"/>
        </w:rPr>
        <w:t xml:space="preserve">At the </w:t>
      </w:r>
      <w:r w:rsidRPr="00391600" w:rsidR="00901A63">
        <w:rPr>
          <w:rFonts w:ascii="Palatino Linotype" w:hAnsi="Palatino Linotype" w:eastAsia="Palatino Linotype" w:cs="Times New Roman"/>
          <w:color w:val="000000" w:themeColor="text1"/>
          <w:kern w:val="0"/>
          <w14:ligatures w14:val="none"/>
        </w:rPr>
        <w:t>workshop</w:t>
      </w:r>
      <w:r w:rsidRPr="00391600" w:rsidR="00155080">
        <w:rPr>
          <w:rFonts w:ascii="Palatino Linotype" w:hAnsi="Palatino Linotype" w:eastAsia="Palatino Linotype" w:cs="Times New Roman"/>
          <w:color w:val="000000" w:themeColor="text1"/>
          <w:kern w:val="0"/>
          <w14:ligatures w14:val="none"/>
        </w:rPr>
        <w:t xml:space="preserve">, </w:t>
      </w:r>
      <w:r w:rsidRPr="00391600" w:rsidR="00F05356">
        <w:rPr>
          <w:rFonts w:ascii="Palatino Linotype" w:hAnsi="Palatino Linotype" w:eastAsia="Palatino Linotype" w:cs="Times New Roman"/>
          <w:color w:val="000000" w:themeColor="text1"/>
          <w:kern w:val="0"/>
          <w14:ligatures w14:val="none"/>
        </w:rPr>
        <w:t xml:space="preserve">the </w:t>
      </w:r>
      <w:r w:rsidRPr="00391600" w:rsidR="00155080">
        <w:rPr>
          <w:rFonts w:ascii="Palatino Linotype" w:hAnsi="Palatino Linotype" w:eastAsia="Palatino Linotype" w:cs="Times New Roman"/>
          <w:color w:val="000000" w:themeColor="text1"/>
          <w:kern w:val="0"/>
          <w14:ligatures w14:val="none"/>
        </w:rPr>
        <w:t>CEC shall</w:t>
      </w:r>
      <w:r w:rsidRPr="00391600" w:rsidR="00901A63">
        <w:rPr>
          <w:rFonts w:ascii="Palatino Linotype" w:hAnsi="Palatino Linotype" w:eastAsia="Palatino Linotype" w:cs="Times New Roman"/>
          <w:color w:val="000000" w:themeColor="text1"/>
          <w:kern w:val="0"/>
          <w14:ligatures w14:val="none"/>
        </w:rPr>
        <w:t xml:space="preserve"> also present on outcomes </w:t>
      </w:r>
      <w:r w:rsidRPr="00391600" w:rsidR="00634B96">
        <w:rPr>
          <w:rFonts w:ascii="Palatino Linotype" w:hAnsi="Palatino Linotype" w:eastAsia="Palatino Linotype" w:cs="Times New Roman"/>
          <w:color w:val="000000" w:themeColor="text1"/>
          <w:kern w:val="0"/>
          <w14:ligatures w14:val="none"/>
        </w:rPr>
        <w:t xml:space="preserve">from the previous year as reported in its </w:t>
      </w:r>
      <w:r w:rsidRPr="00391600" w:rsidR="007E1646">
        <w:rPr>
          <w:rFonts w:ascii="Palatino Linotype" w:hAnsi="Palatino Linotype" w:eastAsia="Palatino Linotype" w:cs="Times New Roman"/>
          <w:color w:val="000000" w:themeColor="text1"/>
          <w:kern w:val="0"/>
          <w14:ligatures w14:val="none"/>
        </w:rPr>
        <w:t>A</w:t>
      </w:r>
      <w:r w:rsidRPr="00391600" w:rsidR="00634B96">
        <w:rPr>
          <w:rFonts w:ascii="Palatino Linotype" w:hAnsi="Palatino Linotype" w:eastAsia="Palatino Linotype" w:cs="Times New Roman"/>
          <w:color w:val="000000" w:themeColor="text1"/>
          <w:kern w:val="0"/>
          <w14:ligatures w14:val="none"/>
        </w:rPr>
        <w:t xml:space="preserve">nnual </w:t>
      </w:r>
      <w:r w:rsidRPr="00391600" w:rsidR="007E1646">
        <w:rPr>
          <w:rFonts w:ascii="Palatino Linotype" w:hAnsi="Palatino Linotype" w:eastAsia="Palatino Linotype" w:cs="Times New Roman"/>
          <w:color w:val="000000" w:themeColor="text1"/>
          <w:kern w:val="0"/>
          <w14:ligatures w14:val="none"/>
        </w:rPr>
        <w:t>R</w:t>
      </w:r>
      <w:r w:rsidRPr="00391600" w:rsidR="00634B96">
        <w:rPr>
          <w:rFonts w:ascii="Palatino Linotype" w:hAnsi="Palatino Linotype" w:eastAsia="Palatino Linotype" w:cs="Times New Roman"/>
          <w:color w:val="000000" w:themeColor="text1"/>
          <w:kern w:val="0"/>
          <w14:ligatures w14:val="none"/>
        </w:rPr>
        <w:t>eport</w:t>
      </w:r>
      <w:r w:rsidRPr="00391600" w:rsidR="00E10E9E">
        <w:rPr>
          <w:rFonts w:ascii="Palatino Linotype" w:hAnsi="Palatino Linotype" w:eastAsia="Palatino Linotype" w:cs="Times New Roman"/>
          <w:color w:val="000000" w:themeColor="text1"/>
          <w:kern w:val="0"/>
          <w14:ligatures w14:val="none"/>
        </w:rPr>
        <w:t xml:space="preserve"> to </w:t>
      </w:r>
      <w:r w:rsidRPr="00391600" w:rsidR="00345086">
        <w:rPr>
          <w:rFonts w:ascii="Palatino Linotype" w:hAnsi="Palatino Linotype" w:eastAsia="Palatino Linotype" w:cs="Times New Roman"/>
          <w:color w:val="000000" w:themeColor="text1"/>
          <w:kern w:val="0"/>
          <w14:ligatures w14:val="none"/>
        </w:rPr>
        <w:t xml:space="preserve">promote transparency and accountability in </w:t>
      </w:r>
      <w:r w:rsidRPr="00391600" w:rsidR="00946BC0">
        <w:rPr>
          <w:rFonts w:ascii="Palatino Linotype" w:hAnsi="Palatino Linotype" w:eastAsia="Palatino Linotype" w:cs="Times New Roman"/>
          <w:color w:val="000000" w:themeColor="text1"/>
          <w:kern w:val="0"/>
          <w14:ligatures w14:val="none"/>
        </w:rPr>
        <w:t xml:space="preserve">demonstrating </w:t>
      </w:r>
      <w:r w:rsidRPr="00391600" w:rsidR="00345086">
        <w:rPr>
          <w:rFonts w:ascii="Palatino Linotype" w:hAnsi="Palatino Linotype" w:eastAsia="Palatino Linotype" w:cs="Times New Roman"/>
          <w:color w:val="000000" w:themeColor="text1"/>
          <w:kern w:val="0"/>
          <w14:ligatures w14:val="none"/>
        </w:rPr>
        <w:t>ratepayer benefit</w:t>
      </w:r>
      <w:r w:rsidRPr="00391600" w:rsidR="00CA5F9D">
        <w:rPr>
          <w:rFonts w:ascii="Palatino Linotype" w:hAnsi="Palatino Linotype" w:eastAsia="Palatino Linotype" w:cs="Times New Roman"/>
          <w:color w:val="000000" w:themeColor="text1"/>
          <w:kern w:val="0"/>
          <w14:ligatures w14:val="none"/>
        </w:rPr>
        <w:t xml:space="preserve"> in addition</w:t>
      </w:r>
      <w:r w:rsidRPr="00391600" w:rsidR="00E10E9E">
        <w:rPr>
          <w:rFonts w:ascii="Palatino Linotype" w:hAnsi="Palatino Linotype" w:eastAsia="Palatino Linotype" w:cs="Times New Roman"/>
          <w:color w:val="000000" w:themeColor="text1"/>
          <w:kern w:val="0"/>
          <w14:ligatures w14:val="none"/>
        </w:rPr>
        <w:t xml:space="preserve"> to </w:t>
      </w:r>
      <w:r w:rsidRPr="00391600" w:rsidR="004E434B">
        <w:rPr>
          <w:rFonts w:ascii="Palatino Linotype" w:hAnsi="Palatino Linotype" w:eastAsia="Palatino Linotype" w:cs="Times New Roman"/>
          <w:color w:val="000000" w:themeColor="text1"/>
          <w:kern w:val="0"/>
          <w14:ligatures w14:val="none"/>
        </w:rPr>
        <w:t xml:space="preserve">informing </w:t>
      </w:r>
      <w:r w:rsidRPr="00391600" w:rsidR="00E53E25">
        <w:rPr>
          <w:rFonts w:ascii="Palatino Linotype" w:hAnsi="Palatino Linotype" w:eastAsia="Palatino Linotype" w:cs="Times New Roman"/>
          <w:color w:val="000000" w:themeColor="text1"/>
          <w:kern w:val="0"/>
          <w14:ligatures w14:val="none"/>
        </w:rPr>
        <w:t xml:space="preserve">subsequent </w:t>
      </w:r>
      <w:r w:rsidRPr="00391600" w:rsidR="00285067">
        <w:rPr>
          <w:rFonts w:ascii="Palatino Linotype" w:hAnsi="Palatino Linotype" w:eastAsia="Palatino Linotype" w:cs="Times New Roman"/>
          <w:color w:val="000000" w:themeColor="text1"/>
          <w:kern w:val="0"/>
          <w14:ligatures w14:val="none"/>
        </w:rPr>
        <w:t>strategic</w:t>
      </w:r>
      <w:r w:rsidRPr="00391600" w:rsidR="00DB1434">
        <w:rPr>
          <w:rFonts w:ascii="Palatino Linotype" w:hAnsi="Palatino Linotype" w:eastAsia="Palatino Linotype" w:cs="Times New Roman"/>
          <w:color w:val="000000" w:themeColor="text1"/>
          <w:kern w:val="0"/>
          <w14:ligatures w14:val="none"/>
        </w:rPr>
        <w:t xml:space="preserve"> investment </w:t>
      </w:r>
      <w:r w:rsidRPr="00391600" w:rsidR="00285067">
        <w:rPr>
          <w:rFonts w:ascii="Palatino Linotype" w:hAnsi="Palatino Linotype" w:eastAsia="Palatino Linotype" w:cs="Times New Roman"/>
          <w:color w:val="000000" w:themeColor="text1"/>
          <w:kern w:val="0"/>
          <w14:ligatures w14:val="none"/>
        </w:rPr>
        <w:t>planning.</w:t>
      </w:r>
      <w:r w:rsidRPr="00391600" w:rsidR="00DB1434">
        <w:rPr>
          <w:rFonts w:ascii="Palatino Linotype" w:hAnsi="Palatino Linotype" w:eastAsia="Palatino Linotype" w:cs="Times New Roman"/>
          <w:color w:val="000000" w:themeColor="text1"/>
          <w:kern w:val="0"/>
          <w14:ligatures w14:val="none"/>
        </w:rPr>
        <w:t xml:space="preserve"> The </w:t>
      </w:r>
      <w:r w:rsidRPr="00391600" w:rsidR="006535B4">
        <w:rPr>
          <w:rFonts w:ascii="Palatino Linotype" w:hAnsi="Palatino Linotype" w:eastAsia="Palatino Linotype" w:cs="Times New Roman"/>
          <w:color w:val="000000" w:themeColor="text1"/>
          <w:kern w:val="0"/>
          <w14:ligatures w14:val="none"/>
        </w:rPr>
        <w:t>CEC</w:t>
      </w:r>
      <w:r w:rsidRPr="00391600" w:rsidR="006A0099">
        <w:rPr>
          <w:rFonts w:ascii="Palatino Linotype" w:hAnsi="Palatino Linotype" w:eastAsia="Palatino Linotype" w:cs="Times New Roman"/>
          <w:color w:val="000000" w:themeColor="text1"/>
          <w:kern w:val="0"/>
          <w14:ligatures w14:val="none"/>
        </w:rPr>
        <w:t xml:space="preserve"> shall </w:t>
      </w:r>
      <w:r w:rsidRPr="00391600" w:rsidR="006A0099">
        <w:rPr>
          <w:rFonts w:ascii="Palatino Linotype" w:hAnsi="Palatino Linotype" w:eastAsia="Palatino Linotype" w:cs="Times New Roman"/>
          <w:color w:val="000000" w:themeColor="text1"/>
          <w:kern w:val="0"/>
          <w14:ligatures w14:val="none"/>
        </w:rPr>
        <w:lastRenderedPageBreak/>
        <w:t>consult E</w:t>
      </w:r>
      <w:r w:rsidRPr="00391600" w:rsidR="00BB4C4A">
        <w:rPr>
          <w:rFonts w:ascii="Palatino Linotype" w:hAnsi="Palatino Linotype" w:eastAsia="Palatino Linotype" w:cs="Times New Roman"/>
          <w:color w:val="000000" w:themeColor="text1"/>
          <w:kern w:val="0"/>
          <w14:ligatures w14:val="none"/>
        </w:rPr>
        <w:t>nergy Division</w:t>
      </w:r>
      <w:r w:rsidRPr="00391600" w:rsidR="006A0099">
        <w:rPr>
          <w:rFonts w:ascii="Palatino Linotype" w:hAnsi="Palatino Linotype" w:eastAsia="Palatino Linotype" w:cs="Times New Roman"/>
          <w:color w:val="000000" w:themeColor="text1"/>
          <w:kern w:val="0"/>
          <w14:ligatures w14:val="none"/>
        </w:rPr>
        <w:t xml:space="preserve"> staff </w:t>
      </w:r>
      <w:r w:rsidRPr="00391600" w:rsidR="006A0099">
        <w:rPr>
          <w:rFonts w:ascii="Palatino Linotype" w:hAnsi="Palatino Linotype" w:eastAsia="Palatino Linotype" w:cs="Times New Roman"/>
          <w:color w:val="000000" w:themeColor="text1"/>
        </w:rPr>
        <w:t xml:space="preserve">on its </w:t>
      </w:r>
      <w:r w:rsidRPr="00391600" w:rsidR="006A0099">
        <w:rPr>
          <w:rFonts w:ascii="Palatino Linotype" w:hAnsi="Palatino Linotype" w:eastAsia="Palatino Linotype" w:cs="Times New Roman"/>
          <w:color w:val="000000" w:themeColor="text1"/>
          <w:kern w:val="0"/>
          <w14:ligatures w14:val="none"/>
        </w:rPr>
        <w:t>engage</w:t>
      </w:r>
      <w:r w:rsidRPr="00391600" w:rsidR="006A0099">
        <w:rPr>
          <w:rFonts w:ascii="Palatino Linotype" w:hAnsi="Palatino Linotype" w:eastAsia="Palatino Linotype" w:cs="Times New Roman"/>
          <w:color w:val="000000" w:themeColor="text1"/>
        </w:rPr>
        <w:t>ment of</w:t>
      </w:r>
      <w:r w:rsidRPr="00391600" w:rsidR="006A0099">
        <w:rPr>
          <w:rFonts w:ascii="Palatino Linotype" w:hAnsi="Palatino Linotype" w:eastAsia="Palatino Linotype" w:cs="Times New Roman"/>
          <w:color w:val="000000" w:themeColor="text1"/>
          <w:kern w:val="0"/>
          <w14:ligatures w14:val="none"/>
        </w:rPr>
        <w:t xml:space="preserve"> diverse relevant stakeholders,</w:t>
      </w:r>
      <w:r w:rsidRPr="00391600" w:rsidR="006A0099">
        <w:rPr>
          <w:rFonts w:ascii="Palatino Linotype" w:hAnsi="Palatino Linotype" w:eastAsiaTheme="minorEastAsia"/>
          <w:color w:val="000000" w:themeColor="text1"/>
        </w:rPr>
        <w:t xml:space="preserve"> document </w:t>
      </w:r>
      <w:r w:rsidRPr="00391600" w:rsidR="00FD3FFF">
        <w:rPr>
          <w:rFonts w:ascii="Palatino Linotype" w:hAnsi="Palatino Linotype" w:eastAsiaTheme="minorEastAsia"/>
          <w:color w:val="000000" w:themeColor="text1"/>
        </w:rPr>
        <w:t xml:space="preserve">specific </w:t>
      </w:r>
      <w:r w:rsidRPr="00391600" w:rsidR="006A0099">
        <w:rPr>
          <w:rFonts w:ascii="Palatino Linotype" w:hAnsi="Palatino Linotype" w:eastAsiaTheme="minorEastAsia"/>
          <w:color w:val="000000" w:themeColor="text1"/>
        </w:rPr>
        <w:t xml:space="preserve">feedback, </w:t>
      </w:r>
      <w:r w:rsidRPr="00391600" w:rsidR="00727C7A">
        <w:rPr>
          <w:rFonts w:ascii="Palatino Linotype" w:hAnsi="Palatino Linotype" w:eastAsiaTheme="minorEastAsia"/>
          <w:color w:val="000000" w:themeColor="text1"/>
        </w:rPr>
        <w:t>detail the</w:t>
      </w:r>
      <w:r w:rsidRPr="00391600" w:rsidR="00BE4D3B">
        <w:rPr>
          <w:rFonts w:ascii="Palatino Linotype" w:hAnsi="Palatino Linotype" w:eastAsiaTheme="minorEastAsia"/>
          <w:color w:val="000000" w:themeColor="text1"/>
        </w:rPr>
        <w:t xml:space="preserve"> clear progression</w:t>
      </w:r>
      <w:r w:rsidRPr="00391600" w:rsidR="00727C7A">
        <w:rPr>
          <w:rFonts w:ascii="Palatino Linotype" w:hAnsi="Palatino Linotype" w:eastAsiaTheme="minorEastAsia"/>
          <w:color w:val="000000" w:themeColor="text1"/>
        </w:rPr>
        <w:t xml:space="preserve"> of proposal development and refinement </w:t>
      </w:r>
      <w:r w:rsidRPr="00391600" w:rsidR="00FD3FFF">
        <w:rPr>
          <w:rFonts w:ascii="Palatino Linotype" w:hAnsi="Palatino Linotype" w:eastAsiaTheme="minorEastAsia"/>
          <w:color w:val="000000" w:themeColor="text1"/>
        </w:rPr>
        <w:t>through</w:t>
      </w:r>
      <w:r w:rsidRPr="00391600" w:rsidR="00B6796A">
        <w:rPr>
          <w:rFonts w:ascii="Palatino Linotype" w:hAnsi="Palatino Linotype" w:eastAsiaTheme="minorEastAsia"/>
          <w:color w:val="000000" w:themeColor="text1"/>
        </w:rPr>
        <w:t xml:space="preserve"> each stage </w:t>
      </w:r>
      <w:r w:rsidRPr="00391600" w:rsidR="00FD3FFF">
        <w:rPr>
          <w:rFonts w:ascii="Palatino Linotype" w:hAnsi="Palatino Linotype" w:eastAsiaTheme="minorEastAsia"/>
          <w:color w:val="000000" w:themeColor="text1"/>
        </w:rPr>
        <w:t>of consultation</w:t>
      </w:r>
      <w:r w:rsidRPr="00391600" w:rsidR="006A0099">
        <w:rPr>
          <w:rFonts w:ascii="Palatino Linotype" w:hAnsi="Palatino Linotype" w:eastAsiaTheme="minorEastAsia"/>
          <w:color w:val="000000" w:themeColor="text1"/>
        </w:rPr>
        <w:t xml:space="preserve">, and demonstrate how </w:t>
      </w:r>
      <w:r w:rsidRPr="00391600" w:rsidR="00B54A46">
        <w:rPr>
          <w:rFonts w:ascii="Palatino Linotype" w:hAnsi="Palatino Linotype" w:eastAsiaTheme="minorEastAsia"/>
          <w:color w:val="000000" w:themeColor="text1"/>
        </w:rPr>
        <w:t>input</w:t>
      </w:r>
      <w:r w:rsidRPr="00391600" w:rsidR="006A0099">
        <w:rPr>
          <w:rFonts w:ascii="Palatino Linotype" w:hAnsi="Palatino Linotype" w:eastAsiaTheme="minorEastAsia"/>
          <w:color w:val="000000" w:themeColor="text1"/>
        </w:rPr>
        <w:t xml:space="preserve"> has been incorporated at the Initiative level in Plans</w:t>
      </w:r>
      <w:r w:rsidRPr="00391600" w:rsidR="00FD3FFF">
        <w:rPr>
          <w:rFonts w:ascii="Palatino Linotype" w:hAnsi="Palatino Linotype" w:eastAsiaTheme="minorEastAsia"/>
          <w:color w:val="000000" w:themeColor="text1"/>
        </w:rPr>
        <w:t xml:space="preserve">. </w:t>
      </w:r>
      <w:r w:rsidRPr="00391600" w:rsidR="00DB1434">
        <w:rPr>
          <w:rFonts w:ascii="Palatino Linotype" w:hAnsi="Palatino Linotype" w:eastAsiaTheme="minorEastAsia"/>
          <w:color w:val="000000" w:themeColor="text1"/>
        </w:rPr>
        <w:t xml:space="preserve">The </w:t>
      </w:r>
      <w:r w:rsidRPr="00391600" w:rsidR="00727C7A">
        <w:rPr>
          <w:rFonts w:ascii="Palatino Linotype" w:hAnsi="Palatino Linotype" w:eastAsiaTheme="minorEastAsia"/>
          <w:color w:val="000000" w:themeColor="text1"/>
        </w:rPr>
        <w:t xml:space="preserve">CEC shall </w:t>
      </w:r>
      <w:r w:rsidRPr="00391600" w:rsidR="00D82617">
        <w:rPr>
          <w:rFonts w:ascii="Palatino Linotype" w:hAnsi="Palatino Linotype" w:eastAsiaTheme="minorEastAsia"/>
          <w:color w:val="000000" w:themeColor="text1"/>
        </w:rPr>
        <w:t xml:space="preserve">provide </w:t>
      </w:r>
      <w:r w:rsidRPr="00391600" w:rsidR="00561F68">
        <w:rPr>
          <w:rFonts w:ascii="Palatino Linotype" w:hAnsi="Palatino Linotype" w:eastAsiaTheme="minorEastAsia"/>
          <w:color w:val="000000" w:themeColor="text1"/>
        </w:rPr>
        <w:t xml:space="preserve">sufficient time for </w:t>
      </w:r>
      <w:r w:rsidRPr="00391600" w:rsidR="00E74A2D">
        <w:rPr>
          <w:rFonts w:ascii="Palatino Linotype" w:hAnsi="Palatino Linotype" w:eastAsiaTheme="minorEastAsia"/>
          <w:color w:val="000000" w:themeColor="text1"/>
        </w:rPr>
        <w:t xml:space="preserve">stakeholder questions and discussion, </w:t>
      </w:r>
      <w:r w:rsidRPr="00391600" w:rsidR="00905A4D">
        <w:rPr>
          <w:rFonts w:ascii="Palatino Linotype" w:hAnsi="Palatino Linotype" w:eastAsiaTheme="minorEastAsia"/>
          <w:color w:val="000000" w:themeColor="text1"/>
        </w:rPr>
        <w:t xml:space="preserve">specifically </w:t>
      </w:r>
      <w:r w:rsidRPr="00391600" w:rsidR="00666361">
        <w:rPr>
          <w:rFonts w:ascii="Palatino Linotype" w:hAnsi="Palatino Linotype" w:eastAsiaTheme="minorEastAsia"/>
          <w:color w:val="000000" w:themeColor="text1"/>
        </w:rPr>
        <w:t>via</w:t>
      </w:r>
      <w:r w:rsidRPr="00391600" w:rsidDel="00916A55" w:rsidR="005016AF">
        <w:rPr>
          <w:rFonts w:ascii="Palatino Linotype" w:hAnsi="Palatino Linotype" w:eastAsiaTheme="minorEastAsia"/>
          <w:color w:val="000000" w:themeColor="text1"/>
        </w:rPr>
        <w:t xml:space="preserve"> </w:t>
      </w:r>
      <w:r w:rsidRPr="00391600" w:rsidR="005016AF">
        <w:rPr>
          <w:rFonts w:ascii="Palatino Linotype" w:hAnsi="Palatino Linotype" w:eastAsiaTheme="minorEastAsia"/>
          <w:color w:val="000000" w:themeColor="text1"/>
        </w:rPr>
        <w:t>a robust</w:t>
      </w:r>
      <w:r w:rsidRPr="00391600" w:rsidR="00666361">
        <w:rPr>
          <w:rFonts w:ascii="Palatino Linotype" w:hAnsi="Palatino Linotype" w:eastAsiaTheme="minorEastAsia"/>
          <w:color w:val="000000" w:themeColor="text1"/>
        </w:rPr>
        <w:t>, dedicated</w:t>
      </w:r>
      <w:r w:rsidRPr="00391600" w:rsidR="005016AF">
        <w:rPr>
          <w:rFonts w:ascii="Palatino Linotype" w:hAnsi="Palatino Linotype" w:eastAsiaTheme="minorEastAsia"/>
          <w:color w:val="000000" w:themeColor="text1"/>
        </w:rPr>
        <w:t xml:space="preserve"> engagement component</w:t>
      </w:r>
      <w:r w:rsidRPr="00391600" w:rsidR="001774CF">
        <w:rPr>
          <w:rFonts w:ascii="Palatino Linotype" w:hAnsi="Palatino Linotype" w:eastAsiaTheme="minorEastAsia"/>
          <w:color w:val="000000" w:themeColor="text1"/>
        </w:rPr>
        <w:t xml:space="preserve"> </w:t>
      </w:r>
      <w:r w:rsidRPr="00391600" w:rsidR="0003423D">
        <w:rPr>
          <w:rFonts w:ascii="Palatino Linotype" w:hAnsi="Palatino Linotype" w:eastAsiaTheme="minorEastAsia"/>
          <w:color w:val="000000" w:themeColor="text1"/>
        </w:rPr>
        <w:t>of</w:t>
      </w:r>
      <w:r w:rsidRPr="00391600" w:rsidR="001774CF">
        <w:rPr>
          <w:rFonts w:ascii="Palatino Linotype" w:hAnsi="Palatino Linotype" w:eastAsiaTheme="minorEastAsia"/>
          <w:color w:val="000000" w:themeColor="text1"/>
        </w:rPr>
        <w:t xml:space="preserve"> the workshop</w:t>
      </w:r>
      <w:r w:rsidRPr="00391600" w:rsidR="005016AF">
        <w:rPr>
          <w:rFonts w:ascii="Palatino Linotype" w:hAnsi="Palatino Linotype" w:eastAsiaTheme="minorEastAsia"/>
          <w:color w:val="000000" w:themeColor="text1"/>
        </w:rPr>
        <w:t xml:space="preserve"> </w:t>
      </w:r>
      <w:r w:rsidRPr="00391600" w:rsidR="002A2C12">
        <w:rPr>
          <w:rFonts w:ascii="Palatino Linotype" w:hAnsi="Palatino Linotype" w:eastAsiaTheme="minorEastAsia"/>
          <w:color w:val="000000" w:themeColor="text1"/>
        </w:rPr>
        <w:t>with</w:t>
      </w:r>
      <w:r w:rsidRPr="00391600" w:rsidR="006A0099">
        <w:rPr>
          <w:rFonts w:ascii="Palatino Linotype" w:hAnsi="Palatino Linotype" w:eastAsiaTheme="minorEastAsia"/>
          <w:color w:val="000000" w:themeColor="text1"/>
        </w:rPr>
        <w:t xml:space="preserve"> Environmental and Social Justice (ESJ) and Tribal communities</w:t>
      </w:r>
      <w:r w:rsidRPr="00391600" w:rsidR="00DE6AFB">
        <w:rPr>
          <w:rFonts w:ascii="Palatino Linotype" w:hAnsi="Palatino Linotype" w:eastAsiaTheme="minorEastAsia"/>
          <w:color w:val="000000" w:themeColor="text1"/>
        </w:rPr>
        <w:t xml:space="preserve">. </w:t>
      </w:r>
      <w:r w:rsidRPr="00391600" w:rsidR="005B6739">
        <w:rPr>
          <w:rFonts w:ascii="Palatino Linotype" w:hAnsi="Palatino Linotype" w:eastAsiaTheme="minorEastAsia"/>
          <w:color w:val="000000" w:themeColor="text1"/>
        </w:rPr>
        <w:t xml:space="preserve">The CEC shall offer </w:t>
      </w:r>
      <w:r w:rsidRPr="00391600" w:rsidR="008F56A5">
        <w:rPr>
          <w:rFonts w:ascii="Palatino Linotype" w:hAnsi="Palatino Linotype" w:eastAsiaTheme="minorEastAsia"/>
          <w:color w:val="000000" w:themeColor="text1"/>
        </w:rPr>
        <w:t>members of the</w:t>
      </w:r>
      <w:r w:rsidRPr="00391600" w:rsidR="00121763">
        <w:rPr>
          <w:rFonts w:ascii="Palatino Linotype" w:hAnsi="Palatino Linotype" w:eastAsiaTheme="minorEastAsia"/>
          <w:color w:val="000000" w:themeColor="text1"/>
        </w:rPr>
        <w:t xml:space="preserve"> Disadvantaged Communities Advisory Group (DACAG) </w:t>
      </w:r>
      <w:r w:rsidRPr="00391600" w:rsidR="00B2207C">
        <w:rPr>
          <w:rFonts w:ascii="Palatino Linotype" w:hAnsi="Palatino Linotype" w:eastAsiaTheme="minorEastAsia"/>
          <w:color w:val="000000" w:themeColor="text1"/>
        </w:rPr>
        <w:t xml:space="preserve">the opportunity </w:t>
      </w:r>
      <w:r w:rsidRPr="00391600" w:rsidR="00121763">
        <w:rPr>
          <w:rFonts w:ascii="Palatino Linotype" w:hAnsi="Palatino Linotype" w:eastAsiaTheme="minorEastAsia"/>
          <w:color w:val="000000" w:themeColor="text1"/>
        </w:rPr>
        <w:t xml:space="preserve">to provide </w:t>
      </w:r>
      <w:r w:rsidRPr="00391600" w:rsidR="00C83006">
        <w:rPr>
          <w:rFonts w:ascii="Palatino Linotype" w:hAnsi="Palatino Linotype" w:eastAsiaTheme="minorEastAsia"/>
          <w:color w:val="000000" w:themeColor="text1"/>
        </w:rPr>
        <w:t xml:space="preserve">input </w:t>
      </w:r>
      <w:r w:rsidRPr="00391600" w:rsidR="0070467D">
        <w:rPr>
          <w:rFonts w:ascii="Palatino Linotype" w:hAnsi="Palatino Linotype" w:eastAsiaTheme="minorEastAsia"/>
          <w:color w:val="000000" w:themeColor="text1"/>
        </w:rPr>
        <w:t>on its</w:t>
      </w:r>
      <w:r w:rsidRPr="00391600" w:rsidDel="000F7FF7" w:rsidR="00121763">
        <w:rPr>
          <w:rFonts w:ascii="Palatino Linotype" w:hAnsi="Palatino Linotype" w:eastAsiaTheme="minorEastAsia"/>
          <w:color w:val="000000" w:themeColor="text1"/>
        </w:rPr>
        <w:t xml:space="preserve"> </w:t>
      </w:r>
      <w:r w:rsidRPr="00391600" w:rsidR="00121763">
        <w:rPr>
          <w:rFonts w:ascii="Palatino Linotype" w:hAnsi="Palatino Linotype" w:eastAsiaTheme="minorEastAsia"/>
          <w:color w:val="000000" w:themeColor="text1"/>
        </w:rPr>
        <w:t xml:space="preserve">proposed Plan </w:t>
      </w:r>
      <w:r w:rsidRPr="00391600" w:rsidR="002367C5">
        <w:rPr>
          <w:rFonts w:ascii="Palatino Linotype" w:hAnsi="Palatino Linotype" w:eastAsiaTheme="minorEastAsia"/>
          <w:color w:val="000000" w:themeColor="text1"/>
        </w:rPr>
        <w:t xml:space="preserve">with sufficient lead-time </w:t>
      </w:r>
      <w:r w:rsidRPr="00391600" w:rsidR="00121763">
        <w:rPr>
          <w:rFonts w:ascii="Palatino Linotype" w:hAnsi="Palatino Linotype" w:eastAsiaTheme="minorEastAsia"/>
          <w:color w:val="000000" w:themeColor="text1"/>
        </w:rPr>
        <w:t>prior to Plan submittal</w:t>
      </w:r>
      <w:r w:rsidRPr="00391600" w:rsidR="004E310A">
        <w:rPr>
          <w:rFonts w:ascii="Palatino Linotype" w:hAnsi="Palatino Linotype" w:eastAsiaTheme="minorEastAsia"/>
          <w:color w:val="000000" w:themeColor="text1"/>
        </w:rPr>
        <w:t>.</w:t>
      </w:r>
      <w:r w:rsidRPr="00391600" w:rsidR="00121763">
        <w:rPr>
          <w:rStyle w:val="FootnoteReference"/>
          <w:rFonts w:ascii="Palatino Linotype" w:hAnsi="Palatino Linotype" w:eastAsiaTheme="minorEastAsia"/>
          <w:color w:val="000000" w:themeColor="text1"/>
        </w:rPr>
        <w:footnoteReference w:id="90"/>
      </w:r>
      <w:r w:rsidRPr="00391600" w:rsidR="00231BEB">
        <w:rPr>
          <w:rFonts w:ascii="Palatino Linotype" w:hAnsi="Palatino Linotype" w:eastAsiaTheme="minorEastAsia"/>
          <w:color w:val="000000" w:themeColor="text1"/>
        </w:rPr>
        <w:t xml:space="preserve"> </w:t>
      </w:r>
    </w:p>
    <w:p w:rsidRPr="00391600" w:rsidR="3F8DE55E" w:rsidP="00B8435B" w:rsidRDefault="3F8DE55E" w14:paraId="6E7A1991" w14:textId="6E0BA102">
      <w:pPr>
        <w:spacing w:after="0" w:line="276" w:lineRule="auto"/>
        <w:rPr>
          <w:rFonts w:ascii="Palatino Linotype" w:hAnsi="Palatino Linotype" w:eastAsiaTheme="minorEastAsia"/>
          <w:color w:val="000000" w:themeColor="text1"/>
        </w:rPr>
      </w:pPr>
    </w:p>
    <w:p w:rsidRPr="00391600" w:rsidR="006A0099" w:rsidP="3F8DE55E" w:rsidRDefault="006A0099" w14:paraId="4B7EA3AC" w14:textId="0B218630">
      <w:pPr>
        <w:keepNext/>
        <w:spacing w:after="240" w:line="276" w:lineRule="auto"/>
        <w:rPr>
          <w:rFonts w:ascii="Palatino Linotype" w:hAnsi="Palatino Linotype" w:eastAsia="Palatino Linotype" w:cs="Times New Roman"/>
          <w:i/>
          <w:iCs/>
          <w:color w:val="000000" w:themeColor="text1"/>
          <w:kern w:val="0"/>
          <w14:ligatures w14:val="none"/>
        </w:rPr>
      </w:pPr>
      <w:r w:rsidRPr="00391600">
        <w:rPr>
          <w:rFonts w:ascii="Palatino Linotype" w:hAnsi="Palatino Linotype" w:eastAsia="Palatino Linotype" w:cs="Times New Roman"/>
          <w:i/>
          <w:iCs/>
          <w:color w:val="000000" w:themeColor="text1"/>
          <w:kern w:val="0"/>
          <w14:ligatures w14:val="none"/>
        </w:rPr>
        <w:t>Annual Plan Submittal &amp; Approval</w:t>
      </w:r>
    </w:p>
    <w:p w:rsidRPr="00391600" w:rsidR="00796B73" w:rsidP="0030086C" w:rsidRDefault="007B0F68" w14:paraId="15EC44D6" w14:textId="77777777">
      <w:pPr>
        <w:keepNext/>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The </w:t>
      </w:r>
      <w:r w:rsidRPr="00391600" w:rsidR="006535B4">
        <w:rPr>
          <w:rFonts w:ascii="Palatino Linotype" w:hAnsi="Palatino Linotype" w:eastAsia="Palatino Linotype" w:cs="Times New Roman"/>
          <w:color w:val="000000" w:themeColor="text1"/>
        </w:rPr>
        <w:t>CEC</w:t>
      </w:r>
      <w:r w:rsidRPr="00391600" w:rsidR="006A0099">
        <w:rPr>
          <w:rFonts w:ascii="Palatino Linotype" w:hAnsi="Palatino Linotype" w:eastAsia="Palatino Linotype" w:cs="Times New Roman"/>
          <w:color w:val="000000" w:themeColor="text1"/>
        </w:rPr>
        <w:t xml:space="preserve"> </w:t>
      </w:r>
      <w:r w:rsidRPr="00391600" w:rsidR="008F4063">
        <w:rPr>
          <w:rFonts w:ascii="Palatino Linotype" w:hAnsi="Palatino Linotype" w:eastAsia="Palatino Linotype" w:cs="Times New Roman"/>
          <w:color w:val="000000" w:themeColor="text1"/>
        </w:rPr>
        <w:t>must</w:t>
      </w:r>
      <w:r w:rsidRPr="00391600" w:rsidR="006535B4">
        <w:rPr>
          <w:rFonts w:ascii="Palatino Linotype" w:hAnsi="Palatino Linotype" w:eastAsia="Palatino Linotype" w:cs="Times New Roman"/>
          <w:color w:val="000000" w:themeColor="text1"/>
        </w:rPr>
        <w:t xml:space="preserve"> </w:t>
      </w:r>
      <w:r w:rsidRPr="00391600" w:rsidR="006A0099">
        <w:rPr>
          <w:rFonts w:ascii="Palatino Linotype" w:hAnsi="Palatino Linotype" w:eastAsia="Palatino Linotype" w:cs="Times New Roman"/>
          <w:color w:val="000000" w:themeColor="text1"/>
        </w:rPr>
        <w:t>submit proposed Gas RD&amp;D Plans to the Commission via Tier 3 Advice Letter (AL)</w:t>
      </w:r>
      <w:r w:rsidRPr="00391600" w:rsidR="00BE5A4C">
        <w:rPr>
          <w:rFonts w:ascii="Palatino Linotype" w:hAnsi="Palatino Linotype" w:eastAsia="Palatino Linotype" w:cs="Times New Roman"/>
          <w:color w:val="000000" w:themeColor="text1"/>
        </w:rPr>
        <w:t xml:space="preserve"> annually</w:t>
      </w:r>
      <w:r w:rsidRPr="00391600" w:rsidR="008F4063">
        <w:rPr>
          <w:rFonts w:ascii="Palatino Linotype" w:hAnsi="Palatino Linotype" w:eastAsia="Palatino Linotype" w:cs="Times New Roman"/>
          <w:color w:val="000000" w:themeColor="text1"/>
        </w:rPr>
        <w:t>.</w:t>
      </w:r>
      <w:r w:rsidRPr="00391600" w:rsidR="00D9082C">
        <w:rPr>
          <w:rStyle w:val="FootnoteReference"/>
          <w:rFonts w:ascii="Palatino Linotype" w:hAnsi="Palatino Linotype"/>
          <w:color w:val="000000" w:themeColor="text1"/>
        </w:rPr>
        <w:footnoteReference w:id="91"/>
      </w:r>
      <w:r w:rsidRPr="00391600" w:rsidR="00D9082C">
        <w:rPr>
          <w:rFonts w:ascii="Palatino Linotype" w:hAnsi="Palatino Linotype"/>
          <w:color w:val="000000" w:themeColor="text1"/>
        </w:rPr>
        <w:t xml:space="preserve"> </w:t>
      </w:r>
      <w:r w:rsidRPr="00391600">
        <w:rPr>
          <w:rFonts w:ascii="Palatino Linotype" w:hAnsi="Palatino Linotype"/>
          <w:color w:val="000000" w:themeColor="text1"/>
        </w:rPr>
        <w:t xml:space="preserve">The </w:t>
      </w:r>
      <w:r w:rsidRPr="00391600" w:rsidR="006535B4">
        <w:rPr>
          <w:rFonts w:ascii="Palatino Linotype" w:hAnsi="Palatino Linotype" w:eastAsia="Palatino Linotype" w:cs="Times New Roman"/>
          <w:color w:val="000000" w:themeColor="text1"/>
        </w:rPr>
        <w:t>CEC</w:t>
      </w:r>
      <w:r w:rsidRPr="00391600" w:rsidR="006A0099">
        <w:rPr>
          <w:rFonts w:ascii="Palatino Linotype" w:hAnsi="Palatino Linotype" w:eastAsia="Palatino Linotype" w:cs="Times New Roman"/>
          <w:color w:val="000000" w:themeColor="text1"/>
        </w:rPr>
        <w:t xml:space="preserve"> shall post proposed and approved Investment Plans publicly </w:t>
      </w:r>
      <w:r w:rsidRPr="00391600">
        <w:rPr>
          <w:rFonts w:ascii="Palatino Linotype" w:hAnsi="Palatino Linotype" w:eastAsia="Palatino Linotype" w:cs="Times New Roman"/>
          <w:color w:val="000000" w:themeColor="text1"/>
        </w:rPr>
        <w:t xml:space="preserve">so that they are </w:t>
      </w:r>
      <w:r w:rsidRPr="00391600" w:rsidR="006A0099">
        <w:rPr>
          <w:rFonts w:ascii="Palatino Linotype" w:hAnsi="Palatino Linotype" w:eastAsia="Palatino Linotype" w:cs="Times New Roman"/>
          <w:color w:val="000000" w:themeColor="text1"/>
        </w:rPr>
        <w:t>easily accessible on its website and notify the CPUC of the web address</w:t>
      </w:r>
      <w:r w:rsidRPr="00391600" w:rsidR="00162947">
        <w:rPr>
          <w:rFonts w:ascii="Palatino Linotype" w:hAnsi="Palatino Linotype" w:eastAsia="Palatino Linotype" w:cs="Times New Roman"/>
          <w:color w:val="000000" w:themeColor="text1"/>
        </w:rPr>
        <w:t>.</w:t>
      </w:r>
      <w:r w:rsidRPr="00391600" w:rsidR="00A27292">
        <w:rPr>
          <w:rFonts w:ascii="Palatino Linotype" w:hAnsi="Palatino Linotype" w:eastAsia="Palatino Linotype" w:cs="Times New Roman"/>
          <w:color w:val="000000" w:themeColor="text1"/>
        </w:rPr>
        <w:t xml:space="preserve"> </w:t>
      </w:r>
      <w:r w:rsidRPr="00391600" w:rsidR="00162947">
        <w:rPr>
          <w:rFonts w:ascii="Palatino Linotype" w:hAnsi="Palatino Linotype" w:eastAsia="Palatino Linotype" w:cs="Times New Roman"/>
          <w:color w:val="000000" w:themeColor="text1"/>
        </w:rPr>
        <w:t xml:space="preserve">The </w:t>
      </w:r>
      <w:r w:rsidRPr="00391600" w:rsidR="006535B4">
        <w:rPr>
          <w:rFonts w:ascii="Palatino Linotype" w:hAnsi="Palatino Linotype" w:eastAsia="Palatino Linotype" w:cs="Times New Roman"/>
          <w:color w:val="000000" w:themeColor="text1"/>
        </w:rPr>
        <w:t>CEC</w:t>
      </w:r>
      <w:r w:rsidRPr="00391600" w:rsidR="006A0099">
        <w:rPr>
          <w:rFonts w:ascii="Palatino Linotype" w:hAnsi="Palatino Linotype" w:eastAsia="Palatino Linotype" w:cs="Times New Roman"/>
          <w:color w:val="000000" w:themeColor="text1"/>
        </w:rPr>
        <w:t xml:space="preserve"> shall also coordinate with other </w:t>
      </w:r>
      <w:r w:rsidRPr="00391600" w:rsidR="00A27292">
        <w:rPr>
          <w:rFonts w:ascii="Palatino Linotype" w:hAnsi="Palatino Linotype" w:eastAsia="Palatino Linotype" w:cs="Times New Roman"/>
          <w:color w:val="000000" w:themeColor="text1"/>
        </w:rPr>
        <w:t xml:space="preserve">Gas </w:t>
      </w:r>
      <w:r w:rsidRPr="00391600" w:rsidR="00162947">
        <w:rPr>
          <w:rFonts w:ascii="Palatino Linotype" w:hAnsi="Palatino Linotype" w:eastAsia="Palatino Linotype" w:cs="Times New Roman"/>
          <w:color w:val="000000" w:themeColor="text1"/>
        </w:rPr>
        <w:t xml:space="preserve">RD&amp;D </w:t>
      </w:r>
      <w:r w:rsidRPr="00391600" w:rsidR="006A0099">
        <w:rPr>
          <w:rFonts w:ascii="Palatino Linotype" w:hAnsi="Palatino Linotype" w:eastAsia="Palatino Linotype" w:cs="Times New Roman"/>
          <w:color w:val="000000" w:themeColor="text1"/>
        </w:rPr>
        <w:t>administrators to develop service lists of relevant ongoing CPUC Proceedings on which to serve Plans and consult with E</w:t>
      </w:r>
      <w:r w:rsidRPr="00391600" w:rsidR="00416BCC">
        <w:rPr>
          <w:rFonts w:ascii="Palatino Linotype" w:hAnsi="Palatino Linotype" w:eastAsia="Palatino Linotype" w:cs="Times New Roman"/>
          <w:color w:val="000000" w:themeColor="text1"/>
        </w:rPr>
        <w:t>nergy Division</w:t>
      </w:r>
      <w:r w:rsidRPr="00391600" w:rsidR="006A0099">
        <w:rPr>
          <w:rFonts w:ascii="Palatino Linotype" w:hAnsi="Palatino Linotype" w:eastAsia="Palatino Linotype" w:cs="Times New Roman"/>
          <w:color w:val="000000" w:themeColor="text1"/>
        </w:rPr>
        <w:t xml:space="preserve"> staff to ensure these lists are sufficient.</w:t>
      </w:r>
      <w:r w:rsidRPr="00391600" w:rsidR="006A0099">
        <w:rPr>
          <w:rStyle w:val="FootnoteReference"/>
          <w:rFonts w:ascii="Palatino Linotype" w:hAnsi="Palatino Linotype" w:eastAsia="Palatino Linotype" w:cs="Times New Roman"/>
          <w:color w:val="000000" w:themeColor="text1"/>
        </w:rPr>
        <w:footnoteReference w:id="92"/>
      </w:r>
      <w:r w:rsidRPr="00391600" w:rsidR="00B65AD9">
        <w:rPr>
          <w:rFonts w:ascii="Palatino Linotype" w:hAnsi="Palatino Linotype" w:eastAsia="Palatino Linotype" w:cs="Times New Roman"/>
          <w:color w:val="000000" w:themeColor="text1"/>
        </w:rPr>
        <w:t xml:space="preserve"> </w:t>
      </w:r>
    </w:p>
    <w:p w:rsidRPr="00391600" w:rsidR="007B560E" w:rsidP="0030086C" w:rsidRDefault="00891935" w14:paraId="7F3FB43A" w14:textId="3A32F50E">
      <w:pPr>
        <w:keepNext/>
        <w:spacing w:line="276" w:lineRule="auto"/>
        <w:rPr>
          <w:rFonts w:ascii="Palatino Linotype" w:hAnsi="Palatino Linotype"/>
          <w:color w:val="000000" w:themeColor="text1"/>
        </w:rPr>
      </w:pPr>
      <w:r w:rsidRPr="00391600">
        <w:rPr>
          <w:rFonts w:ascii="Palatino Linotype" w:hAnsi="Palatino Linotype" w:eastAsia="Palatino Linotype" w:cs="Times New Roman"/>
          <w:color w:val="000000" w:themeColor="text1"/>
        </w:rPr>
        <w:t xml:space="preserve">The </w:t>
      </w:r>
      <w:r w:rsidRPr="00391600" w:rsidR="00162947">
        <w:rPr>
          <w:rFonts w:ascii="Palatino Linotype" w:hAnsi="Palatino Linotype" w:eastAsia="Palatino Linotype" w:cs="Times New Roman"/>
          <w:color w:val="000000" w:themeColor="text1"/>
        </w:rPr>
        <w:t xml:space="preserve">CEC’s Gas RD&amp;D </w:t>
      </w:r>
      <w:r w:rsidRPr="00391600" w:rsidR="00A27292">
        <w:rPr>
          <w:rFonts w:ascii="Palatino Linotype" w:hAnsi="Palatino Linotype" w:eastAsia="Palatino Linotype" w:cs="Times New Roman"/>
          <w:color w:val="000000" w:themeColor="text1"/>
        </w:rPr>
        <w:t xml:space="preserve">Annual </w:t>
      </w:r>
      <w:r w:rsidRPr="00391600">
        <w:rPr>
          <w:rFonts w:ascii="Palatino Linotype" w:hAnsi="Palatino Linotype" w:eastAsia="Palatino Linotype" w:cs="Times New Roman"/>
          <w:color w:val="000000" w:themeColor="text1"/>
        </w:rPr>
        <w:t xml:space="preserve">Plan shall only become effective when the Commission adopts a </w:t>
      </w:r>
      <w:r w:rsidRPr="00391600" w:rsidR="00BF2A11">
        <w:rPr>
          <w:rFonts w:ascii="Palatino Linotype" w:hAnsi="Palatino Linotype" w:eastAsia="Palatino Linotype" w:cs="Times New Roman"/>
          <w:color w:val="000000" w:themeColor="text1"/>
        </w:rPr>
        <w:t>r</w:t>
      </w:r>
      <w:r w:rsidRPr="00391600">
        <w:rPr>
          <w:rFonts w:ascii="Palatino Linotype" w:hAnsi="Palatino Linotype" w:eastAsia="Palatino Linotype" w:cs="Times New Roman"/>
          <w:color w:val="000000" w:themeColor="text1"/>
        </w:rPr>
        <w:t>esolution approving the Plan and associated zero-based budget.</w:t>
      </w:r>
      <w:r w:rsidRPr="00391600">
        <w:rPr>
          <w:rStyle w:val="FootnoteReference"/>
          <w:rFonts w:ascii="Palatino Linotype" w:hAnsi="Palatino Linotype" w:eastAsia="Palatino Linotype" w:cs="Times New Roman"/>
          <w:color w:val="000000" w:themeColor="text1"/>
        </w:rPr>
        <w:footnoteReference w:id="93"/>
      </w:r>
      <w:r w:rsidRPr="00391600">
        <w:rPr>
          <w:rFonts w:ascii="Palatino Linotype" w:hAnsi="Palatino Linotype" w:eastAsia="Palatino Linotype" w:cs="Times New Roman"/>
          <w:color w:val="000000" w:themeColor="text1"/>
        </w:rPr>
        <w:t xml:space="preserve"> </w:t>
      </w:r>
      <w:r w:rsidRPr="00391600" w:rsidR="00001865">
        <w:rPr>
          <w:rFonts w:ascii="Palatino Linotype" w:hAnsi="Palatino Linotype"/>
          <w:color w:val="000000" w:themeColor="text1"/>
        </w:rPr>
        <w:t xml:space="preserve">The </w:t>
      </w:r>
      <w:r w:rsidRPr="00391600" w:rsidR="000B324C">
        <w:rPr>
          <w:rFonts w:ascii="Palatino Linotype" w:hAnsi="Palatino Linotype"/>
          <w:color w:val="000000" w:themeColor="text1"/>
        </w:rPr>
        <w:br/>
      </w:r>
      <w:r w:rsidRPr="00391600" w:rsidR="00001865">
        <w:rPr>
          <w:rFonts w:ascii="Palatino Linotype" w:hAnsi="Palatino Linotype"/>
          <w:color w:val="000000" w:themeColor="text1"/>
        </w:rPr>
        <w:t>CEC’s annual budget cap for Gas RD&amp;D Plans is $24 million</w:t>
      </w:r>
      <w:r w:rsidRPr="00391600" w:rsidR="008364E1">
        <w:rPr>
          <w:rFonts w:ascii="Palatino Linotype" w:hAnsi="Palatino Linotype"/>
          <w:color w:val="000000" w:themeColor="text1"/>
        </w:rPr>
        <w:t>,</w:t>
      </w:r>
      <w:r w:rsidRPr="00391600" w:rsidR="008364E1">
        <w:rPr>
          <w:rStyle w:val="FootnoteReference"/>
          <w:rFonts w:ascii="Palatino Linotype" w:hAnsi="Palatino Linotype"/>
          <w:color w:val="000000" w:themeColor="text1"/>
        </w:rPr>
        <w:footnoteReference w:id="94"/>
      </w:r>
      <w:r w:rsidRPr="00391600" w:rsidR="00001865">
        <w:rPr>
          <w:rFonts w:ascii="Palatino Linotype" w:hAnsi="Palatino Linotype"/>
          <w:color w:val="000000" w:themeColor="text1"/>
        </w:rPr>
        <w:t xml:space="preserve"> including up to </w:t>
      </w:r>
      <w:r w:rsidRPr="00391600" w:rsidR="000B324C">
        <w:rPr>
          <w:rFonts w:ascii="Palatino Linotype" w:hAnsi="Palatino Linotype"/>
          <w:color w:val="000000" w:themeColor="text1"/>
        </w:rPr>
        <w:br/>
      </w:r>
      <w:r w:rsidRPr="00391600" w:rsidR="00001865">
        <w:rPr>
          <w:rFonts w:ascii="Palatino Linotype" w:hAnsi="Palatino Linotype"/>
          <w:color w:val="000000" w:themeColor="text1"/>
        </w:rPr>
        <w:t>$21.6 million for Initiatives and $2.4 million for Program Administration</w:t>
      </w:r>
      <w:r w:rsidRPr="00391600" w:rsidR="007E2F34">
        <w:rPr>
          <w:rFonts w:ascii="Palatino Linotype" w:hAnsi="Palatino Linotype"/>
          <w:color w:val="000000" w:themeColor="text1"/>
        </w:rPr>
        <w:t>.</w:t>
      </w:r>
      <w:r w:rsidRPr="00391600" w:rsidR="00EE53A3">
        <w:rPr>
          <w:rFonts w:ascii="Palatino Linotype" w:hAnsi="Palatino Linotype"/>
          <w:color w:val="000000" w:themeColor="text1"/>
        </w:rPr>
        <w:t xml:space="preserve"> </w:t>
      </w:r>
      <w:r w:rsidRPr="00391600" w:rsidR="007E2F34">
        <w:rPr>
          <w:rFonts w:ascii="Palatino Linotype" w:hAnsi="Palatino Linotype"/>
          <w:color w:val="000000" w:themeColor="text1"/>
        </w:rPr>
        <w:t xml:space="preserve">The </w:t>
      </w:r>
      <w:r w:rsidRPr="00391600" w:rsidR="009A7052">
        <w:rPr>
          <w:rFonts w:ascii="Palatino Linotype" w:hAnsi="Palatino Linotype"/>
          <w:color w:val="000000" w:themeColor="text1"/>
        </w:rPr>
        <w:t>Program Administrati</w:t>
      </w:r>
      <w:r w:rsidRPr="00391600" w:rsidR="007E2F34">
        <w:rPr>
          <w:rFonts w:ascii="Palatino Linotype" w:hAnsi="Palatino Linotype"/>
          <w:color w:val="000000" w:themeColor="text1"/>
        </w:rPr>
        <w:t>on</w:t>
      </w:r>
      <w:r w:rsidRPr="00391600" w:rsidR="009A7052">
        <w:rPr>
          <w:rFonts w:ascii="Palatino Linotype" w:hAnsi="Palatino Linotype"/>
          <w:color w:val="000000" w:themeColor="text1"/>
        </w:rPr>
        <w:t xml:space="preserve"> </w:t>
      </w:r>
      <w:r w:rsidRPr="00391600" w:rsidR="007E2F34">
        <w:rPr>
          <w:rFonts w:ascii="Palatino Linotype" w:hAnsi="Palatino Linotype"/>
          <w:color w:val="000000" w:themeColor="text1"/>
        </w:rPr>
        <w:t xml:space="preserve">budget is capped at 10% of the total adopted budget and must </w:t>
      </w:r>
      <w:r w:rsidRPr="00391600" w:rsidR="005A75F0">
        <w:rPr>
          <w:rFonts w:ascii="Palatino Linotype" w:hAnsi="Palatino Linotype"/>
          <w:color w:val="000000" w:themeColor="text1"/>
        </w:rPr>
        <w:t xml:space="preserve">be </w:t>
      </w:r>
      <w:r w:rsidRPr="00391600" w:rsidR="007E2F34">
        <w:rPr>
          <w:rFonts w:ascii="Palatino Linotype" w:hAnsi="Palatino Linotype"/>
          <w:color w:val="000000" w:themeColor="text1"/>
        </w:rPr>
        <w:t>delineated by</w:t>
      </w:r>
      <w:r w:rsidRPr="00391600" w:rsidR="001816FF">
        <w:rPr>
          <w:rFonts w:ascii="Palatino Linotype" w:hAnsi="Palatino Linotype"/>
          <w:color w:val="000000" w:themeColor="text1"/>
        </w:rPr>
        <w:t xml:space="preserve"> allowable cost categories </w:t>
      </w:r>
      <w:r w:rsidRPr="00391600" w:rsidR="00E37A94">
        <w:rPr>
          <w:rFonts w:ascii="Palatino Linotype" w:hAnsi="Palatino Linotype"/>
          <w:color w:val="000000" w:themeColor="text1"/>
        </w:rPr>
        <w:t xml:space="preserve">so the CPUC may understand </w:t>
      </w:r>
      <w:r w:rsidRPr="00391600" w:rsidR="00434434">
        <w:rPr>
          <w:rFonts w:ascii="Palatino Linotype" w:hAnsi="Palatino Linotype"/>
          <w:color w:val="000000" w:themeColor="text1"/>
        </w:rPr>
        <w:t xml:space="preserve">how these costs </w:t>
      </w:r>
      <w:r w:rsidRPr="00391600" w:rsidR="00434434">
        <w:rPr>
          <w:rFonts w:ascii="Palatino Linotype" w:hAnsi="Palatino Linotype"/>
          <w:color w:val="000000" w:themeColor="text1"/>
        </w:rPr>
        <w:lastRenderedPageBreak/>
        <w:t>are allocated and reasonable</w:t>
      </w:r>
      <w:r w:rsidRPr="00391600" w:rsidR="001843EB">
        <w:rPr>
          <w:rFonts w:ascii="Palatino Linotype" w:hAnsi="Palatino Linotype"/>
          <w:color w:val="000000" w:themeColor="text1"/>
        </w:rPr>
        <w:t>, consistent with Commission requirements for EPIC administrators.</w:t>
      </w:r>
      <w:r w:rsidRPr="00391600" w:rsidR="00745434">
        <w:rPr>
          <w:rStyle w:val="FootnoteReference"/>
          <w:rFonts w:ascii="Palatino Linotype" w:hAnsi="Palatino Linotype"/>
          <w:color w:val="000000" w:themeColor="text1"/>
        </w:rPr>
        <w:footnoteReference w:id="95"/>
      </w:r>
      <w:r w:rsidRPr="00391600" w:rsidR="009A7052">
        <w:rPr>
          <w:rFonts w:ascii="Palatino Linotype" w:hAnsi="Palatino Linotype"/>
          <w:color w:val="000000" w:themeColor="text1"/>
        </w:rPr>
        <w:t xml:space="preserve"> </w:t>
      </w:r>
    </w:p>
    <w:p w:rsidRPr="00391600" w:rsidR="00B70759" w:rsidP="00F96484" w:rsidRDefault="00D7649F" w14:paraId="679A2C30" w14:textId="4646073D">
      <w:pPr>
        <w:keepNext/>
        <w:spacing w:before="240" w:after="0" w:line="276" w:lineRule="auto"/>
        <w:rPr>
          <w:rFonts w:ascii="Palatino Linotype" w:hAnsi="Palatino Linotype"/>
          <w:color w:val="000000" w:themeColor="text1"/>
        </w:rPr>
      </w:pPr>
      <w:r w:rsidRPr="00391600">
        <w:rPr>
          <w:rFonts w:ascii="Palatino Linotype" w:hAnsi="Palatino Linotype" w:eastAsia="Palatino Linotype" w:cs="Times New Roman"/>
          <w:color w:val="000000" w:themeColor="text1"/>
        </w:rPr>
        <w:t xml:space="preserve">Prior to the CPUC issuing a draft resolution addressing Gas RD&amp;D Plans, Energy Division must verify the CEC’s balances of approved funds and whether </w:t>
      </w:r>
      <w:r w:rsidRPr="00391600" w:rsidR="007024E9">
        <w:rPr>
          <w:rFonts w:ascii="Palatino Linotype" w:hAnsi="Palatino Linotype" w:eastAsia="Palatino Linotype" w:cs="Times New Roman"/>
          <w:color w:val="000000" w:themeColor="text1"/>
        </w:rPr>
        <w:t xml:space="preserve">interest and </w:t>
      </w:r>
      <w:r w:rsidRPr="00391600">
        <w:rPr>
          <w:rFonts w:ascii="Palatino Linotype" w:hAnsi="Palatino Linotype" w:eastAsia="Palatino Linotype" w:cs="Times New Roman"/>
          <w:color w:val="000000" w:themeColor="text1"/>
        </w:rPr>
        <w:t xml:space="preserve">commercial benefits have accrued to offset new and/or additional ratepayer costs and assess </w:t>
      </w:r>
      <w:r w:rsidRPr="00391600">
        <w:rPr>
          <w:rFonts w:ascii="Palatino Linotype" w:hAnsi="Palatino Linotype"/>
          <w:color w:val="000000" w:themeColor="text1"/>
        </w:rPr>
        <w:t xml:space="preserve">a prudent Gas RD&amp;D Program zero-based budget </w:t>
      </w:r>
      <w:r w:rsidRPr="00391600">
        <w:rPr>
          <w:rFonts w:ascii="Palatino Linotype" w:hAnsi="Palatino Linotype" w:eastAsia="Palatino Linotype" w:cs="Times New Roman"/>
          <w:color w:val="000000" w:themeColor="text1"/>
        </w:rPr>
        <w:t xml:space="preserve">accordingly </w:t>
      </w:r>
      <w:r w:rsidRPr="00391600">
        <w:rPr>
          <w:rFonts w:ascii="Palatino Linotype" w:hAnsi="Palatino Linotype"/>
          <w:color w:val="000000" w:themeColor="text1"/>
        </w:rPr>
        <w:t>as required by D.04-08-01</w:t>
      </w:r>
      <w:r w:rsidRPr="00391600" w:rsidR="00FF647A">
        <w:rPr>
          <w:rFonts w:ascii="Palatino Linotype" w:hAnsi="Palatino Linotype"/>
          <w:color w:val="000000" w:themeColor="text1"/>
        </w:rPr>
        <w:t>0</w:t>
      </w:r>
      <w:r w:rsidRPr="00391600">
        <w:rPr>
          <w:rFonts w:ascii="Palatino Linotype" w:hAnsi="Palatino Linotype"/>
          <w:color w:val="000000" w:themeColor="text1"/>
        </w:rPr>
        <w:t xml:space="preserve"> </w:t>
      </w:r>
      <w:r w:rsidRPr="00391600" w:rsidR="006747E5">
        <w:rPr>
          <w:rFonts w:ascii="Palatino Linotype" w:hAnsi="Palatino Linotype"/>
          <w:color w:val="000000" w:themeColor="text1"/>
        </w:rPr>
        <w:t>and</w:t>
      </w:r>
      <w:r w:rsidRPr="00391600">
        <w:rPr>
          <w:rFonts w:ascii="Palatino Linotype" w:hAnsi="Palatino Linotype"/>
          <w:color w:val="000000" w:themeColor="text1"/>
        </w:rPr>
        <w:t xml:space="preserve"> described below.</w:t>
      </w:r>
      <w:r w:rsidRPr="00391600" w:rsidR="00C70750">
        <w:rPr>
          <w:rFonts w:ascii="Palatino Linotype" w:hAnsi="Palatino Linotype" w:eastAsia="Palatino Linotype" w:cs="Times New Roman"/>
          <w:color w:val="000000" w:themeColor="text1"/>
        </w:rPr>
        <w:t xml:space="preserve"> </w:t>
      </w:r>
      <w:r w:rsidRPr="00391600" w:rsidR="006747E5">
        <w:rPr>
          <w:rFonts w:ascii="Palatino Linotype" w:hAnsi="Palatino Linotype" w:eastAsia="Palatino Linotype" w:cs="Times New Roman"/>
          <w:color w:val="000000" w:themeColor="text1"/>
        </w:rPr>
        <w:t>In its review of the CEC’s proposed Gas RD&amp;D Plan</w:t>
      </w:r>
      <w:r w:rsidRPr="00391600" w:rsidR="009704B2">
        <w:rPr>
          <w:rFonts w:ascii="Palatino Linotype" w:hAnsi="Palatino Linotype" w:eastAsia="Palatino Linotype" w:cs="Times New Roman"/>
          <w:color w:val="000000" w:themeColor="text1"/>
        </w:rPr>
        <w:t xml:space="preserve">s, </w:t>
      </w:r>
      <w:r w:rsidRPr="00391600" w:rsidR="00C70750">
        <w:rPr>
          <w:rFonts w:ascii="Palatino Linotype" w:hAnsi="Palatino Linotype" w:eastAsia="Palatino Linotype" w:cs="Times New Roman"/>
          <w:color w:val="000000" w:themeColor="text1"/>
        </w:rPr>
        <w:t>Energy Division</w:t>
      </w:r>
      <w:r w:rsidRPr="00391600" w:rsidR="00C3612D">
        <w:rPr>
          <w:rFonts w:ascii="Palatino Linotype" w:hAnsi="Palatino Linotype" w:eastAsia="Palatino Linotype" w:cs="Times New Roman"/>
          <w:color w:val="000000" w:themeColor="text1"/>
        </w:rPr>
        <w:t xml:space="preserve"> will assess compliance with funding requirements, calculate any true-up, and notify the CEC, IOUs, and </w:t>
      </w:r>
      <w:proofErr w:type="gramStart"/>
      <w:r w:rsidRPr="00391600" w:rsidR="00C3612D">
        <w:rPr>
          <w:rFonts w:ascii="Palatino Linotype" w:hAnsi="Palatino Linotype" w:eastAsia="Palatino Linotype" w:cs="Times New Roman"/>
          <w:color w:val="000000" w:themeColor="text1"/>
        </w:rPr>
        <w:t>Accounting</w:t>
      </w:r>
      <w:proofErr w:type="gramEnd"/>
      <w:r w:rsidRPr="00391600" w:rsidR="00C3612D">
        <w:rPr>
          <w:rFonts w:ascii="Palatino Linotype" w:hAnsi="Palatino Linotype" w:eastAsia="Palatino Linotype" w:cs="Times New Roman"/>
          <w:color w:val="000000" w:themeColor="text1"/>
        </w:rPr>
        <w:t xml:space="preserve"> departments of the total true-up necessary for subsequent transfers. </w:t>
      </w:r>
      <w:r w:rsidRPr="00391600" w:rsidR="005554C6">
        <w:rPr>
          <w:rFonts w:ascii="Palatino Linotype" w:hAnsi="Palatino Linotype" w:eastAsia="Palatino Linotype" w:cs="Times New Roman"/>
          <w:color w:val="000000" w:themeColor="text1"/>
        </w:rPr>
        <w:t>Annually, t</w:t>
      </w:r>
      <w:r w:rsidRPr="00391600" w:rsidR="004F1BC6">
        <w:rPr>
          <w:rFonts w:ascii="Palatino Linotype" w:hAnsi="Palatino Linotype" w:eastAsia="Palatino Linotype" w:cs="Times New Roman"/>
          <w:color w:val="000000" w:themeColor="text1"/>
        </w:rPr>
        <w:t xml:space="preserve">he CEC shall submit via </w:t>
      </w:r>
      <w:proofErr w:type="gramStart"/>
      <w:r w:rsidRPr="00391600" w:rsidR="004F1BC6">
        <w:rPr>
          <w:rFonts w:ascii="Palatino Linotype" w:hAnsi="Palatino Linotype" w:eastAsia="Palatino Linotype" w:cs="Times New Roman"/>
          <w:color w:val="000000" w:themeColor="text1"/>
        </w:rPr>
        <w:t>a letter</w:t>
      </w:r>
      <w:proofErr w:type="gramEnd"/>
      <w:r w:rsidRPr="00391600" w:rsidR="004F1BC6">
        <w:rPr>
          <w:rFonts w:ascii="Palatino Linotype" w:hAnsi="Palatino Linotype" w:eastAsia="Palatino Linotype" w:cs="Times New Roman"/>
          <w:color w:val="000000" w:themeColor="text1"/>
        </w:rPr>
        <w:t xml:space="preserve"> to the Energy Division Director, Energy Division Central Files,</w:t>
      </w:r>
      <w:r w:rsidRPr="00391600" w:rsidR="00083381">
        <w:rPr>
          <w:rStyle w:val="FootnoteReference"/>
          <w:rFonts w:ascii="Palatino Linotype" w:hAnsi="Palatino Linotype" w:eastAsia="Palatino Linotype" w:cs="Times New Roman"/>
          <w:color w:val="000000" w:themeColor="text1"/>
        </w:rPr>
        <w:footnoteReference w:id="96"/>
      </w:r>
      <w:r w:rsidRPr="00391600" w:rsidR="004F1BC6">
        <w:rPr>
          <w:rFonts w:ascii="Palatino Linotype" w:hAnsi="Palatino Linotype" w:eastAsia="Palatino Linotype" w:cs="Times New Roman"/>
          <w:color w:val="000000" w:themeColor="text1"/>
        </w:rPr>
        <w:t xml:space="preserve"> and Staff its annual request to the State Controller’s Office (SCO) for quarterly transfers from the CPUC’s Gas Consumption Surcharge Fund to the CEC’s Public Interest RD&amp;D Fund. </w:t>
      </w:r>
      <w:r w:rsidRPr="00391600" w:rsidR="00291557">
        <w:rPr>
          <w:rFonts w:ascii="Palatino Linotype" w:hAnsi="Palatino Linotype" w:eastAsia="Palatino Linotype" w:cs="Times New Roman"/>
          <w:color w:val="000000" w:themeColor="text1"/>
        </w:rPr>
        <w:t>Once the Commission has calculated the true-up and approved a Gas RD&amp;D Plan, t</w:t>
      </w:r>
      <w:r w:rsidRPr="00391600" w:rsidR="004F1BC6">
        <w:rPr>
          <w:rFonts w:ascii="Palatino Linotype" w:hAnsi="Palatino Linotype" w:eastAsia="Palatino Linotype" w:cs="Times New Roman"/>
          <w:color w:val="000000" w:themeColor="text1"/>
        </w:rPr>
        <w:t xml:space="preserve">he </w:t>
      </w:r>
      <w:r w:rsidRPr="00391600" w:rsidR="007A5D9F">
        <w:rPr>
          <w:rFonts w:ascii="Palatino Linotype" w:hAnsi="Palatino Linotype" w:eastAsia="Palatino Linotype" w:cs="Times New Roman"/>
          <w:color w:val="000000" w:themeColor="text1"/>
        </w:rPr>
        <w:t>CEC shall</w:t>
      </w:r>
      <w:r w:rsidRPr="00391600" w:rsidR="006834F4">
        <w:rPr>
          <w:rFonts w:ascii="Palatino Linotype" w:hAnsi="Palatino Linotype" w:eastAsia="Palatino Linotype" w:cs="Times New Roman"/>
          <w:color w:val="000000" w:themeColor="text1"/>
        </w:rPr>
        <w:t xml:space="preserve"> reduce its </w:t>
      </w:r>
      <w:r w:rsidRPr="00391600" w:rsidR="00445F33">
        <w:rPr>
          <w:rFonts w:ascii="Palatino Linotype" w:hAnsi="Palatino Linotype" w:eastAsia="Palatino Linotype" w:cs="Times New Roman"/>
          <w:color w:val="000000" w:themeColor="text1"/>
        </w:rPr>
        <w:t xml:space="preserve">next </w:t>
      </w:r>
      <w:r w:rsidRPr="00391600" w:rsidR="004F1BC6">
        <w:rPr>
          <w:rFonts w:ascii="Palatino Linotype" w:hAnsi="Palatino Linotype" w:eastAsia="Palatino Linotype" w:cs="Times New Roman"/>
          <w:color w:val="000000" w:themeColor="text1"/>
        </w:rPr>
        <w:t>request</w:t>
      </w:r>
      <w:r w:rsidRPr="00391600" w:rsidR="00445F33">
        <w:rPr>
          <w:rFonts w:ascii="Palatino Linotype" w:hAnsi="Palatino Linotype" w:eastAsia="Palatino Linotype" w:cs="Times New Roman"/>
          <w:color w:val="000000" w:themeColor="text1"/>
        </w:rPr>
        <w:t xml:space="preserve"> for</w:t>
      </w:r>
      <w:r w:rsidRPr="00391600" w:rsidR="006834F4">
        <w:rPr>
          <w:rFonts w:ascii="Palatino Linotype" w:hAnsi="Palatino Linotype" w:eastAsia="Palatino Linotype" w:cs="Times New Roman"/>
          <w:color w:val="000000" w:themeColor="text1"/>
        </w:rPr>
        <w:t xml:space="preserve"> quarterly transfers by the amount of interest accrued on deposited amounts in the CEC’s Public Interest RD&amp;D Fund; commercial benefits which may have resulted from previous Gas RD&amp;D investments;</w:t>
      </w:r>
      <w:r w:rsidRPr="00391600" w:rsidR="00020FC1">
        <w:rPr>
          <w:rStyle w:val="FootnoteReference"/>
          <w:rFonts w:ascii="Palatino Linotype" w:hAnsi="Palatino Linotype" w:eastAsia="Palatino Linotype" w:cs="Times New Roman"/>
          <w:color w:val="000000" w:themeColor="text1"/>
        </w:rPr>
        <w:footnoteReference w:id="97"/>
      </w:r>
      <w:r w:rsidRPr="00391600" w:rsidR="004F1BC6">
        <w:rPr>
          <w:rFonts w:ascii="Palatino Linotype" w:hAnsi="Palatino Linotype" w:eastAsia="Palatino Linotype" w:cs="Times New Roman"/>
          <w:color w:val="000000" w:themeColor="text1"/>
        </w:rPr>
        <w:t xml:space="preserve"> and </w:t>
      </w:r>
      <w:r w:rsidRPr="00391600" w:rsidR="005D5E86">
        <w:rPr>
          <w:rFonts w:ascii="Palatino Linotype" w:hAnsi="Palatino Linotype" w:eastAsia="Palatino Linotype" w:cs="Times New Roman"/>
          <w:color w:val="000000" w:themeColor="text1"/>
        </w:rPr>
        <w:t>unencumbered</w:t>
      </w:r>
      <w:r w:rsidRPr="00391600" w:rsidR="006834F4">
        <w:rPr>
          <w:rFonts w:ascii="Palatino Linotype" w:hAnsi="Palatino Linotype" w:eastAsia="Palatino Linotype" w:cs="Times New Roman"/>
          <w:color w:val="000000" w:themeColor="text1"/>
        </w:rPr>
        <w:t xml:space="preserve"> and unspent funds required to be used prior to new/additional ratepayer funds as defined in this Resolution and verified by the Commission</w:t>
      </w:r>
      <w:r w:rsidRPr="00391600" w:rsidR="004F1BC6">
        <w:rPr>
          <w:rFonts w:ascii="Palatino Linotype" w:hAnsi="Palatino Linotype" w:eastAsia="Palatino Linotype" w:cs="Times New Roman"/>
          <w:color w:val="000000" w:themeColor="text1"/>
        </w:rPr>
        <w:t>,</w:t>
      </w:r>
      <w:r w:rsidRPr="00391600" w:rsidR="00C5549F">
        <w:rPr>
          <w:rStyle w:val="FootnoteReference"/>
          <w:rFonts w:ascii="Palatino Linotype" w:hAnsi="Palatino Linotype" w:eastAsia="Palatino Linotype" w:cs="Times New Roman"/>
          <w:color w:val="000000" w:themeColor="text1"/>
        </w:rPr>
        <w:footnoteReference w:id="98"/>
      </w:r>
      <w:r w:rsidRPr="00391600" w:rsidR="00C5549F">
        <w:rPr>
          <w:rFonts w:ascii="Palatino Linotype" w:hAnsi="Palatino Linotype" w:eastAsia="Palatino Linotype" w:cs="Times New Roman"/>
          <w:color w:val="000000" w:themeColor="text1"/>
        </w:rPr>
        <w:t xml:space="preserve"> </w:t>
      </w:r>
      <w:r w:rsidRPr="00391600" w:rsidR="004F1BC6">
        <w:rPr>
          <w:rFonts w:ascii="Palatino Linotype" w:hAnsi="Palatino Linotype" w:eastAsia="Palatino Linotype" w:cs="Times New Roman"/>
          <w:color w:val="000000" w:themeColor="text1"/>
        </w:rPr>
        <w:t>and document these reductions in the letter.</w:t>
      </w:r>
      <w:r w:rsidRPr="00391600" w:rsidR="002930E3">
        <w:rPr>
          <w:rStyle w:val="FootnoteReference"/>
          <w:rFonts w:ascii="Palatino Linotype" w:hAnsi="Palatino Linotype" w:eastAsia="Palatino Linotype" w:cs="Times New Roman"/>
          <w:color w:val="000000" w:themeColor="text1"/>
        </w:rPr>
        <w:t xml:space="preserve"> </w:t>
      </w:r>
      <w:r w:rsidRPr="00391600" w:rsidR="0077257F">
        <w:rPr>
          <w:rFonts w:ascii="Palatino Linotype" w:hAnsi="Palatino Linotype"/>
          <w:color w:val="000000" w:themeColor="text1"/>
        </w:rPr>
        <w:t xml:space="preserve">Via this process, </w:t>
      </w:r>
      <w:r w:rsidRPr="00391600" w:rsidR="00BB7D46">
        <w:rPr>
          <w:rFonts w:ascii="Palatino Linotype" w:hAnsi="Palatino Linotype"/>
          <w:color w:val="000000" w:themeColor="text1"/>
        </w:rPr>
        <w:t xml:space="preserve">both </w:t>
      </w:r>
      <w:r w:rsidRPr="00391600" w:rsidR="0077257F">
        <w:rPr>
          <w:rFonts w:ascii="Palatino Linotype" w:hAnsi="Palatino Linotype"/>
          <w:color w:val="000000" w:themeColor="text1"/>
        </w:rPr>
        <w:t>t</w:t>
      </w:r>
      <w:r w:rsidRPr="00391600" w:rsidR="00531E67">
        <w:rPr>
          <w:rFonts w:ascii="Palatino Linotype" w:hAnsi="Palatino Linotype" w:eastAsia="Palatino Linotype" w:cs="Times New Roman"/>
          <w:color w:val="000000" w:themeColor="text1"/>
        </w:rPr>
        <w:t xml:space="preserve">he CEC’s requests to access PPP funds and </w:t>
      </w:r>
      <w:r w:rsidRPr="00391600" w:rsidR="00BB7D46">
        <w:rPr>
          <w:rFonts w:ascii="Palatino Linotype" w:hAnsi="Palatino Linotype" w:eastAsia="Palatino Linotype" w:cs="Times New Roman"/>
          <w:color w:val="000000" w:themeColor="text1"/>
        </w:rPr>
        <w:t xml:space="preserve">the </w:t>
      </w:r>
      <w:r w:rsidRPr="00391600" w:rsidR="00531E67">
        <w:rPr>
          <w:rFonts w:ascii="Palatino Linotype" w:hAnsi="Palatino Linotype" w:eastAsia="Palatino Linotype" w:cs="Times New Roman"/>
          <w:color w:val="000000" w:themeColor="text1"/>
        </w:rPr>
        <w:t>disbursements from the CPUC’s Fund must be consistent with the Gas RD&amp;D zero-based budget adopted by the Commission per D.04-08-010.</w:t>
      </w:r>
      <w:r w:rsidRPr="00391600" w:rsidR="00531E67">
        <w:rPr>
          <w:rStyle w:val="FootnoteReference"/>
          <w:rFonts w:ascii="Palatino Linotype" w:hAnsi="Palatino Linotype" w:eastAsia="Palatino Linotype" w:cs="Times New Roman"/>
          <w:color w:val="000000" w:themeColor="text1"/>
        </w:rPr>
        <w:footnoteReference w:id="99"/>
      </w:r>
      <w:r w:rsidRPr="00391600" w:rsidR="00531E67">
        <w:rPr>
          <w:rFonts w:ascii="Palatino Linotype" w:hAnsi="Palatino Linotype" w:eastAsia="Palatino Linotype" w:cs="Times New Roman"/>
          <w:color w:val="000000" w:themeColor="text1"/>
          <w:vertAlign w:val="superscript"/>
        </w:rPr>
        <w:t xml:space="preserve"> </w:t>
      </w:r>
      <w:r w:rsidRPr="00391600" w:rsidR="00E331A4">
        <w:rPr>
          <w:rFonts w:ascii="Palatino Linotype" w:hAnsi="Palatino Linotype" w:eastAsia="Palatino Linotype" w:cs="Times New Roman"/>
          <w:color w:val="000000" w:themeColor="text1"/>
        </w:rPr>
        <w:t xml:space="preserve">Pursuant to </w:t>
      </w:r>
      <w:r w:rsidR="00DD1AF5">
        <w:rPr>
          <w:rFonts w:ascii="Palatino Linotype" w:hAnsi="Palatino Linotype" w:eastAsia="Palatino Linotype" w:cs="Times New Roman"/>
          <w:color w:val="000000" w:themeColor="text1"/>
        </w:rPr>
        <w:br/>
      </w:r>
      <w:r w:rsidRPr="00391600" w:rsidR="00E331A4">
        <w:rPr>
          <w:rFonts w:ascii="Palatino Linotype" w:hAnsi="Palatino Linotype" w:eastAsia="Palatino Linotype" w:cs="Times New Roman"/>
          <w:color w:val="000000" w:themeColor="text1"/>
        </w:rPr>
        <w:t xml:space="preserve">D.04-08-010, </w:t>
      </w:r>
      <w:r w:rsidRPr="00391600" w:rsidR="00BB4C4A">
        <w:rPr>
          <w:rFonts w:ascii="Palatino Linotype" w:hAnsi="Palatino Linotype" w:eastAsia="Palatino Linotype" w:cs="Times New Roman"/>
          <w:color w:val="000000" w:themeColor="text1"/>
        </w:rPr>
        <w:t>S</w:t>
      </w:r>
      <w:r w:rsidRPr="00391600" w:rsidR="00891935">
        <w:rPr>
          <w:rFonts w:ascii="Palatino Linotype" w:hAnsi="Palatino Linotype" w:eastAsia="Palatino Linotype" w:cs="Times New Roman"/>
          <w:color w:val="000000" w:themeColor="text1"/>
        </w:rPr>
        <w:t xml:space="preserve">taff must ensure that utility </w:t>
      </w:r>
      <w:r w:rsidRPr="00391600" w:rsidR="00D10CDC">
        <w:rPr>
          <w:rFonts w:ascii="Palatino Linotype" w:hAnsi="Palatino Linotype" w:eastAsia="Palatino Linotype" w:cs="Times New Roman"/>
          <w:color w:val="000000" w:themeColor="text1"/>
        </w:rPr>
        <w:t xml:space="preserve">PPP </w:t>
      </w:r>
      <w:r w:rsidRPr="00391600" w:rsidR="00891935">
        <w:rPr>
          <w:rFonts w:ascii="Palatino Linotype" w:hAnsi="Palatino Linotype" w:eastAsia="Palatino Linotype" w:cs="Times New Roman"/>
          <w:color w:val="000000" w:themeColor="text1"/>
        </w:rPr>
        <w:t xml:space="preserve">surcharge rates for the following year are </w:t>
      </w:r>
      <w:r w:rsidRPr="00391600" w:rsidR="00891935">
        <w:rPr>
          <w:rFonts w:ascii="Palatino Linotype" w:hAnsi="Palatino Linotype" w:eastAsia="Palatino Linotype" w:cs="Times New Roman"/>
          <w:color w:val="000000" w:themeColor="text1"/>
        </w:rPr>
        <w:lastRenderedPageBreak/>
        <w:t>consisten</w:t>
      </w:r>
      <w:r w:rsidR="00E63715">
        <w:rPr>
          <w:rFonts w:ascii="Palatino Linotype" w:hAnsi="Palatino Linotype" w:eastAsia="Palatino Linotype" w:cs="Times New Roman"/>
          <w:color w:val="000000" w:themeColor="text1"/>
        </w:rPr>
        <w:t xml:space="preserve">t with </w:t>
      </w:r>
      <w:r w:rsidRPr="00391600" w:rsidR="00891935">
        <w:rPr>
          <w:rFonts w:ascii="Palatino Linotype" w:hAnsi="Palatino Linotype" w:eastAsia="Palatino Linotype" w:cs="Times New Roman"/>
          <w:color w:val="000000" w:themeColor="text1"/>
        </w:rPr>
        <w:t xml:space="preserve">the </w:t>
      </w:r>
      <w:r w:rsidRPr="00391600" w:rsidR="00C0374F">
        <w:rPr>
          <w:rFonts w:ascii="Palatino Linotype" w:hAnsi="Palatino Linotype" w:eastAsia="Palatino Linotype" w:cs="Times New Roman"/>
          <w:color w:val="000000" w:themeColor="text1"/>
        </w:rPr>
        <w:t xml:space="preserve">Commission’s </w:t>
      </w:r>
      <w:r w:rsidRPr="00391600" w:rsidR="00891935">
        <w:rPr>
          <w:rFonts w:ascii="Palatino Linotype" w:hAnsi="Palatino Linotype" w:eastAsia="Palatino Linotype" w:cs="Times New Roman"/>
          <w:color w:val="000000" w:themeColor="text1"/>
        </w:rPr>
        <w:t>adopted zero-based budget</w:t>
      </w:r>
      <w:r w:rsidRPr="00391600" w:rsidR="00E331A4">
        <w:rPr>
          <w:rStyle w:val="FootnoteReference"/>
          <w:rFonts w:ascii="Palatino Linotype" w:hAnsi="Palatino Linotype" w:eastAsia="Palatino Linotype" w:cs="Times New Roman"/>
          <w:color w:val="000000" w:themeColor="text1"/>
        </w:rPr>
        <w:footnoteReference w:id="100"/>
      </w:r>
      <w:r w:rsidRPr="00391600" w:rsidR="00BB7D46">
        <w:rPr>
          <w:rFonts w:ascii="Palatino Linotype" w:hAnsi="Palatino Linotype" w:eastAsia="Palatino Linotype" w:cs="Times New Roman"/>
          <w:color w:val="000000" w:themeColor="text1"/>
        </w:rPr>
        <w:t xml:space="preserve"> and reflect </w:t>
      </w:r>
      <w:r w:rsidRPr="00391600" w:rsidR="00706B02">
        <w:rPr>
          <w:rFonts w:ascii="Palatino Linotype" w:hAnsi="Palatino Linotype" w:eastAsia="Palatino Linotype" w:cs="Times New Roman"/>
          <w:color w:val="000000" w:themeColor="text1"/>
        </w:rPr>
        <w:t>the calculated true-up to address any over or under collections of ratepayer funds.</w:t>
      </w:r>
      <w:r w:rsidRPr="00391600" w:rsidR="00A92D53">
        <w:rPr>
          <w:rFonts w:ascii="Palatino Linotype" w:hAnsi="Palatino Linotype" w:eastAsia="Palatino Linotype" w:cs="Times New Roman"/>
          <w:color w:val="000000" w:themeColor="text1"/>
        </w:rPr>
        <w:t xml:space="preserve"> </w:t>
      </w:r>
    </w:p>
    <w:p w:rsidRPr="00391600" w:rsidR="00AC2A6C" w:rsidP="00AC2A6C" w:rsidRDefault="00AC2A6C" w14:paraId="21B3267D" w14:textId="77777777">
      <w:pPr>
        <w:keepNext/>
        <w:spacing w:after="0" w:line="276" w:lineRule="auto"/>
        <w:rPr>
          <w:rFonts w:ascii="Palatino Linotype" w:hAnsi="Palatino Linotype" w:eastAsia="Palatino Linotype" w:cs="Times New Roman"/>
          <w:color w:val="000000" w:themeColor="text1"/>
        </w:rPr>
      </w:pPr>
    </w:p>
    <w:p w:rsidRPr="00391600" w:rsidR="00B93C06" w:rsidP="00B93C06" w:rsidRDefault="00B93C06" w14:paraId="0CEBCCD6" w14:textId="4A00F5FF">
      <w:pPr>
        <w:keepNext/>
        <w:spacing w:after="240" w:line="276" w:lineRule="auto"/>
        <w:rPr>
          <w:rFonts w:ascii="Palatino Linotype" w:hAnsi="Palatino Linotype" w:eastAsia="Palatino Linotype" w:cs="Times New Roman"/>
          <w:color w:val="000000" w:themeColor="text1"/>
          <w:u w:val="single"/>
        </w:rPr>
      </w:pPr>
      <w:r w:rsidRPr="00391600">
        <w:rPr>
          <w:rFonts w:ascii="Palatino Linotype" w:hAnsi="Palatino Linotype" w:eastAsia="Palatino Linotype" w:cs="Times New Roman"/>
          <w:color w:val="000000" w:themeColor="text1"/>
          <w:u w:val="single"/>
        </w:rPr>
        <w:t>Annual Plan Implementation &amp; Reporting</w:t>
      </w:r>
    </w:p>
    <w:p w:rsidRPr="00391600" w:rsidR="006F5018" w:rsidP="00B93C06" w:rsidRDefault="00034178" w14:paraId="49F3D5AB" w14:textId="73514F57">
      <w:pPr>
        <w:keepNext/>
        <w:spacing w:before="24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To support </w:t>
      </w:r>
      <w:r w:rsidRPr="00391600" w:rsidR="00AC2A6C">
        <w:rPr>
          <w:rFonts w:ascii="Palatino Linotype" w:hAnsi="Palatino Linotype" w:eastAsia="Palatino Linotype" w:cs="Times New Roman"/>
          <w:color w:val="000000" w:themeColor="text1"/>
        </w:rPr>
        <w:t xml:space="preserve">the </w:t>
      </w:r>
      <w:r w:rsidRPr="00391600" w:rsidR="001C0F3B">
        <w:rPr>
          <w:rFonts w:ascii="Palatino Linotype" w:hAnsi="Palatino Linotype" w:eastAsia="Palatino Linotype" w:cs="Times New Roman"/>
          <w:color w:val="000000" w:themeColor="text1"/>
        </w:rPr>
        <w:t>Commission</w:t>
      </w:r>
      <w:r w:rsidRPr="00391600" w:rsidR="00AC2A6C">
        <w:rPr>
          <w:rFonts w:ascii="Palatino Linotype" w:hAnsi="Palatino Linotype" w:eastAsia="Palatino Linotype" w:cs="Times New Roman"/>
          <w:color w:val="000000" w:themeColor="text1"/>
        </w:rPr>
        <w:t>’s</w:t>
      </w:r>
      <w:r w:rsidRPr="00391600" w:rsidR="001C0F3B">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oversight</w:t>
      </w:r>
      <w:r w:rsidRPr="00391600" w:rsidR="005356CE">
        <w:rPr>
          <w:rFonts w:ascii="Palatino Linotype" w:hAnsi="Palatino Linotype" w:eastAsia="Palatino Linotype" w:cs="Times New Roman"/>
          <w:color w:val="000000" w:themeColor="text1"/>
        </w:rPr>
        <w:t xml:space="preserve"> requirements, the CEC shall </w:t>
      </w:r>
      <w:r w:rsidRPr="00391600" w:rsidR="006F5018">
        <w:rPr>
          <w:rFonts w:ascii="Palatino Linotype" w:hAnsi="Palatino Linotype" w:eastAsia="Palatino Linotype" w:cs="Palatino Linotype"/>
          <w:color w:val="000000" w:themeColor="text1"/>
        </w:rPr>
        <w:t xml:space="preserve">submit </w:t>
      </w:r>
      <w:r w:rsidRPr="00391600" w:rsidR="006F5018">
        <w:rPr>
          <w:rFonts w:ascii="Palatino Linotype" w:hAnsi="Palatino Linotype" w:eastAsia="Palatino Linotype" w:cs="Times New Roman"/>
          <w:color w:val="000000" w:themeColor="text1"/>
        </w:rPr>
        <w:t>Tier 1 ALs semi-annually</w:t>
      </w:r>
      <w:r w:rsidRPr="00391600" w:rsidR="0010283A">
        <w:rPr>
          <w:rStyle w:val="FootnoteReference"/>
          <w:rFonts w:ascii="Palatino Linotype" w:hAnsi="Palatino Linotype" w:eastAsia="Palatino Linotype" w:cs="Times New Roman"/>
          <w:color w:val="000000" w:themeColor="text1"/>
        </w:rPr>
        <w:footnoteReference w:id="101"/>
      </w:r>
      <w:r w:rsidRPr="00391600" w:rsidR="006F5018">
        <w:rPr>
          <w:rFonts w:ascii="Palatino Linotype" w:hAnsi="Palatino Linotype" w:eastAsia="Palatino Linotype" w:cs="Times New Roman"/>
          <w:color w:val="000000" w:themeColor="text1"/>
        </w:rPr>
        <w:t xml:space="preserve"> to Energy Division </w:t>
      </w:r>
      <w:r w:rsidRPr="00391600" w:rsidR="008D228B">
        <w:rPr>
          <w:rFonts w:ascii="Palatino Linotype" w:hAnsi="Palatino Linotype" w:eastAsia="Palatino Linotype" w:cs="Times New Roman"/>
          <w:color w:val="000000" w:themeColor="text1"/>
        </w:rPr>
        <w:t xml:space="preserve">beginning in 2027 </w:t>
      </w:r>
      <w:r w:rsidRPr="00391600" w:rsidR="000E1FA8">
        <w:rPr>
          <w:rFonts w:ascii="Palatino Linotype" w:hAnsi="Palatino Linotype" w:eastAsia="Palatino Linotype" w:cs="Palatino Linotype"/>
          <w:color w:val="000000" w:themeColor="text1"/>
        </w:rPr>
        <w:t>with the following data</w:t>
      </w:r>
      <w:r w:rsidRPr="00391600" w:rsidR="00CE4322">
        <w:rPr>
          <w:rFonts w:ascii="Palatino Linotype" w:hAnsi="Palatino Linotype" w:eastAsia="Palatino Linotype" w:cs="Palatino Linotype"/>
          <w:color w:val="000000" w:themeColor="text1"/>
        </w:rPr>
        <w:t>:</w:t>
      </w:r>
      <w:r w:rsidRPr="00391600" w:rsidR="0010283A">
        <w:rPr>
          <w:rStyle w:val="FootnoteReference"/>
          <w:rFonts w:ascii="Palatino Linotype" w:hAnsi="Palatino Linotype" w:eastAsia="Palatino Linotype" w:cs="Palatino Linotype"/>
          <w:color w:val="000000" w:themeColor="text1"/>
        </w:rPr>
        <w:footnoteReference w:id="102"/>
      </w:r>
    </w:p>
    <w:p w:rsidRPr="00391600" w:rsidR="00E974D5" w:rsidP="00BB33C1" w:rsidRDefault="00E575C3" w14:paraId="1A06928F" w14:textId="3BA0F6A7">
      <w:pPr>
        <w:pStyle w:val="ListParagraph"/>
        <w:keepNext/>
        <w:numPr>
          <w:ilvl w:val="0"/>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B</w:t>
      </w:r>
      <w:r w:rsidRPr="00391600" w:rsidR="04D365BC">
        <w:rPr>
          <w:rFonts w:ascii="Palatino Linotype" w:hAnsi="Palatino Linotype" w:eastAsia="Palatino Linotype" w:cs="Times New Roman"/>
          <w:color w:val="000000" w:themeColor="text1"/>
        </w:rPr>
        <w:t xml:space="preserve">asic budget tracking </w:t>
      </w:r>
      <w:r w:rsidRPr="00391600" w:rsidR="28DE890F">
        <w:rPr>
          <w:rFonts w:ascii="Palatino Linotype" w:hAnsi="Palatino Linotype" w:eastAsia="Palatino Linotype" w:cs="Times New Roman"/>
          <w:color w:val="000000" w:themeColor="text1"/>
        </w:rPr>
        <w:t>information related to previously approved</w:t>
      </w:r>
      <w:r w:rsidRPr="00391600" w:rsidR="00E974D5">
        <w:rPr>
          <w:rFonts w:ascii="Palatino Linotype" w:hAnsi="Palatino Linotype" w:eastAsia="Palatino Linotype" w:cs="Times New Roman"/>
          <w:color w:val="000000" w:themeColor="text1"/>
        </w:rPr>
        <w:t xml:space="preserve"> Gas RD&amp;D Plans</w:t>
      </w:r>
      <w:r w:rsidRPr="00391600" w:rsidR="00AA6001">
        <w:rPr>
          <w:rFonts w:ascii="Palatino Linotype" w:hAnsi="Palatino Linotype" w:eastAsia="Palatino Linotype" w:cs="Times New Roman"/>
          <w:color w:val="000000" w:themeColor="text1"/>
        </w:rPr>
        <w:t>, including</w:t>
      </w:r>
      <w:r w:rsidRPr="00391600" w:rsidR="00E974D5">
        <w:rPr>
          <w:rFonts w:ascii="Palatino Linotype" w:hAnsi="Palatino Linotype" w:eastAsia="Palatino Linotype" w:cs="Times New Roman"/>
          <w:color w:val="000000" w:themeColor="text1"/>
        </w:rPr>
        <w:t>:</w:t>
      </w:r>
    </w:p>
    <w:p w:rsidRPr="00391600" w:rsidR="008C29BA" w:rsidP="006939C2" w:rsidRDefault="00701EBC" w14:paraId="3952E1BC" w14:textId="269A9697">
      <w:pPr>
        <w:pStyle w:val="ListParagraph"/>
        <w:keepNext/>
        <w:numPr>
          <w:ilvl w:val="1"/>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T</w:t>
      </w:r>
      <w:r w:rsidRPr="00391600" w:rsidR="00790735">
        <w:rPr>
          <w:rFonts w:ascii="Palatino Linotype" w:hAnsi="Palatino Linotype" w:eastAsia="Palatino Linotype" w:cs="Times New Roman"/>
          <w:color w:val="000000" w:themeColor="text1"/>
        </w:rPr>
        <w:t>he balances of spent, unspent, encumbered, unencumbered</w:t>
      </w:r>
      <w:r w:rsidRPr="00391600" w:rsidR="0036002F">
        <w:rPr>
          <w:rFonts w:ascii="Palatino Linotype" w:hAnsi="Palatino Linotype" w:eastAsia="Palatino Linotype" w:cs="Times New Roman"/>
          <w:color w:val="000000" w:themeColor="text1"/>
        </w:rPr>
        <w:t>, and disencumbered</w:t>
      </w:r>
      <w:r w:rsidRPr="00391600" w:rsidR="00565FD3">
        <w:rPr>
          <w:rStyle w:val="FootnoteReference"/>
          <w:rFonts w:ascii="Palatino Linotype" w:hAnsi="Palatino Linotype" w:eastAsia="Palatino Linotype" w:cs="Times New Roman"/>
          <w:color w:val="000000" w:themeColor="text1"/>
        </w:rPr>
        <w:footnoteReference w:id="103"/>
      </w:r>
      <w:r w:rsidRPr="00391600" w:rsidR="00790735">
        <w:rPr>
          <w:rFonts w:ascii="Palatino Linotype" w:hAnsi="Palatino Linotype" w:eastAsia="Palatino Linotype" w:cs="Times New Roman"/>
          <w:color w:val="000000" w:themeColor="text1"/>
        </w:rPr>
        <w:t xml:space="preserve"> Gas RD&amp;D funds </w:t>
      </w:r>
      <w:r w:rsidRPr="00391600" w:rsidR="00A07DF1">
        <w:rPr>
          <w:rFonts w:ascii="Palatino Linotype" w:hAnsi="Palatino Linotype" w:eastAsia="Palatino Linotype" w:cs="Times New Roman"/>
          <w:color w:val="000000" w:themeColor="text1"/>
        </w:rPr>
        <w:t>for each specific Initiative and</w:t>
      </w:r>
      <w:r w:rsidRPr="00391600" w:rsidR="00B90FDF">
        <w:rPr>
          <w:rFonts w:ascii="Palatino Linotype" w:hAnsi="Palatino Linotype" w:eastAsia="Palatino Linotype" w:cs="Times New Roman"/>
          <w:color w:val="000000" w:themeColor="text1"/>
        </w:rPr>
        <w:t xml:space="preserve"> for</w:t>
      </w:r>
      <w:r w:rsidRPr="00391600" w:rsidR="00A07DF1">
        <w:rPr>
          <w:rFonts w:ascii="Palatino Linotype" w:hAnsi="Palatino Linotype" w:eastAsia="Palatino Linotype" w:cs="Times New Roman"/>
          <w:color w:val="000000" w:themeColor="text1"/>
        </w:rPr>
        <w:t xml:space="preserve"> Program Administration</w:t>
      </w:r>
      <w:r w:rsidRPr="00391600" w:rsidR="000B54CF">
        <w:rPr>
          <w:rFonts w:ascii="Palatino Linotype" w:hAnsi="Palatino Linotype" w:eastAsia="Palatino Linotype" w:cs="Times New Roman"/>
          <w:color w:val="000000" w:themeColor="text1"/>
        </w:rPr>
        <w:t>,</w:t>
      </w:r>
      <w:r w:rsidRPr="00391600" w:rsidR="005A7C04">
        <w:rPr>
          <w:rStyle w:val="FootnoteReference"/>
          <w:rFonts w:ascii="Palatino Linotype" w:hAnsi="Palatino Linotype" w:eastAsia="Palatino Linotype" w:cs="Times New Roman"/>
          <w:color w:val="000000" w:themeColor="text1"/>
        </w:rPr>
        <w:footnoteReference w:id="104"/>
      </w:r>
      <w:r w:rsidRPr="00391600" w:rsidR="000B54CF">
        <w:rPr>
          <w:rFonts w:ascii="Palatino Linotype" w:hAnsi="Palatino Linotype" w:eastAsia="Palatino Linotype" w:cs="Times New Roman"/>
          <w:color w:val="000000" w:themeColor="text1"/>
        </w:rPr>
        <w:t xml:space="preserve"> </w:t>
      </w:r>
      <w:r w:rsidRPr="00391600" w:rsidR="0036002F">
        <w:rPr>
          <w:rFonts w:ascii="Palatino Linotype" w:hAnsi="Palatino Linotype" w:eastAsia="Palatino Linotype" w:cs="Times New Roman"/>
          <w:color w:val="000000" w:themeColor="text1"/>
        </w:rPr>
        <w:t>s</w:t>
      </w:r>
      <w:r w:rsidRPr="00391600" w:rsidR="00512C51">
        <w:rPr>
          <w:rFonts w:ascii="Palatino Linotype" w:hAnsi="Palatino Linotype" w:eastAsia="Palatino Linotype" w:cs="Times New Roman"/>
          <w:color w:val="000000" w:themeColor="text1"/>
        </w:rPr>
        <w:t>pecifically identif</w:t>
      </w:r>
      <w:r w:rsidRPr="00391600" w:rsidR="00D62CD1">
        <w:rPr>
          <w:rFonts w:ascii="Palatino Linotype" w:hAnsi="Palatino Linotype" w:eastAsia="Palatino Linotype" w:cs="Times New Roman"/>
          <w:color w:val="000000" w:themeColor="text1"/>
        </w:rPr>
        <w:t>ying:</w:t>
      </w:r>
      <w:r w:rsidRPr="00391600" w:rsidR="00315110">
        <w:rPr>
          <w:rFonts w:ascii="Palatino Linotype" w:hAnsi="Palatino Linotype" w:eastAsia="Palatino Linotype" w:cs="Times New Roman"/>
          <w:color w:val="000000" w:themeColor="text1"/>
        </w:rPr>
        <w:t xml:space="preserve"> </w:t>
      </w:r>
    </w:p>
    <w:p w:rsidRPr="00391600" w:rsidR="00DD118F" w:rsidP="00EF74E5" w:rsidRDefault="0008328F" w14:paraId="686C5F55" w14:textId="138FF2C7">
      <w:pPr>
        <w:pStyle w:val="ListParagraph"/>
        <w:keepNext/>
        <w:numPr>
          <w:ilvl w:val="2"/>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U</w:t>
      </w:r>
      <w:r w:rsidRPr="00391600" w:rsidR="00DD118F">
        <w:rPr>
          <w:rFonts w:ascii="Palatino Linotype" w:hAnsi="Palatino Linotype" w:eastAsia="Palatino Linotype" w:cs="Times New Roman"/>
          <w:color w:val="000000" w:themeColor="text1"/>
        </w:rPr>
        <w:t>nencumbered funds for which over two years have passed since Commission authorization</w:t>
      </w:r>
      <w:r w:rsidRPr="00391600" w:rsidR="00DD118F">
        <w:rPr>
          <w:rStyle w:val="FootnoteReference"/>
          <w:rFonts w:ascii="Palatino Linotype" w:hAnsi="Palatino Linotype" w:eastAsia="Palatino Linotype" w:cs="Palatino Linotype"/>
          <w:color w:val="000000" w:themeColor="text1"/>
        </w:rPr>
        <w:footnoteReference w:id="105"/>
      </w:r>
      <w:r w:rsidRPr="00391600" w:rsidR="00DD118F">
        <w:rPr>
          <w:rFonts w:ascii="Palatino Linotype" w:hAnsi="Palatino Linotype" w:eastAsia="Palatino Linotype" w:cs="Palatino Linotype"/>
          <w:color w:val="000000" w:themeColor="text1"/>
        </w:rPr>
        <w:t xml:space="preserve"> </w:t>
      </w:r>
      <w:r w:rsidRPr="00391600" w:rsidR="00B93D98">
        <w:rPr>
          <w:rFonts w:ascii="Palatino Linotype" w:hAnsi="Palatino Linotype" w:eastAsia="Palatino Linotype" w:cs="Palatino Linotype"/>
          <w:color w:val="000000" w:themeColor="text1"/>
        </w:rPr>
        <w:t xml:space="preserve">and </w:t>
      </w:r>
    </w:p>
    <w:p w:rsidRPr="00391600" w:rsidR="00DD118F" w:rsidP="000B54CF" w:rsidRDefault="00DD118F" w14:paraId="0F751D03" w14:textId="7E9D2F6B">
      <w:pPr>
        <w:pStyle w:val="ListParagraph"/>
        <w:keepNext/>
        <w:numPr>
          <w:ilvl w:val="2"/>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Unspent encumbered funds for which over four years have passed since encumbrance</w:t>
      </w:r>
      <w:r w:rsidRPr="00391600" w:rsidR="00D46BD9">
        <w:rPr>
          <w:rFonts w:ascii="Palatino Linotype" w:hAnsi="Palatino Linotype" w:eastAsia="Palatino Linotype" w:cs="Times New Roman"/>
          <w:color w:val="000000" w:themeColor="text1"/>
        </w:rPr>
        <w:t>,</w:t>
      </w:r>
      <w:r w:rsidRPr="00391600">
        <w:rPr>
          <w:rStyle w:val="FootnoteReference"/>
          <w:rFonts w:ascii="Palatino Linotype" w:hAnsi="Palatino Linotype" w:eastAsia="Palatino Linotype" w:cs="Palatino Linotype"/>
          <w:color w:val="000000" w:themeColor="text1"/>
        </w:rPr>
        <w:footnoteReference w:id="106"/>
      </w:r>
      <w:r w:rsidRPr="00391600" w:rsidR="00D46BD9">
        <w:rPr>
          <w:rFonts w:ascii="Palatino Linotype" w:hAnsi="Palatino Linotype" w:eastAsia="Palatino Linotype" w:cs="Times New Roman"/>
          <w:color w:val="000000" w:themeColor="text1"/>
        </w:rPr>
        <w:t xml:space="preserve"> </w:t>
      </w:r>
      <w:r w:rsidRPr="00391600" w:rsidR="00034CCD">
        <w:rPr>
          <w:rFonts w:ascii="Palatino Linotype" w:hAnsi="Palatino Linotype" w:eastAsia="Palatino Linotype" w:cs="Times New Roman"/>
          <w:color w:val="000000" w:themeColor="text1"/>
        </w:rPr>
        <w:t xml:space="preserve">particularly </w:t>
      </w:r>
      <w:r w:rsidRPr="00391600" w:rsidR="00927F46">
        <w:rPr>
          <w:rFonts w:ascii="Palatino Linotype" w:hAnsi="Palatino Linotype" w:eastAsia="Palatino Linotype" w:cs="Times New Roman"/>
          <w:color w:val="000000" w:themeColor="text1"/>
        </w:rPr>
        <w:t>those associated with active projects</w:t>
      </w:r>
      <w:r w:rsidRPr="00391600" w:rsidR="002B1827">
        <w:rPr>
          <w:rFonts w:ascii="Palatino Linotype" w:hAnsi="Palatino Linotype" w:eastAsia="Palatino Linotype" w:cs="Times New Roman"/>
          <w:color w:val="000000" w:themeColor="text1"/>
        </w:rPr>
        <w:t>.</w:t>
      </w:r>
      <w:r w:rsidRPr="00391600" w:rsidR="00976D6B">
        <w:rPr>
          <w:rFonts w:ascii="Palatino Linotype" w:hAnsi="Palatino Linotype" w:eastAsia="Palatino Linotype" w:cs="Times New Roman"/>
          <w:color w:val="000000" w:themeColor="text1"/>
        </w:rPr>
        <w:t xml:space="preserve"> </w:t>
      </w:r>
      <w:r w:rsidRPr="00391600" w:rsidR="008F61B6">
        <w:rPr>
          <w:rFonts w:ascii="Palatino Linotype" w:hAnsi="Palatino Linotype" w:eastAsia="Palatino Linotype" w:cs="Palatino Linotype"/>
          <w:color w:val="000000" w:themeColor="text1"/>
        </w:rPr>
        <w:t xml:space="preserve">The CPUC recognizes that CEC practice has been to grant extensions for some projects beyond the four years past initial encumbrance, due to extenuating circumstances. In order to maintain the integrity of the timeframes, the CEC shall request of Energy Division a limited extension of these timeframes, including justification for the additional </w:t>
      </w:r>
      <w:r w:rsidRPr="00391600" w:rsidR="008F61B6">
        <w:rPr>
          <w:rFonts w:ascii="Palatino Linotype" w:hAnsi="Palatino Linotype" w:eastAsia="Palatino Linotype" w:cs="Palatino Linotype"/>
          <w:color w:val="000000" w:themeColor="text1"/>
        </w:rPr>
        <w:lastRenderedPageBreak/>
        <w:t>time needed and</w:t>
      </w:r>
      <w:r w:rsidRPr="00391600" w:rsidR="008F61B6">
        <w:rPr>
          <w:rFonts w:ascii="Palatino Linotype" w:hAnsi="Palatino Linotype"/>
          <w:color w:val="000000" w:themeColor="text1"/>
        </w:rPr>
        <w:t xml:space="preserve"> an attestation that spending on these projects is anticipated to be completed within a specific requested reasonable timeframe (e.g., within one additional year). </w:t>
      </w:r>
      <w:r w:rsidRPr="00391600" w:rsidR="008F61B6">
        <w:rPr>
          <w:rFonts w:ascii="Palatino Linotype" w:hAnsi="Palatino Linotype" w:eastAsia="Palatino Linotype" w:cs="Times New Roman"/>
          <w:color w:val="000000" w:themeColor="text1"/>
        </w:rPr>
        <w:t xml:space="preserve">Subsequently, extension of the spending deadline should be reflected in the CEC’s </w:t>
      </w:r>
      <w:proofErr w:type="gramStart"/>
      <w:r w:rsidRPr="00391600" w:rsidR="008F61B6">
        <w:rPr>
          <w:rFonts w:ascii="Palatino Linotype" w:hAnsi="Palatino Linotype" w:eastAsia="Palatino Linotype" w:cs="Times New Roman"/>
          <w:color w:val="000000" w:themeColor="text1"/>
        </w:rPr>
        <w:t>reporting</w:t>
      </w:r>
      <w:proofErr w:type="gramEnd"/>
      <w:r w:rsidRPr="00391600" w:rsidR="008F61B6">
        <w:rPr>
          <w:rFonts w:ascii="Palatino Linotype" w:hAnsi="Palatino Linotype" w:eastAsia="Palatino Linotype" w:cs="Times New Roman"/>
          <w:color w:val="000000" w:themeColor="text1"/>
        </w:rPr>
        <w:t xml:space="preserve"> on approved Plan funds. </w:t>
      </w:r>
      <w:r w:rsidRPr="00391600" w:rsidR="008F61B6">
        <w:rPr>
          <w:rFonts w:ascii="Palatino Linotype" w:hAnsi="Palatino Linotype" w:eastAsia="Palatino Linotype" w:cs="Palatino Linotype"/>
          <w:color w:val="000000" w:themeColor="text1"/>
        </w:rPr>
        <w:t>If funds are not anticipated to be and/or ultimately are not spent within the defined extended timeframe, the Commission expects these funds will be used to offset ratepayer costs for subsequent Gas RD&amp;D Plans.</w:t>
      </w:r>
      <w:r w:rsidRPr="00391600" w:rsidR="008F61B6">
        <w:rPr>
          <w:rFonts w:ascii="Palatino Linotype" w:hAnsi="Palatino Linotype" w:eastAsia="Palatino Linotype" w:cs="Times New Roman"/>
          <w:color w:val="000000" w:themeColor="text1"/>
        </w:rPr>
        <w:t xml:space="preserve"> </w:t>
      </w:r>
    </w:p>
    <w:p w:rsidRPr="00391600" w:rsidR="00701EBC" w:rsidP="00BB33C1" w:rsidRDefault="005330B7" w14:paraId="78CB08D5" w14:textId="6F310B10">
      <w:pPr>
        <w:pStyle w:val="ListParagraph"/>
        <w:keepNext/>
        <w:numPr>
          <w:ilvl w:val="1"/>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Commission</w:t>
      </w:r>
      <w:r w:rsidRPr="00391600" w:rsidR="005D21D2">
        <w:rPr>
          <w:rFonts w:ascii="Palatino Linotype" w:hAnsi="Palatino Linotype" w:eastAsia="Palatino Linotype" w:cs="Times New Roman"/>
          <w:color w:val="000000" w:themeColor="text1"/>
        </w:rPr>
        <w:t>-approved budget</w:t>
      </w:r>
      <w:r w:rsidRPr="00391600" w:rsidR="00077879">
        <w:rPr>
          <w:rFonts w:ascii="Palatino Linotype" w:hAnsi="Palatino Linotype" w:eastAsia="Palatino Linotype" w:cs="Times New Roman"/>
          <w:color w:val="000000" w:themeColor="text1"/>
        </w:rPr>
        <w:t xml:space="preserve"> allocations</w:t>
      </w:r>
      <w:r w:rsidRPr="00391600" w:rsidR="00B62503">
        <w:rPr>
          <w:rFonts w:ascii="Palatino Linotype" w:hAnsi="Palatino Linotype" w:eastAsia="Palatino Linotype" w:cs="Times New Roman"/>
          <w:color w:val="000000" w:themeColor="text1"/>
        </w:rPr>
        <w:t xml:space="preserve"> and</w:t>
      </w:r>
      <w:r w:rsidRPr="00391600" w:rsidDel="006A265D" w:rsidR="00425332">
        <w:rPr>
          <w:rFonts w:ascii="Palatino Linotype" w:hAnsi="Palatino Linotype" w:eastAsia="Palatino Linotype" w:cs="Times New Roman"/>
          <w:color w:val="000000" w:themeColor="text1"/>
        </w:rPr>
        <w:t xml:space="preserve"> </w:t>
      </w:r>
      <w:r w:rsidRPr="00391600" w:rsidR="00425332">
        <w:rPr>
          <w:rFonts w:ascii="Palatino Linotype" w:hAnsi="Palatino Linotype" w:eastAsia="Palatino Linotype" w:cs="Times New Roman"/>
          <w:color w:val="000000" w:themeColor="text1"/>
        </w:rPr>
        <w:t>approval dates</w:t>
      </w:r>
      <w:r w:rsidRPr="00391600" w:rsidR="741D0619">
        <w:rPr>
          <w:rFonts w:ascii="Palatino Linotype" w:hAnsi="Palatino Linotype" w:eastAsia="Palatino Linotype" w:cs="Times New Roman"/>
          <w:color w:val="000000" w:themeColor="text1"/>
        </w:rPr>
        <w:t xml:space="preserve"> for </w:t>
      </w:r>
      <w:r w:rsidRPr="00391600" w:rsidR="00E82E94">
        <w:rPr>
          <w:rFonts w:ascii="Palatino Linotype" w:hAnsi="Palatino Linotype" w:eastAsia="Palatino Linotype" w:cs="Times New Roman"/>
          <w:color w:val="000000" w:themeColor="text1"/>
        </w:rPr>
        <w:t>each Plan and Initiative</w:t>
      </w:r>
      <w:r w:rsidRPr="00391600" w:rsidR="00095C32">
        <w:rPr>
          <w:rFonts w:ascii="Palatino Linotype" w:hAnsi="Palatino Linotype" w:eastAsia="Palatino Linotype" w:cs="Times New Roman"/>
          <w:color w:val="000000" w:themeColor="text1"/>
        </w:rPr>
        <w:t>.</w:t>
      </w:r>
      <w:r w:rsidRPr="00391600">
        <w:rPr>
          <w:rStyle w:val="FootnoteReference"/>
          <w:rFonts w:ascii="Palatino Linotype" w:hAnsi="Palatino Linotype" w:eastAsia="Palatino Linotype" w:cs="Times New Roman"/>
          <w:color w:val="000000" w:themeColor="text1"/>
        </w:rPr>
        <w:footnoteReference w:id="107"/>
      </w:r>
      <w:r w:rsidRPr="00391600" w:rsidR="00813FC9">
        <w:rPr>
          <w:rFonts w:ascii="Palatino Linotype" w:hAnsi="Palatino Linotype" w:eastAsia="Palatino Linotype" w:cs="Times New Roman"/>
          <w:color w:val="000000" w:themeColor="text1"/>
        </w:rPr>
        <w:t xml:space="preserve"> </w:t>
      </w:r>
    </w:p>
    <w:p w:rsidRPr="00391600" w:rsidR="00E36ED8" w:rsidP="00630E1E" w:rsidRDefault="00E36ED8" w14:paraId="311AE817" w14:textId="6DDAB9AF">
      <w:pPr>
        <w:pStyle w:val="ListParagraph"/>
        <w:keepNext/>
        <w:numPr>
          <w:ilvl w:val="1"/>
          <w:numId w:val="43"/>
        </w:num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Requests to shift funds between Initiatives at or above 20% of the approved budget</w:t>
      </w:r>
      <w:r w:rsidRPr="00391600" w:rsidDel="00ED009B">
        <w:rPr>
          <w:rFonts w:ascii="Palatino Linotype" w:hAnsi="Palatino Linotype" w:eastAsia="Palatino Linotype" w:cs="Times New Roman"/>
          <w:color w:val="000000" w:themeColor="text1"/>
        </w:rPr>
        <w:t>.</w:t>
      </w:r>
      <w:r w:rsidRPr="00391600">
        <w:rPr>
          <w:rStyle w:val="FootnoteReference"/>
          <w:rFonts w:ascii="Palatino Linotype" w:hAnsi="Palatino Linotype" w:eastAsia="Palatino Linotype" w:cs="Times New Roman"/>
          <w:color w:val="000000" w:themeColor="text1"/>
        </w:rPr>
        <w:footnoteReference w:id="108"/>
      </w:r>
    </w:p>
    <w:p w:rsidRPr="00391600" w:rsidR="00376BB9" w:rsidP="00BB33C1" w:rsidRDefault="00376BB9" w14:paraId="7CADAEED" w14:textId="7B1261D0">
      <w:pPr>
        <w:pStyle w:val="ListParagraph"/>
        <w:keepNext/>
        <w:numPr>
          <w:ilvl w:val="1"/>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Modified budgets </w:t>
      </w:r>
      <w:r w:rsidRPr="00391600" w:rsidR="183E9354">
        <w:rPr>
          <w:rFonts w:ascii="Palatino Linotype" w:hAnsi="Palatino Linotype" w:eastAsia="Palatino Linotype" w:cs="Times New Roman"/>
          <w:color w:val="000000" w:themeColor="text1"/>
        </w:rPr>
        <w:t>if</w:t>
      </w:r>
      <w:r w:rsidRPr="00391600">
        <w:rPr>
          <w:rFonts w:ascii="Palatino Linotype" w:hAnsi="Palatino Linotype" w:eastAsia="Palatino Linotype" w:cs="Times New Roman"/>
          <w:color w:val="000000" w:themeColor="text1"/>
        </w:rPr>
        <w:t xml:space="preserve"> fund shifting</w:t>
      </w:r>
      <w:r w:rsidRPr="00391600" w:rsidR="1949F0A7">
        <w:rPr>
          <w:rFonts w:ascii="Palatino Linotype" w:hAnsi="Palatino Linotype" w:eastAsia="Palatino Linotype" w:cs="Times New Roman"/>
          <w:color w:val="000000" w:themeColor="text1"/>
        </w:rPr>
        <w:t xml:space="preserve"> has o</w:t>
      </w:r>
      <w:r w:rsidRPr="00391600" w:rsidR="2E3120F7">
        <w:rPr>
          <w:rFonts w:ascii="Palatino Linotype" w:hAnsi="Palatino Linotype" w:eastAsia="Palatino Linotype" w:cs="Times New Roman"/>
          <w:color w:val="000000" w:themeColor="text1"/>
        </w:rPr>
        <w:t>c</w:t>
      </w:r>
      <w:r w:rsidRPr="00391600" w:rsidR="1949F0A7">
        <w:rPr>
          <w:rFonts w:ascii="Palatino Linotype" w:hAnsi="Palatino Linotype" w:eastAsia="Palatino Linotype" w:cs="Times New Roman"/>
          <w:color w:val="000000" w:themeColor="text1"/>
        </w:rPr>
        <w:t>curred</w:t>
      </w:r>
      <w:r w:rsidRPr="00391600" w:rsidR="00E429AE">
        <w:rPr>
          <w:rFonts w:ascii="Palatino Linotype" w:hAnsi="Palatino Linotype" w:eastAsia="Palatino Linotype" w:cs="Times New Roman"/>
          <w:color w:val="000000" w:themeColor="text1"/>
        </w:rPr>
        <w:t>.</w:t>
      </w:r>
    </w:p>
    <w:p w:rsidRPr="00391600" w:rsidR="00701EBC" w:rsidP="0031584F" w:rsidRDefault="00701EBC" w14:paraId="4B817705" w14:textId="1FEBF1D5">
      <w:pPr>
        <w:pStyle w:val="ListParagraph"/>
        <w:keepNext/>
        <w:numPr>
          <w:ilvl w:val="2"/>
          <w:numId w:val="43"/>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For </w:t>
      </w:r>
      <w:r w:rsidRPr="00391600" w:rsidR="00B11018">
        <w:rPr>
          <w:rFonts w:ascii="Palatino Linotype" w:hAnsi="Palatino Linotype" w:eastAsia="Palatino Linotype" w:cs="Times New Roman"/>
          <w:color w:val="000000" w:themeColor="text1"/>
        </w:rPr>
        <w:t xml:space="preserve">funding reallocated from approved Initiatives, </w:t>
      </w:r>
      <w:r w:rsidRPr="00391600" w:rsidR="007C3B3F">
        <w:rPr>
          <w:rFonts w:ascii="Palatino Linotype" w:hAnsi="Palatino Linotype" w:eastAsia="Palatino Linotype" w:cs="Times New Roman"/>
          <w:color w:val="000000" w:themeColor="text1"/>
        </w:rPr>
        <w:t xml:space="preserve">the </w:t>
      </w:r>
      <w:r w:rsidRPr="00391600" w:rsidR="00B11018">
        <w:rPr>
          <w:rFonts w:ascii="Palatino Linotype" w:hAnsi="Palatino Linotype" w:eastAsia="Palatino Linotype" w:cs="Times New Roman"/>
          <w:color w:val="000000" w:themeColor="text1"/>
        </w:rPr>
        <w:t xml:space="preserve">Plan and specific Initiative </w:t>
      </w:r>
      <w:r w:rsidRPr="00391600" w:rsidR="002E44A2">
        <w:rPr>
          <w:rFonts w:ascii="Palatino Linotype" w:hAnsi="Palatino Linotype" w:eastAsia="Palatino Linotype" w:cs="Times New Roman"/>
          <w:color w:val="000000" w:themeColor="text1"/>
        </w:rPr>
        <w:t xml:space="preserve">the </w:t>
      </w:r>
      <w:r w:rsidRPr="00391600" w:rsidR="00B11018">
        <w:rPr>
          <w:rFonts w:ascii="Palatino Linotype" w:hAnsi="Palatino Linotype" w:eastAsia="Palatino Linotype" w:cs="Times New Roman"/>
          <w:color w:val="000000" w:themeColor="text1"/>
        </w:rPr>
        <w:t xml:space="preserve">funding has been reallocated to; relatedly, for funding reallocated to new Initiatives, </w:t>
      </w:r>
      <w:r w:rsidRPr="00391600" w:rsidR="00AC4883">
        <w:rPr>
          <w:rFonts w:ascii="Palatino Linotype" w:hAnsi="Palatino Linotype" w:eastAsia="Palatino Linotype" w:cs="Times New Roman"/>
          <w:color w:val="000000" w:themeColor="text1"/>
        </w:rPr>
        <w:t>the</w:t>
      </w:r>
      <w:r w:rsidRPr="00391600" w:rsidR="00B11018">
        <w:rPr>
          <w:rFonts w:ascii="Palatino Linotype" w:hAnsi="Palatino Linotype" w:eastAsia="Palatino Linotype" w:cs="Times New Roman"/>
          <w:color w:val="000000" w:themeColor="text1"/>
        </w:rPr>
        <w:t xml:space="preserve"> Plan and specific Initiative funding has been reallocated from.</w:t>
      </w:r>
      <w:r w:rsidRPr="00391600" w:rsidR="00B11018">
        <w:rPr>
          <w:rStyle w:val="FootnoteReference"/>
          <w:rFonts w:ascii="Palatino Linotype" w:hAnsi="Palatino Linotype" w:eastAsia="Palatino Linotype" w:cs="Times New Roman"/>
          <w:color w:val="000000" w:themeColor="text1"/>
        </w:rPr>
        <w:footnoteReference w:id="109"/>
      </w:r>
      <w:r w:rsidRPr="00391600" w:rsidR="00B11018">
        <w:rPr>
          <w:rFonts w:ascii="Palatino Linotype" w:hAnsi="Palatino Linotype" w:eastAsia="Palatino Linotype" w:cs="Times New Roman"/>
          <w:color w:val="000000" w:themeColor="text1"/>
        </w:rPr>
        <w:t xml:space="preserve"> </w:t>
      </w:r>
    </w:p>
    <w:p w:rsidRPr="00391600" w:rsidR="00AD609C" w:rsidP="00AD609C" w:rsidRDefault="00AD609C" w14:paraId="3C4EAC95" w14:textId="77777777">
      <w:pPr>
        <w:pStyle w:val="ListParagraph"/>
        <w:numPr>
          <w:ilvl w:val="0"/>
          <w:numId w:val="43"/>
        </w:numPr>
        <w:spacing w:line="276" w:lineRule="auto"/>
        <w:rPr>
          <w:rFonts w:ascii="Palatino Linotype" w:hAnsi="Palatino Linotype" w:eastAsia="Palatino Linotype" w:cs="Palatino Linotype"/>
          <w:color w:val="000000" w:themeColor="text1"/>
        </w:rPr>
      </w:pPr>
      <w:r w:rsidRPr="00391600">
        <w:rPr>
          <w:rFonts w:ascii="Palatino Linotype" w:hAnsi="Palatino Linotype" w:eastAsia="Palatino Linotype" w:cs="Times New Roman"/>
          <w:color w:val="000000" w:themeColor="text1"/>
        </w:rPr>
        <w:t>Interest accrued on Gas RD&amp;D program funds.</w:t>
      </w:r>
    </w:p>
    <w:p w:rsidRPr="00391600" w:rsidR="000B46D4" w:rsidP="000B46D4" w:rsidRDefault="000B46D4" w14:paraId="1560A76B" w14:textId="68175E0F">
      <w:pPr>
        <w:pStyle w:val="ListParagraph"/>
        <w:numPr>
          <w:ilvl w:val="0"/>
          <w:numId w:val="43"/>
        </w:numPr>
        <w:spacing w:line="276" w:lineRule="auto"/>
        <w:rPr>
          <w:rFonts w:ascii="Palatino Linotype" w:hAnsi="Palatino Linotype" w:eastAsia="Palatino Linotype" w:cs="Palatino Linotype"/>
          <w:color w:val="000000" w:themeColor="text1"/>
        </w:rPr>
      </w:pPr>
      <w:r w:rsidRPr="00391600">
        <w:rPr>
          <w:rFonts w:ascii="Palatino Linotype" w:hAnsi="Palatino Linotype" w:eastAsia="Palatino Linotype" w:cs="Times New Roman"/>
          <w:color w:val="000000" w:themeColor="text1"/>
        </w:rPr>
        <w:t>Commercial benefits which may have resulted from previous Gas RD&amp;D investments, if known, or state unknown.</w:t>
      </w:r>
      <w:r w:rsidRPr="00391600">
        <w:rPr>
          <w:rStyle w:val="FootnoteReference"/>
          <w:rFonts w:ascii="Palatino Linotype" w:hAnsi="Palatino Linotype" w:eastAsia="Palatino Linotype" w:cs="Times New Roman"/>
          <w:color w:val="000000" w:themeColor="text1"/>
        </w:rPr>
        <w:footnoteReference w:id="110"/>
      </w:r>
      <w:r w:rsidRPr="00391600">
        <w:rPr>
          <w:rFonts w:ascii="Palatino Linotype" w:hAnsi="Palatino Linotype" w:eastAsia="Palatino Linotype" w:cs="Times New Roman"/>
          <w:color w:val="000000" w:themeColor="text1"/>
        </w:rPr>
        <w:t xml:space="preserve"> </w:t>
      </w:r>
    </w:p>
    <w:p w:rsidRPr="00391600" w:rsidR="007515A8" w:rsidP="00F96484" w:rsidRDefault="00E575C3" w14:paraId="5C4D791A" w14:textId="163A7031">
      <w:pPr>
        <w:pStyle w:val="ListParagraph"/>
        <w:keepNext/>
        <w:numPr>
          <w:ilvl w:val="0"/>
          <w:numId w:val="43"/>
        </w:num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Requests to modify research topics for Initiatives in Commission-approved Plans.</w:t>
      </w:r>
    </w:p>
    <w:p w:rsidRPr="00391600" w:rsidR="00122B8B" w:rsidDel="00F9113F" w:rsidP="006F4E5A" w:rsidRDefault="007A5EE8" w14:paraId="298447CE" w14:textId="4C7B6F5C">
      <w:pPr>
        <w:spacing w:before="240"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This Resolution modifies requirements for </w:t>
      </w:r>
      <w:r w:rsidRPr="00391600" w:rsidR="00F013E6">
        <w:rPr>
          <w:rFonts w:ascii="Palatino Linotype" w:hAnsi="Palatino Linotype" w:eastAsia="Palatino Linotype" w:cs="Times New Roman"/>
          <w:color w:val="000000" w:themeColor="text1"/>
        </w:rPr>
        <w:t xml:space="preserve">the </w:t>
      </w:r>
      <w:r w:rsidRPr="00391600">
        <w:rPr>
          <w:rFonts w:ascii="Palatino Linotype" w:hAnsi="Palatino Linotype" w:eastAsia="Palatino Linotype" w:cs="Times New Roman"/>
          <w:color w:val="000000" w:themeColor="text1"/>
        </w:rPr>
        <w:t xml:space="preserve">CEC to </w:t>
      </w:r>
      <w:r w:rsidRPr="00391600" w:rsidR="00F013E6">
        <w:rPr>
          <w:rFonts w:ascii="Palatino Linotype" w:hAnsi="Palatino Linotype" w:eastAsia="Palatino Linotype" w:cs="Times New Roman"/>
          <w:color w:val="000000" w:themeColor="text1"/>
        </w:rPr>
        <w:t>provide budget reporting in its Annual Plans</w:t>
      </w:r>
      <w:r w:rsidRPr="00391600" w:rsidR="000D1C1F">
        <w:rPr>
          <w:rStyle w:val="FootnoteReference"/>
          <w:rFonts w:ascii="Palatino Linotype" w:hAnsi="Palatino Linotype" w:eastAsia="Palatino Linotype" w:cs="Palatino Linotype"/>
          <w:color w:val="000000" w:themeColor="text1"/>
        </w:rPr>
        <w:footnoteReference w:id="111"/>
      </w:r>
      <w:r w:rsidRPr="00391600" w:rsidR="00F013E6">
        <w:rPr>
          <w:rFonts w:ascii="Palatino Linotype" w:hAnsi="Palatino Linotype" w:eastAsia="Palatino Linotype" w:cs="Times New Roman"/>
          <w:color w:val="000000" w:themeColor="text1"/>
        </w:rPr>
        <w:t xml:space="preserve"> by instead requiring reporting via </w:t>
      </w:r>
      <w:r w:rsidRPr="00391600" w:rsidR="00283A9C">
        <w:rPr>
          <w:rFonts w:ascii="Palatino Linotype" w:hAnsi="Palatino Linotype" w:eastAsia="Palatino Linotype" w:cs="Times New Roman"/>
          <w:color w:val="000000" w:themeColor="text1"/>
        </w:rPr>
        <w:t xml:space="preserve">semi-annual </w:t>
      </w:r>
      <w:r w:rsidRPr="00391600" w:rsidR="00F013E6">
        <w:rPr>
          <w:rFonts w:ascii="Palatino Linotype" w:hAnsi="Palatino Linotype" w:eastAsia="Palatino Linotype" w:cs="Times New Roman"/>
          <w:color w:val="000000" w:themeColor="text1"/>
        </w:rPr>
        <w:t xml:space="preserve">Tier 1 AL and in Annual Reports. </w:t>
      </w:r>
      <w:r w:rsidRPr="00391600" w:rsidR="007F6318">
        <w:rPr>
          <w:rFonts w:ascii="Palatino Linotype" w:hAnsi="Palatino Linotype" w:eastAsia="Palatino Linotype" w:cs="Times New Roman"/>
          <w:color w:val="000000" w:themeColor="text1"/>
        </w:rPr>
        <w:t>Moving forward, in this instance only</w:t>
      </w:r>
      <w:r w:rsidRPr="00391600" w:rsidR="00B943DC">
        <w:rPr>
          <w:rFonts w:ascii="Palatino Linotype" w:hAnsi="Palatino Linotype" w:eastAsia="Palatino Linotype" w:cs="Times New Roman"/>
          <w:color w:val="000000" w:themeColor="text1"/>
        </w:rPr>
        <w:t>, the CEC shall provide updated fund balance reporting in its revised 2024 and 2025 Plan</w:t>
      </w:r>
      <w:r w:rsidRPr="00391600" w:rsidR="007F6318">
        <w:rPr>
          <w:rFonts w:ascii="Palatino Linotype" w:hAnsi="Palatino Linotype" w:eastAsia="Palatino Linotype" w:cs="Times New Roman"/>
          <w:color w:val="000000" w:themeColor="text1"/>
        </w:rPr>
        <w:t>s</w:t>
      </w:r>
      <w:r w:rsidRPr="00391600" w:rsidR="00B943DC">
        <w:rPr>
          <w:rFonts w:ascii="Palatino Linotype" w:hAnsi="Palatino Linotype" w:eastAsia="Palatino Linotype" w:cs="Times New Roman"/>
          <w:color w:val="000000" w:themeColor="text1"/>
        </w:rPr>
        <w:t xml:space="preserve"> to be submitted via Tier 2 AL</w:t>
      </w:r>
      <w:r w:rsidRPr="00391600" w:rsidR="007F6318">
        <w:rPr>
          <w:rFonts w:ascii="Palatino Linotype" w:hAnsi="Palatino Linotype" w:eastAsia="Palatino Linotype" w:cs="Times New Roman"/>
          <w:color w:val="000000" w:themeColor="text1"/>
        </w:rPr>
        <w:t>.</w:t>
      </w:r>
    </w:p>
    <w:p w:rsidRPr="00391600" w:rsidR="00020E97" w:rsidP="006F4E5A" w:rsidRDefault="004F0FAF" w14:paraId="7F3F12F6" w14:textId="763033FA">
      <w:pPr>
        <w:keepNext/>
        <w:spacing w:before="240"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lastRenderedPageBreak/>
        <w:t>To</w:t>
      </w:r>
      <w:r w:rsidRPr="00391600" w:rsidR="003920C8">
        <w:rPr>
          <w:rFonts w:ascii="Palatino Linotype" w:hAnsi="Palatino Linotype" w:eastAsia="Palatino Linotype" w:cs="Times New Roman"/>
          <w:color w:val="000000" w:themeColor="text1"/>
        </w:rPr>
        <w:t xml:space="preserve"> </w:t>
      </w:r>
      <w:r w:rsidRPr="00391600" w:rsidR="001C0F3B">
        <w:rPr>
          <w:rFonts w:ascii="Palatino Linotype" w:hAnsi="Palatino Linotype" w:eastAsia="Palatino Linotype" w:cs="Times New Roman"/>
          <w:color w:val="000000" w:themeColor="text1"/>
        </w:rPr>
        <w:t xml:space="preserve">further </w:t>
      </w:r>
      <w:r w:rsidRPr="00391600" w:rsidR="003920C8">
        <w:rPr>
          <w:rFonts w:ascii="Palatino Linotype" w:hAnsi="Palatino Linotype" w:eastAsia="Palatino Linotype" w:cs="Times New Roman"/>
          <w:color w:val="000000" w:themeColor="text1"/>
        </w:rPr>
        <w:t xml:space="preserve">support the Commission’s oversight requirements </w:t>
      </w:r>
      <w:r w:rsidRPr="00391600" w:rsidR="00FF011F">
        <w:rPr>
          <w:rFonts w:ascii="Palatino Linotype" w:hAnsi="Palatino Linotype" w:eastAsia="Palatino Linotype" w:cs="Times New Roman"/>
          <w:color w:val="000000" w:themeColor="text1"/>
        </w:rPr>
        <w:t xml:space="preserve">for the </w:t>
      </w:r>
      <w:r w:rsidRPr="00391600" w:rsidR="00101977">
        <w:rPr>
          <w:rFonts w:ascii="Palatino Linotype" w:hAnsi="Palatino Linotype" w:eastAsia="Palatino Linotype" w:cs="Times New Roman"/>
          <w:color w:val="000000" w:themeColor="text1"/>
        </w:rPr>
        <w:t xml:space="preserve">accountability </w:t>
      </w:r>
      <w:r w:rsidRPr="00391600" w:rsidR="003920C8">
        <w:rPr>
          <w:rFonts w:ascii="Palatino Linotype" w:hAnsi="Palatino Linotype" w:eastAsia="Palatino Linotype" w:cs="Times New Roman"/>
          <w:color w:val="000000" w:themeColor="text1"/>
        </w:rPr>
        <w:t>of ratepayer dollars</w:t>
      </w:r>
      <w:r w:rsidRPr="00391600" w:rsidR="00083E4D">
        <w:rPr>
          <w:rFonts w:ascii="Palatino Linotype" w:hAnsi="Palatino Linotype" w:eastAsia="Palatino Linotype" w:cs="Times New Roman"/>
          <w:color w:val="000000" w:themeColor="text1"/>
        </w:rPr>
        <w:t xml:space="preserve">, </w:t>
      </w:r>
      <w:r w:rsidRPr="00391600" w:rsidR="000416AC">
        <w:rPr>
          <w:rFonts w:ascii="Palatino Linotype" w:hAnsi="Palatino Linotype" w:eastAsia="Palatino Linotype" w:cs="Times New Roman"/>
          <w:color w:val="000000" w:themeColor="text1"/>
        </w:rPr>
        <w:t xml:space="preserve">the CEC shall </w:t>
      </w:r>
      <w:r w:rsidRPr="00391600" w:rsidR="007B71FD">
        <w:rPr>
          <w:rFonts w:ascii="Palatino Linotype" w:hAnsi="Palatino Linotype" w:eastAsia="Palatino Linotype" w:cs="Times New Roman"/>
          <w:color w:val="000000" w:themeColor="text1"/>
        </w:rPr>
        <w:t xml:space="preserve">provide </w:t>
      </w:r>
      <w:r w:rsidRPr="00391600" w:rsidR="00CC7E04">
        <w:rPr>
          <w:rFonts w:ascii="Palatino Linotype" w:hAnsi="Palatino Linotype" w:eastAsia="Palatino Linotype" w:cs="Times New Roman"/>
          <w:color w:val="000000" w:themeColor="text1"/>
        </w:rPr>
        <w:t>advance</w:t>
      </w:r>
      <w:r w:rsidRPr="00391600" w:rsidR="007B71FD">
        <w:rPr>
          <w:rFonts w:ascii="Palatino Linotype" w:hAnsi="Palatino Linotype" w:eastAsia="Palatino Linotype" w:cs="Times New Roman"/>
          <w:color w:val="000000" w:themeColor="text1"/>
        </w:rPr>
        <w:t xml:space="preserve"> </w:t>
      </w:r>
      <w:r w:rsidRPr="00391600" w:rsidR="003920C8">
        <w:rPr>
          <w:rFonts w:ascii="Palatino Linotype" w:hAnsi="Palatino Linotype" w:eastAsia="Palatino Linotype" w:cs="Times New Roman"/>
          <w:color w:val="000000" w:themeColor="text1"/>
        </w:rPr>
        <w:t xml:space="preserve">notice </w:t>
      </w:r>
      <w:r w:rsidRPr="00391600" w:rsidR="007B71FD">
        <w:rPr>
          <w:rFonts w:ascii="Palatino Linotype" w:hAnsi="Palatino Linotype" w:eastAsia="Palatino Linotype" w:cs="Times New Roman"/>
          <w:color w:val="000000" w:themeColor="text1"/>
        </w:rPr>
        <w:t>to</w:t>
      </w:r>
      <w:r w:rsidRPr="00391600" w:rsidR="003A466D">
        <w:rPr>
          <w:rFonts w:ascii="Palatino Linotype" w:hAnsi="Palatino Linotype" w:eastAsia="Palatino Linotype" w:cs="Times New Roman"/>
          <w:color w:val="000000" w:themeColor="text1"/>
        </w:rPr>
        <w:t xml:space="preserve"> the Commission </w:t>
      </w:r>
      <w:r w:rsidRPr="00391600" w:rsidR="007546AA">
        <w:rPr>
          <w:rFonts w:ascii="Palatino Linotype" w:hAnsi="Palatino Linotype" w:eastAsia="Palatino Linotype" w:cs="Times New Roman"/>
          <w:color w:val="000000" w:themeColor="text1"/>
        </w:rPr>
        <w:t xml:space="preserve">when seeking to </w:t>
      </w:r>
      <w:r w:rsidRPr="00391600" w:rsidR="000B6FC6">
        <w:rPr>
          <w:rFonts w:ascii="Palatino Linotype" w:hAnsi="Palatino Linotype" w:eastAsia="Palatino Linotype" w:cs="Times New Roman"/>
          <w:color w:val="000000" w:themeColor="text1"/>
        </w:rPr>
        <w:t>implement projects</w:t>
      </w:r>
      <w:r w:rsidRPr="00391600" w:rsidR="00970B2C">
        <w:rPr>
          <w:rFonts w:ascii="Palatino Linotype" w:hAnsi="Palatino Linotype" w:eastAsia="Palatino Linotype" w:cs="Times New Roman"/>
          <w:color w:val="000000" w:themeColor="text1"/>
        </w:rPr>
        <w:t>.</w:t>
      </w:r>
      <w:r w:rsidRPr="00391600" w:rsidR="00DA14B5">
        <w:rPr>
          <w:rFonts w:ascii="Palatino Linotype" w:hAnsi="Palatino Linotype" w:eastAsia="Palatino Linotype" w:cs="Times New Roman"/>
          <w:color w:val="000000" w:themeColor="text1"/>
        </w:rPr>
        <w:t xml:space="preserve"> </w:t>
      </w:r>
      <w:r w:rsidRPr="00391600" w:rsidR="00020E97">
        <w:rPr>
          <w:rFonts w:ascii="Palatino Linotype" w:hAnsi="Palatino Linotype" w:eastAsia="Palatino Linotype" w:cs="Times New Roman"/>
          <w:color w:val="000000" w:themeColor="text1"/>
        </w:rPr>
        <w:t xml:space="preserve">The CEC shall submit draft GFO materials via a letter directly to the Energy Division Director, </w:t>
      </w:r>
      <w:r w:rsidRPr="00391600" w:rsidR="00DA14B5">
        <w:rPr>
          <w:rFonts w:ascii="Palatino Linotype" w:hAnsi="Palatino Linotype" w:eastAsia="Palatino Linotype" w:cs="Times New Roman"/>
          <w:color w:val="000000" w:themeColor="text1"/>
        </w:rPr>
        <w:t xml:space="preserve">Energy Division </w:t>
      </w:r>
      <w:r w:rsidRPr="00391600" w:rsidR="00020E97">
        <w:rPr>
          <w:rFonts w:ascii="Palatino Linotype" w:hAnsi="Palatino Linotype" w:eastAsia="Palatino Linotype" w:cs="Times New Roman"/>
          <w:color w:val="000000" w:themeColor="text1"/>
        </w:rPr>
        <w:t xml:space="preserve">Central Files, and </w:t>
      </w:r>
      <w:r w:rsidRPr="00391600" w:rsidR="00DA14B5">
        <w:rPr>
          <w:rFonts w:ascii="Palatino Linotype" w:hAnsi="Palatino Linotype" w:eastAsia="Palatino Linotype" w:cs="Times New Roman"/>
          <w:color w:val="000000" w:themeColor="text1"/>
        </w:rPr>
        <w:t>Staff</w:t>
      </w:r>
      <w:r w:rsidRPr="00391600" w:rsidR="00020E97">
        <w:rPr>
          <w:rFonts w:ascii="Palatino Linotype" w:hAnsi="Palatino Linotype" w:eastAsia="Palatino Linotype" w:cs="Times New Roman"/>
          <w:color w:val="000000" w:themeColor="text1"/>
        </w:rPr>
        <w:t xml:space="preserve"> including identification of the associated funding Plan year and Initiative. </w:t>
      </w:r>
      <w:r w:rsidRPr="00391600" w:rsidR="00DA14B5">
        <w:rPr>
          <w:rFonts w:ascii="Palatino Linotype" w:hAnsi="Palatino Linotype" w:eastAsia="Palatino Linotype" w:cs="Times New Roman"/>
          <w:color w:val="000000" w:themeColor="text1"/>
        </w:rPr>
        <w:t>The letters should facilitate consultation early in solicitation scoping and concept development in addition to during later phases involving notices of proposed awards and agreement document development prior to CEC Business Meeting approval. Given this process has commonly lasted upwards of one year from Plan approval, upon CPUC request, the CEC should also explore memorandums of understanding (MOUs) to protect confidentiality as necessary while allowing for information sharing during intermediary steps, such as drafting solicitation packages and evaluating applicants</w:t>
      </w:r>
      <w:r w:rsidRPr="00391600" w:rsidR="00020E97">
        <w:rPr>
          <w:rFonts w:ascii="Palatino Linotype" w:hAnsi="Palatino Linotype" w:eastAsia="Palatino Linotype" w:cs="Times New Roman"/>
          <w:color w:val="000000" w:themeColor="text1"/>
        </w:rPr>
        <w:t xml:space="preserve">. These should be discussed via direct consultation with CPUC staff during ongoing </w:t>
      </w:r>
      <w:r w:rsidRPr="00391600" w:rsidR="00B811B8">
        <w:rPr>
          <w:rFonts w:ascii="Palatino Linotype" w:hAnsi="Palatino Linotype" w:eastAsia="Palatino Linotype" w:cs="Times New Roman"/>
          <w:color w:val="000000" w:themeColor="text1"/>
        </w:rPr>
        <w:t xml:space="preserve">coordination </w:t>
      </w:r>
      <w:r w:rsidRPr="00391600" w:rsidR="00020E97">
        <w:rPr>
          <w:rFonts w:ascii="Palatino Linotype" w:hAnsi="Palatino Linotype" w:eastAsia="Palatino Linotype" w:cs="Times New Roman"/>
          <w:color w:val="000000" w:themeColor="text1"/>
        </w:rPr>
        <w:t>meetings. This process promotes proactive and consistent information sharing as part of the CEC’s strategic planning process, allowing the CPUC (as well as IOU administrators) the opportunity to identify any opportunities, conflicts, and duplicative research.</w:t>
      </w:r>
      <w:r w:rsidRPr="00391600" w:rsidR="00015073">
        <w:rPr>
          <w:rFonts w:ascii="Palatino Linotype" w:hAnsi="Palatino Linotype" w:eastAsia="Palatino Linotype" w:cs="Times New Roman"/>
          <w:color w:val="000000" w:themeColor="text1"/>
        </w:rPr>
        <w:t xml:space="preserve"> </w:t>
      </w:r>
      <w:r w:rsidRPr="00391600" w:rsidR="0017631E">
        <w:rPr>
          <w:rFonts w:ascii="Palatino Linotype" w:hAnsi="Palatino Linotype" w:eastAsia="Palatino Linotype" w:cs="Times New Roman"/>
          <w:color w:val="000000" w:themeColor="text1"/>
        </w:rPr>
        <w:t xml:space="preserve">This type of reporting establishes structure and common expectations as well as helps to ensure continued alignment with CPUC policies and proceedings, where ratepayer impacts are specifically considered. </w:t>
      </w:r>
      <w:r w:rsidRPr="00391600" w:rsidR="00015073">
        <w:rPr>
          <w:rFonts w:ascii="Palatino Linotype" w:hAnsi="Palatino Linotype" w:eastAsia="Palatino Linotype" w:cs="Times New Roman"/>
          <w:color w:val="000000" w:themeColor="text1"/>
        </w:rPr>
        <w:t>Overall, this practice will support accountability, transparency, coordination, and communication in making investments on behalf of ratepayers.</w:t>
      </w:r>
    </w:p>
    <w:p w:rsidRPr="00391600" w:rsidR="00FE701B" w:rsidP="1B3767A6" w:rsidRDefault="00FE701B" w14:paraId="7FE2EAF1" w14:textId="77777777">
      <w:pPr>
        <w:keepNext/>
        <w:spacing w:after="0" w:line="276" w:lineRule="auto"/>
        <w:rPr>
          <w:rFonts w:ascii="Palatino Linotype" w:hAnsi="Palatino Linotype" w:eastAsia="Palatino Linotype" w:cs="Times New Roman"/>
          <w:color w:val="000000" w:themeColor="text1"/>
        </w:rPr>
      </w:pPr>
    </w:p>
    <w:p w:rsidRPr="00391600" w:rsidR="006A0099" w:rsidP="3F8DE55E" w:rsidRDefault="7F7824EB" w14:paraId="581590B5" w14:textId="77777777">
      <w:pPr>
        <w:spacing w:after="240" w:line="276" w:lineRule="auto"/>
        <w:rPr>
          <w:rFonts w:ascii="Palatino Linotype" w:hAnsi="Palatino Linotype" w:eastAsia="Palatino Linotype" w:cs="Times New Roman"/>
          <w:i/>
          <w:iCs/>
          <w:color w:val="000000" w:themeColor="text1"/>
        </w:rPr>
      </w:pPr>
      <w:r w:rsidRPr="00391600">
        <w:rPr>
          <w:rFonts w:ascii="Palatino Linotype" w:hAnsi="Palatino Linotype" w:eastAsia="Palatino Linotype" w:cs="Times New Roman"/>
          <w:i/>
          <w:iCs/>
          <w:color w:val="000000" w:themeColor="text1"/>
        </w:rPr>
        <w:t>Annual Report</w:t>
      </w:r>
    </w:p>
    <w:p w:rsidRPr="00391600" w:rsidR="005259AF" w:rsidP="00970D2E" w:rsidRDefault="00DB285D" w14:paraId="3B2FCDD1" w14:textId="6AED11B7">
      <w:pPr>
        <w:spacing w:line="276" w:lineRule="auto"/>
        <w:rPr>
          <w:rFonts w:ascii="Palatino Linotype" w:hAnsi="Palatino Linotype"/>
        </w:rPr>
      </w:pPr>
      <w:r w:rsidRPr="00391600">
        <w:rPr>
          <w:rFonts w:ascii="Palatino Linotype" w:hAnsi="Palatino Linotype" w:eastAsia="Palatino Linotype" w:cs="Times New Roman"/>
          <w:color w:val="000000" w:themeColor="text1"/>
          <w:kern w:val="0"/>
          <w14:ligatures w14:val="none"/>
        </w:rPr>
        <w:t xml:space="preserve">This Resolution </w:t>
      </w:r>
      <w:r w:rsidRPr="00391600">
        <w:rPr>
          <w:rFonts w:ascii="Palatino Linotype" w:hAnsi="Palatino Linotype" w:eastAsia="Palatino Linotype" w:cs="Times New Roman"/>
          <w:color w:val="000000" w:themeColor="text1"/>
        </w:rPr>
        <w:t xml:space="preserve">modifies the Annual Report deadline set in </w:t>
      </w:r>
      <w:r w:rsidRPr="00391600">
        <w:rPr>
          <w:rFonts w:ascii="Palatino Linotype" w:hAnsi="Palatino Linotype"/>
          <w:color w:val="000000" w:themeColor="text1"/>
        </w:rPr>
        <w:t xml:space="preserve">Resolution G-3394 (2006) </w:t>
      </w:r>
      <w:r w:rsidRPr="00391600">
        <w:rPr>
          <w:rFonts w:ascii="Palatino Linotype" w:hAnsi="Palatino Linotype" w:eastAsia="Palatino Linotype" w:cs="Times New Roman"/>
          <w:color w:val="000000" w:themeColor="text1"/>
        </w:rPr>
        <w:t xml:space="preserve">to promote </w:t>
      </w:r>
      <w:r w:rsidRPr="00391600" w:rsidR="00D86067">
        <w:rPr>
          <w:rFonts w:ascii="Palatino Linotype" w:hAnsi="Palatino Linotype" w:eastAsia="Palatino Linotype" w:cs="Times New Roman"/>
          <w:color w:val="000000" w:themeColor="text1"/>
        </w:rPr>
        <w:t>coordination</w:t>
      </w:r>
      <w:r w:rsidRPr="00391600" w:rsidR="00BB483B">
        <w:rPr>
          <w:rFonts w:ascii="Palatino Linotype" w:hAnsi="Palatino Linotype" w:eastAsia="Palatino Linotype" w:cs="Times New Roman"/>
          <w:color w:val="000000" w:themeColor="text1"/>
        </w:rPr>
        <w:t xml:space="preserve"> and</w:t>
      </w:r>
      <w:r w:rsidRPr="00391600" w:rsidR="00D86067">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 xml:space="preserve">transparency across </w:t>
      </w:r>
      <w:r w:rsidRPr="00391600" w:rsidR="00D86067">
        <w:rPr>
          <w:rFonts w:ascii="Palatino Linotype" w:hAnsi="Palatino Linotype" w:eastAsia="Palatino Linotype" w:cs="Times New Roman"/>
          <w:color w:val="000000" w:themeColor="text1"/>
        </w:rPr>
        <w:t xml:space="preserve">administrators </w:t>
      </w:r>
      <w:r w:rsidRPr="00391600" w:rsidR="00C94785">
        <w:rPr>
          <w:rFonts w:ascii="Palatino Linotype" w:hAnsi="Palatino Linotype" w:eastAsia="Palatino Linotype" w:cs="Times New Roman"/>
          <w:color w:val="000000" w:themeColor="text1"/>
        </w:rPr>
        <w:t>of</w:t>
      </w:r>
      <w:r w:rsidRPr="00391600" w:rsidR="009E641D">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CPUC ratepayer-funded RD&amp;D programs</w:t>
      </w:r>
      <w:r w:rsidRPr="00391600" w:rsidR="00FF5193">
        <w:rPr>
          <w:rFonts w:ascii="Palatino Linotype" w:hAnsi="Palatino Linotype" w:eastAsia="Palatino Linotype" w:cs="Times New Roman"/>
          <w:color w:val="000000" w:themeColor="text1"/>
        </w:rPr>
        <w:t xml:space="preserve">. </w:t>
      </w:r>
      <w:r w:rsidRPr="00391600" w:rsidR="00104673">
        <w:rPr>
          <w:rFonts w:ascii="Palatino Linotype" w:hAnsi="Palatino Linotype" w:eastAsia="Palatino Linotype" w:cs="Times New Roman"/>
          <w:color w:val="000000" w:themeColor="text1"/>
        </w:rPr>
        <w:t xml:space="preserve">The </w:t>
      </w:r>
      <w:r w:rsidRPr="00391600" w:rsidR="00282A35">
        <w:rPr>
          <w:rFonts w:ascii="Palatino Linotype" w:hAnsi="Palatino Linotype" w:eastAsia="Palatino Linotype" w:cs="Times New Roman"/>
          <w:color w:val="000000" w:themeColor="text1"/>
        </w:rPr>
        <w:t>IOUs’</w:t>
      </w:r>
      <w:r w:rsidRPr="00391600" w:rsidR="00104673">
        <w:rPr>
          <w:rFonts w:ascii="Palatino Linotype" w:hAnsi="Palatino Linotype" w:eastAsia="Palatino Linotype" w:cs="Times New Roman"/>
          <w:color w:val="000000" w:themeColor="text1"/>
        </w:rPr>
        <w:t xml:space="preserve"> Gas RD&amp;D programs and CPUC’s electric RD&amp;D program,</w:t>
      </w:r>
      <w:r w:rsidRPr="00391600" w:rsidR="00DB2535">
        <w:rPr>
          <w:rFonts w:ascii="Palatino Linotype" w:hAnsi="Palatino Linotype" w:eastAsia="Palatino Linotype" w:cs="Times New Roman"/>
          <w:color w:val="000000" w:themeColor="text1"/>
        </w:rPr>
        <w:t xml:space="preserve"> EPIC</w:t>
      </w:r>
      <w:r w:rsidRPr="00391600" w:rsidR="00104673">
        <w:rPr>
          <w:rFonts w:ascii="Palatino Linotype" w:hAnsi="Palatino Linotype" w:eastAsia="Palatino Linotype" w:cs="Times New Roman"/>
          <w:color w:val="000000" w:themeColor="text1"/>
        </w:rPr>
        <w:t xml:space="preserve">, summarize cohesive calendar year (CY) outcomes rather than fiscal year outcomes. </w:t>
      </w:r>
      <w:r w:rsidRPr="00391600">
        <w:rPr>
          <w:rFonts w:ascii="Palatino Linotype" w:hAnsi="Palatino Linotype" w:eastAsia="Palatino Linotype" w:cs="Times New Roman"/>
          <w:color w:val="000000" w:themeColor="text1"/>
        </w:rPr>
        <w:t>Annual Reports shall be due June 1 of each year,</w:t>
      </w:r>
      <w:r w:rsidRPr="00391600">
        <w:rPr>
          <w:rStyle w:val="FootnoteReference"/>
          <w:rFonts w:ascii="Palatino Linotype" w:hAnsi="Palatino Linotype" w:eastAsia="Palatino Linotype" w:cs="Times New Roman"/>
          <w:color w:val="000000" w:themeColor="text1"/>
        </w:rPr>
        <w:footnoteReference w:id="112"/>
      </w:r>
      <w:r w:rsidRPr="00391600">
        <w:rPr>
          <w:rFonts w:ascii="Palatino Linotype" w:hAnsi="Palatino Linotype" w:eastAsia="Palatino Linotype" w:cs="Times New Roman"/>
          <w:color w:val="000000" w:themeColor="text1"/>
        </w:rPr>
        <w:t xml:space="preserve"> </w:t>
      </w:r>
      <w:r w:rsidRPr="00391600" w:rsidR="0097285A">
        <w:rPr>
          <w:rFonts w:ascii="Palatino Linotype" w:hAnsi="Palatino Linotype" w:eastAsia="Palatino Linotype" w:cs="Times New Roman"/>
          <w:color w:val="000000" w:themeColor="text1"/>
        </w:rPr>
        <w:t>covering</w:t>
      </w:r>
      <w:r w:rsidRPr="00391600">
        <w:rPr>
          <w:rFonts w:ascii="Palatino Linotype" w:hAnsi="Palatino Linotype" w:eastAsia="Palatino Linotype" w:cs="Times New Roman"/>
          <w:color w:val="000000" w:themeColor="text1"/>
        </w:rPr>
        <w:t xml:space="preserve"> the previous CY. </w:t>
      </w:r>
    </w:p>
    <w:p w:rsidRPr="00391600" w:rsidR="005259AF" w:rsidP="00970D2E" w:rsidRDefault="00DB285D" w14:paraId="0B8DEE00" w14:textId="0CCE334E">
      <w:p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To accommodate the transition from fiscal year (FY) to CY reporting, </w:t>
      </w:r>
      <w:r w:rsidRPr="00391600" w:rsidR="00317270">
        <w:rPr>
          <w:rFonts w:ascii="Palatino Linotype" w:hAnsi="Palatino Linotype" w:eastAsia="Palatino Linotype" w:cs="Times New Roman"/>
          <w:color w:val="000000" w:themeColor="text1"/>
        </w:rPr>
        <w:t xml:space="preserve">the </w:t>
      </w:r>
      <w:r w:rsidRPr="00391600">
        <w:rPr>
          <w:rFonts w:ascii="Palatino Linotype" w:hAnsi="Palatino Linotype" w:eastAsia="Palatino Linotype" w:cs="Times New Roman"/>
          <w:color w:val="000000" w:themeColor="text1"/>
        </w:rPr>
        <w:t xml:space="preserve">CEC’s </w:t>
      </w:r>
      <w:r w:rsidRPr="00391600" w:rsidR="00491E96">
        <w:rPr>
          <w:rFonts w:ascii="Palatino Linotype" w:hAnsi="Palatino Linotype" w:eastAsia="Palatino Linotype" w:cs="Times New Roman"/>
          <w:color w:val="000000" w:themeColor="text1"/>
        </w:rPr>
        <w:t>next</w:t>
      </w:r>
      <w:r w:rsidRPr="00391600">
        <w:rPr>
          <w:rFonts w:ascii="Palatino Linotype" w:hAnsi="Palatino Linotype" w:eastAsia="Palatino Linotype" w:cs="Times New Roman"/>
          <w:color w:val="000000" w:themeColor="text1"/>
        </w:rPr>
        <w:t xml:space="preserve"> Gas RD&amp;D Annual Report, currently due October 31, 2026, shall </w:t>
      </w:r>
      <w:r w:rsidRPr="00391600" w:rsidR="1CD19325">
        <w:rPr>
          <w:rFonts w:ascii="Palatino Linotype" w:hAnsi="Palatino Linotype" w:eastAsia="Palatino Linotype" w:cs="Times New Roman"/>
          <w:color w:val="000000" w:themeColor="text1"/>
        </w:rPr>
        <w:t xml:space="preserve">instead </w:t>
      </w:r>
      <w:r w:rsidRPr="00391600">
        <w:rPr>
          <w:rFonts w:ascii="Palatino Linotype" w:hAnsi="Palatino Linotype" w:eastAsia="Palatino Linotype" w:cs="Times New Roman"/>
          <w:color w:val="000000" w:themeColor="text1"/>
        </w:rPr>
        <w:t xml:space="preserve">be due June 1, </w:t>
      </w:r>
      <w:r w:rsidRPr="00391600">
        <w:rPr>
          <w:rFonts w:ascii="Palatino Linotype" w:hAnsi="Palatino Linotype" w:eastAsia="Palatino Linotype" w:cs="Times New Roman"/>
          <w:color w:val="000000" w:themeColor="text1"/>
        </w:rPr>
        <w:lastRenderedPageBreak/>
        <w:t xml:space="preserve">2027, and </w:t>
      </w:r>
      <w:r w:rsidRPr="00391600" w:rsidR="00491E96">
        <w:rPr>
          <w:rFonts w:ascii="Palatino Linotype" w:hAnsi="Palatino Linotype" w:eastAsia="Palatino Linotype" w:cs="Times New Roman"/>
          <w:color w:val="000000" w:themeColor="text1"/>
        </w:rPr>
        <w:t>cover</w:t>
      </w:r>
      <w:r w:rsidRPr="00391600">
        <w:rPr>
          <w:rFonts w:ascii="Palatino Linotype" w:hAnsi="Palatino Linotype" w:eastAsia="Palatino Linotype" w:cs="Times New Roman"/>
          <w:color w:val="000000" w:themeColor="text1"/>
        </w:rPr>
        <w:t xml:space="preserve"> a one-and-a-half-year period: July 2025 through December 2026. </w:t>
      </w:r>
      <w:r w:rsidRPr="00391600" w:rsidR="7F7824EB">
        <w:rPr>
          <w:rFonts w:ascii="Palatino Linotype" w:hAnsi="Palatino Linotype" w:eastAsia="Palatino Linotype" w:cs="Times New Roman"/>
          <w:color w:val="000000" w:themeColor="text1"/>
        </w:rPr>
        <w:t>To ensure public transparency</w:t>
      </w:r>
      <w:r w:rsidRPr="00391600" w:rsidR="0013595F">
        <w:rPr>
          <w:rFonts w:ascii="Palatino Linotype" w:hAnsi="Palatino Linotype" w:eastAsia="Palatino Linotype" w:cs="Times New Roman"/>
          <w:color w:val="000000" w:themeColor="text1"/>
        </w:rPr>
        <w:t xml:space="preserve">, </w:t>
      </w:r>
      <w:r w:rsidRPr="00391600" w:rsidR="007707AD">
        <w:rPr>
          <w:rFonts w:ascii="Palatino Linotype" w:hAnsi="Palatino Linotype" w:eastAsia="Palatino Linotype" w:cs="Times New Roman"/>
          <w:color w:val="000000" w:themeColor="text1"/>
        </w:rPr>
        <w:t>demonstrate continuity across cycles,</w:t>
      </w:r>
      <w:r w:rsidRPr="00391600" w:rsidR="7F7824EB">
        <w:rPr>
          <w:rFonts w:ascii="Palatino Linotype" w:hAnsi="Palatino Linotype" w:eastAsia="Palatino Linotype" w:cs="Times New Roman"/>
          <w:color w:val="000000" w:themeColor="text1"/>
        </w:rPr>
        <w:t xml:space="preserve"> and </w:t>
      </w:r>
      <w:r w:rsidRPr="00391600" w:rsidR="00297368">
        <w:rPr>
          <w:rFonts w:ascii="Palatino Linotype" w:hAnsi="Palatino Linotype" w:eastAsia="Palatino Linotype" w:cs="Times New Roman"/>
          <w:color w:val="000000" w:themeColor="text1"/>
        </w:rPr>
        <w:t>inform</w:t>
      </w:r>
      <w:r w:rsidRPr="00391600" w:rsidR="00D206FB">
        <w:rPr>
          <w:rFonts w:ascii="Palatino Linotype" w:hAnsi="Palatino Linotype" w:eastAsia="Palatino Linotype" w:cs="Times New Roman"/>
          <w:color w:val="000000" w:themeColor="text1"/>
        </w:rPr>
        <w:t xml:space="preserve"> </w:t>
      </w:r>
      <w:r w:rsidRPr="00391600" w:rsidR="7F7824EB">
        <w:rPr>
          <w:rFonts w:ascii="Palatino Linotype" w:hAnsi="Palatino Linotype" w:eastAsia="Palatino Linotype" w:cs="Times New Roman"/>
          <w:color w:val="000000" w:themeColor="text1"/>
        </w:rPr>
        <w:t>CPUC oversight, the CEC shall</w:t>
      </w:r>
      <w:r w:rsidRPr="00391600" w:rsidR="00977374">
        <w:rPr>
          <w:rFonts w:ascii="Palatino Linotype" w:hAnsi="Palatino Linotype" w:eastAsia="Palatino Linotype" w:cs="Times New Roman"/>
          <w:color w:val="000000" w:themeColor="text1"/>
        </w:rPr>
        <w:t xml:space="preserve"> utiliz</w:t>
      </w:r>
      <w:r w:rsidRPr="00391600" w:rsidR="002A2FA3">
        <w:rPr>
          <w:rFonts w:ascii="Palatino Linotype" w:hAnsi="Palatino Linotype" w:eastAsia="Palatino Linotype" w:cs="Times New Roman"/>
          <w:color w:val="000000" w:themeColor="text1"/>
        </w:rPr>
        <w:t>e</w:t>
      </w:r>
      <w:r w:rsidRPr="00391600" w:rsidR="00977374">
        <w:rPr>
          <w:rFonts w:ascii="Palatino Linotype" w:hAnsi="Palatino Linotype" w:eastAsia="Palatino Linotype" w:cs="Times New Roman"/>
          <w:color w:val="000000" w:themeColor="text1"/>
        </w:rPr>
        <w:t xml:space="preserve"> </w:t>
      </w:r>
      <w:r w:rsidRPr="00391600" w:rsidR="00F81165">
        <w:rPr>
          <w:rFonts w:ascii="Palatino Linotype" w:hAnsi="Palatino Linotype" w:eastAsia="Palatino Linotype" w:cs="Times New Roman"/>
          <w:color w:val="000000" w:themeColor="text1"/>
        </w:rPr>
        <w:t>a standardized template</w:t>
      </w:r>
      <w:r w:rsidRPr="00391600" w:rsidR="003F2779">
        <w:rPr>
          <w:rFonts w:ascii="Palatino Linotype" w:hAnsi="Palatino Linotype" w:eastAsia="Palatino Linotype" w:cs="Times New Roman"/>
          <w:color w:val="000000" w:themeColor="text1"/>
        </w:rPr>
        <w:t xml:space="preserve"> provided by E</w:t>
      </w:r>
      <w:r w:rsidRPr="00391600" w:rsidR="00D4500E">
        <w:rPr>
          <w:rFonts w:ascii="Palatino Linotype" w:hAnsi="Palatino Linotype" w:eastAsia="Palatino Linotype" w:cs="Times New Roman"/>
          <w:color w:val="000000" w:themeColor="text1"/>
        </w:rPr>
        <w:t>nergy Division s</w:t>
      </w:r>
      <w:r w:rsidRPr="00391600" w:rsidR="003F2779">
        <w:rPr>
          <w:rFonts w:ascii="Palatino Linotype" w:hAnsi="Palatino Linotype" w:eastAsia="Palatino Linotype" w:cs="Times New Roman"/>
          <w:color w:val="000000" w:themeColor="text1"/>
        </w:rPr>
        <w:t>taff</w:t>
      </w:r>
      <w:r w:rsidRPr="00391600" w:rsidR="00C33482">
        <w:rPr>
          <w:rFonts w:ascii="Palatino Linotype" w:hAnsi="Palatino Linotype" w:eastAsia="Palatino Linotype" w:cs="Times New Roman"/>
          <w:color w:val="000000" w:themeColor="text1"/>
        </w:rPr>
        <w:t xml:space="preserve"> to</w:t>
      </w:r>
      <w:r w:rsidRPr="00391600" w:rsidR="00DF1559">
        <w:rPr>
          <w:rFonts w:ascii="Palatino Linotype" w:hAnsi="Palatino Linotype" w:eastAsia="Palatino Linotype" w:cs="Times New Roman"/>
          <w:color w:val="000000" w:themeColor="text1"/>
        </w:rPr>
        <w:t xml:space="preserve"> </w:t>
      </w:r>
      <w:r w:rsidRPr="00391600" w:rsidR="006750DA">
        <w:rPr>
          <w:rFonts w:ascii="Palatino Linotype" w:hAnsi="Palatino Linotype" w:eastAsia="Palatino Linotype" w:cs="Times New Roman"/>
          <w:color w:val="000000" w:themeColor="text1"/>
        </w:rPr>
        <w:t>include</w:t>
      </w:r>
      <w:r w:rsidRPr="00391600" w:rsidR="00243270">
        <w:rPr>
          <w:rFonts w:ascii="Palatino Linotype" w:hAnsi="Palatino Linotype" w:eastAsia="Palatino Linotype" w:cs="Times New Roman"/>
          <w:color w:val="000000" w:themeColor="text1"/>
        </w:rPr>
        <w:t xml:space="preserve"> at a minimum</w:t>
      </w:r>
      <w:r w:rsidRPr="00391600" w:rsidR="00B26539">
        <w:rPr>
          <w:rFonts w:ascii="Palatino Linotype" w:hAnsi="Palatino Linotype" w:eastAsia="Palatino Linotype" w:cs="Times New Roman"/>
          <w:color w:val="000000" w:themeColor="text1"/>
        </w:rPr>
        <w:t>:</w:t>
      </w:r>
      <w:r w:rsidRPr="00391600" w:rsidR="7F7824EB">
        <w:rPr>
          <w:rFonts w:ascii="Palatino Linotype" w:hAnsi="Palatino Linotype" w:eastAsia="Palatino Linotype" w:cs="Times New Roman"/>
          <w:color w:val="000000" w:themeColor="text1"/>
        </w:rPr>
        <w:t xml:space="preserve"> </w:t>
      </w:r>
    </w:p>
    <w:p w:rsidRPr="00391600" w:rsidR="00B26539" w:rsidP="00FA7CB7" w:rsidRDefault="00DF1559" w14:paraId="7F8EC248" w14:textId="66F910B7">
      <w:pPr>
        <w:pStyle w:val="ListParagraph"/>
        <w:numPr>
          <w:ilvl w:val="0"/>
          <w:numId w:val="61"/>
        </w:num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C</w:t>
      </w:r>
      <w:r w:rsidRPr="00391600" w:rsidR="002060F4">
        <w:rPr>
          <w:rFonts w:ascii="Palatino Linotype" w:hAnsi="Palatino Linotype" w:eastAsia="Palatino Linotype" w:cs="Times New Roman"/>
          <w:color w:val="000000" w:themeColor="text1"/>
        </w:rPr>
        <w:t xml:space="preserve">onsolidated, comprehensive </w:t>
      </w:r>
      <w:r w:rsidRPr="00391600" w:rsidR="35A5CA7C">
        <w:rPr>
          <w:rFonts w:ascii="Palatino Linotype" w:hAnsi="Palatino Linotype" w:eastAsia="Palatino Linotype" w:cs="Times New Roman"/>
          <w:color w:val="000000" w:themeColor="text1"/>
        </w:rPr>
        <w:t xml:space="preserve">budget status </w:t>
      </w:r>
      <w:r w:rsidRPr="00391600" w:rsidR="002060F4">
        <w:rPr>
          <w:rFonts w:ascii="Palatino Linotype" w:hAnsi="Palatino Linotype" w:eastAsia="Palatino Linotype" w:cs="Times New Roman"/>
          <w:color w:val="000000" w:themeColor="text1"/>
        </w:rPr>
        <w:t>reporting by i</w:t>
      </w:r>
      <w:r w:rsidRPr="00391600" w:rsidR="15036C89">
        <w:rPr>
          <w:rFonts w:ascii="Palatino Linotype" w:hAnsi="Palatino Linotype" w:eastAsia="Palatino Linotype" w:cs="Times New Roman"/>
          <w:color w:val="000000" w:themeColor="text1"/>
        </w:rPr>
        <w:t>ncorporat</w:t>
      </w:r>
      <w:r w:rsidRPr="00391600" w:rsidR="002060F4">
        <w:rPr>
          <w:rFonts w:ascii="Palatino Linotype" w:hAnsi="Palatino Linotype" w:eastAsia="Palatino Linotype" w:cs="Times New Roman"/>
          <w:color w:val="000000" w:themeColor="text1"/>
        </w:rPr>
        <w:t>ing</w:t>
      </w:r>
      <w:r w:rsidRPr="00391600" w:rsidR="15036C89">
        <w:rPr>
          <w:rFonts w:ascii="Palatino Linotype" w:hAnsi="Palatino Linotype" w:eastAsia="Palatino Linotype" w:cs="Times New Roman"/>
          <w:color w:val="000000" w:themeColor="text1"/>
        </w:rPr>
        <w:t xml:space="preserve"> </w:t>
      </w:r>
      <w:r w:rsidRPr="00391600" w:rsidR="004715F5">
        <w:rPr>
          <w:rFonts w:ascii="Palatino Linotype" w:hAnsi="Palatino Linotype" w:eastAsia="Palatino Linotype" w:cs="Times New Roman"/>
          <w:color w:val="000000" w:themeColor="text1"/>
        </w:rPr>
        <w:t>the</w:t>
      </w:r>
      <w:r w:rsidRPr="00391600" w:rsidR="15036C89">
        <w:rPr>
          <w:rFonts w:ascii="Palatino Linotype" w:hAnsi="Palatino Linotype" w:eastAsia="Palatino Linotype" w:cs="Times New Roman"/>
          <w:color w:val="000000" w:themeColor="text1"/>
        </w:rPr>
        <w:t xml:space="preserve"> </w:t>
      </w:r>
      <w:r w:rsidRPr="00391600" w:rsidR="004715F5">
        <w:rPr>
          <w:rFonts w:ascii="Palatino Linotype" w:hAnsi="Palatino Linotype" w:eastAsia="Palatino Linotype" w:cs="Times New Roman"/>
          <w:color w:val="000000" w:themeColor="text1"/>
        </w:rPr>
        <w:t xml:space="preserve">approved </w:t>
      </w:r>
      <w:r w:rsidRPr="00391600" w:rsidR="00E4518E">
        <w:rPr>
          <w:rFonts w:ascii="Palatino Linotype" w:hAnsi="Palatino Linotype" w:eastAsia="Palatino Linotype" w:cs="Times New Roman"/>
          <w:color w:val="000000" w:themeColor="text1"/>
        </w:rPr>
        <w:t>fund</w:t>
      </w:r>
      <w:r w:rsidRPr="00391600" w:rsidR="004715F5">
        <w:rPr>
          <w:rFonts w:ascii="Palatino Linotype" w:hAnsi="Palatino Linotype" w:eastAsia="Palatino Linotype" w:cs="Times New Roman"/>
          <w:color w:val="000000" w:themeColor="text1"/>
        </w:rPr>
        <w:t>ing</w:t>
      </w:r>
      <w:r w:rsidRPr="00391600" w:rsidR="00E4518E">
        <w:rPr>
          <w:rFonts w:ascii="Palatino Linotype" w:hAnsi="Palatino Linotype" w:eastAsia="Palatino Linotype" w:cs="Times New Roman"/>
          <w:color w:val="000000" w:themeColor="text1"/>
        </w:rPr>
        <w:t xml:space="preserve"> balance</w:t>
      </w:r>
      <w:r w:rsidRPr="00391600" w:rsidR="15036C89">
        <w:rPr>
          <w:rFonts w:ascii="Palatino Linotype" w:hAnsi="Palatino Linotype" w:eastAsia="Palatino Linotype" w:cs="Times New Roman"/>
          <w:color w:val="000000" w:themeColor="text1"/>
        </w:rPr>
        <w:t xml:space="preserve"> reporting required in</w:t>
      </w:r>
      <w:r w:rsidRPr="00391600" w:rsidR="7DD5AB7D">
        <w:rPr>
          <w:rFonts w:ascii="Palatino Linotype" w:hAnsi="Palatino Linotype" w:eastAsia="Palatino Linotype" w:cs="Times New Roman"/>
          <w:color w:val="000000" w:themeColor="text1"/>
        </w:rPr>
        <w:t xml:space="preserve"> the</w:t>
      </w:r>
      <w:r w:rsidRPr="00391600" w:rsidR="15036C89">
        <w:rPr>
          <w:rFonts w:ascii="Palatino Linotype" w:hAnsi="Palatino Linotype" w:eastAsia="Palatino Linotype" w:cs="Times New Roman"/>
          <w:color w:val="000000" w:themeColor="text1"/>
        </w:rPr>
        <w:t xml:space="preserve"> </w:t>
      </w:r>
      <w:r w:rsidRPr="00391600" w:rsidR="00103449">
        <w:rPr>
          <w:rFonts w:ascii="Palatino Linotype" w:hAnsi="Palatino Linotype" w:eastAsia="Palatino Linotype" w:cs="Times New Roman"/>
          <w:color w:val="000000" w:themeColor="text1"/>
        </w:rPr>
        <w:t>semi-annual Tier 1 ALs</w:t>
      </w:r>
      <w:r w:rsidRPr="00391600" w:rsidR="00DC0CF2">
        <w:rPr>
          <w:rFonts w:ascii="Palatino Linotype" w:hAnsi="Palatino Linotype" w:eastAsia="Palatino Linotype" w:cs="Times New Roman"/>
          <w:color w:val="000000" w:themeColor="text1"/>
        </w:rPr>
        <w:t xml:space="preserve"> as described above</w:t>
      </w:r>
      <w:r w:rsidRPr="00391600" w:rsidR="7F7824EB">
        <w:rPr>
          <w:rFonts w:ascii="Palatino Linotype" w:hAnsi="Palatino Linotype" w:eastAsia="Palatino Linotype" w:cs="Times New Roman"/>
          <w:color w:val="000000" w:themeColor="text1"/>
        </w:rPr>
        <w:t>.</w:t>
      </w:r>
    </w:p>
    <w:p w:rsidRPr="00391600" w:rsidR="0077506D" w:rsidP="00FA7CB7" w:rsidRDefault="0077506D" w14:paraId="07EE4E39" w14:textId="77777777">
      <w:pPr>
        <w:pStyle w:val="ListParagraph"/>
        <w:numPr>
          <w:ilvl w:val="0"/>
          <w:numId w:val="61"/>
        </w:num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Synthesized major accomplishments and contributions to Gas RD&amp;D. </w:t>
      </w:r>
    </w:p>
    <w:p w:rsidRPr="00391600" w:rsidR="00B31A3F" w:rsidP="00B31A3F" w:rsidRDefault="0009435B" w14:paraId="5F69AA87" w14:textId="23CD9869">
      <w:pPr>
        <w:pStyle w:val="ListParagraph"/>
        <w:numPr>
          <w:ilvl w:val="0"/>
          <w:numId w:val="61"/>
        </w:numPr>
        <w:spacing w:after="0"/>
        <w:rPr>
          <w:rFonts w:ascii="Palatino Linotype" w:hAnsi="Palatino Linotype" w:eastAsia="Palatino Linotype" w:cs="Times New Roman"/>
          <w:color w:val="000000" w:themeColor="text1"/>
        </w:rPr>
      </w:pPr>
      <w:r w:rsidRPr="00391600">
        <w:rPr>
          <w:rFonts w:ascii="Palatino Linotype" w:hAnsi="Palatino Linotype" w:eastAsia="Palatino Linotype" w:cs="Palatino Linotype"/>
          <w:color w:val="000000" w:themeColor="text1"/>
        </w:rPr>
        <w:t>Information on</w:t>
      </w:r>
      <w:r w:rsidRPr="00391600" w:rsidR="20DE20D8">
        <w:rPr>
          <w:rFonts w:ascii="Palatino Linotype" w:hAnsi="Palatino Linotype" w:eastAsia="Palatino Linotype" w:cs="Palatino Linotype"/>
          <w:color w:val="000000" w:themeColor="text1"/>
        </w:rPr>
        <w:t xml:space="preserve"> all projects completed in the reporting period by Plan year and associated Initiative, including details on total </w:t>
      </w:r>
      <w:proofErr w:type="gramStart"/>
      <w:r w:rsidRPr="00391600" w:rsidR="20DE20D8">
        <w:rPr>
          <w:rFonts w:ascii="Palatino Linotype" w:hAnsi="Palatino Linotype" w:eastAsia="Palatino Linotype" w:cs="Palatino Linotype"/>
          <w:color w:val="000000" w:themeColor="text1"/>
        </w:rPr>
        <w:t>spend</w:t>
      </w:r>
      <w:proofErr w:type="gramEnd"/>
      <w:r w:rsidRPr="00391600" w:rsidR="20DE20D8">
        <w:rPr>
          <w:rFonts w:ascii="Palatino Linotype" w:hAnsi="Palatino Linotype" w:eastAsia="Palatino Linotype" w:cs="Palatino Linotype"/>
          <w:color w:val="000000" w:themeColor="text1"/>
        </w:rPr>
        <w:t>, realized ratepayer benefits</w:t>
      </w:r>
      <w:r w:rsidRPr="00391600" w:rsidR="1B0812FB">
        <w:rPr>
          <w:rFonts w:ascii="Palatino Linotype" w:hAnsi="Palatino Linotype" w:eastAsia="Palatino Linotype" w:cs="Palatino Linotype"/>
          <w:color w:val="000000" w:themeColor="text1"/>
        </w:rPr>
        <w:t>, and any project outcome</w:t>
      </w:r>
      <w:r w:rsidRPr="00391600" w:rsidR="00B31A3F">
        <w:rPr>
          <w:rFonts w:ascii="Palatino Linotype" w:hAnsi="Palatino Linotype" w:eastAsia="Palatino Linotype" w:cs="Palatino Linotype"/>
          <w:color w:val="000000" w:themeColor="text1"/>
        </w:rPr>
        <w:t>s.</w:t>
      </w:r>
    </w:p>
    <w:p w:rsidRPr="00391600" w:rsidR="006A0099" w:rsidP="00FA7CB7" w:rsidRDefault="0009435B" w14:paraId="0650F781" w14:textId="09700223">
      <w:pPr>
        <w:pStyle w:val="ListParagraph"/>
        <w:numPr>
          <w:ilvl w:val="0"/>
          <w:numId w:val="61"/>
        </w:numPr>
        <w:spacing w:after="0"/>
        <w:rPr>
          <w:rFonts w:ascii="Palatino Linotype" w:hAnsi="Palatino Linotype" w:eastAsia="Palatino Linotype" w:cs="Times New Roman"/>
          <w:color w:val="000000" w:themeColor="text1"/>
        </w:rPr>
      </w:pPr>
      <w:r w:rsidRPr="00391600">
        <w:rPr>
          <w:rFonts w:ascii="Palatino Linotype" w:hAnsi="Palatino Linotype" w:eastAsia="Palatino Linotype" w:cs="Palatino Linotype"/>
          <w:color w:val="000000" w:themeColor="text1"/>
        </w:rPr>
        <w:t>Information on</w:t>
      </w:r>
      <w:r w:rsidRPr="00391600" w:rsidR="20DE20D8">
        <w:rPr>
          <w:rFonts w:ascii="Palatino Linotype" w:hAnsi="Palatino Linotype" w:eastAsia="Palatino Linotype" w:cs="Palatino Linotype"/>
          <w:color w:val="000000" w:themeColor="text1"/>
        </w:rPr>
        <w:t xml:space="preserve"> all active </w:t>
      </w:r>
      <w:r w:rsidRPr="00391600" w:rsidR="77BA08FD">
        <w:rPr>
          <w:rFonts w:ascii="Palatino Linotype" w:hAnsi="Palatino Linotype" w:eastAsia="Palatino Linotype" w:cs="Palatino Linotype"/>
          <w:color w:val="000000" w:themeColor="text1"/>
        </w:rPr>
        <w:t xml:space="preserve">projects by Plan year and associated Initiative, including details on total encumbrance, total </w:t>
      </w:r>
      <w:proofErr w:type="gramStart"/>
      <w:r w:rsidRPr="00391600" w:rsidR="77BA08FD">
        <w:rPr>
          <w:rFonts w:ascii="Palatino Linotype" w:hAnsi="Palatino Linotype" w:eastAsia="Palatino Linotype" w:cs="Palatino Linotype"/>
          <w:color w:val="000000" w:themeColor="text1"/>
        </w:rPr>
        <w:t>spend</w:t>
      </w:r>
      <w:proofErr w:type="gramEnd"/>
      <w:r w:rsidRPr="00391600" w:rsidR="77BA08FD">
        <w:rPr>
          <w:rFonts w:ascii="Palatino Linotype" w:hAnsi="Palatino Linotype" w:eastAsia="Palatino Linotype" w:cs="Palatino Linotype"/>
          <w:color w:val="000000" w:themeColor="text1"/>
        </w:rPr>
        <w:t xml:space="preserve"> by the end of the reporting period, and key project outcomes or ratepayer benef</w:t>
      </w:r>
      <w:r w:rsidRPr="00391600" w:rsidR="55539BD7">
        <w:rPr>
          <w:rFonts w:ascii="Palatino Linotype" w:hAnsi="Palatino Linotype" w:eastAsia="Palatino Linotype" w:cs="Palatino Linotype"/>
          <w:color w:val="000000" w:themeColor="text1"/>
        </w:rPr>
        <w:t xml:space="preserve">its </w:t>
      </w:r>
      <w:r w:rsidRPr="00391600" w:rsidR="77BA08FD">
        <w:rPr>
          <w:rFonts w:ascii="Palatino Linotype" w:hAnsi="Palatino Linotype" w:eastAsia="Palatino Linotype" w:cs="Palatino Linotype"/>
          <w:color w:val="000000" w:themeColor="text1"/>
        </w:rPr>
        <w:t>to date.</w:t>
      </w:r>
      <w:r w:rsidRPr="00391600" w:rsidR="007E735C">
        <w:rPr>
          <w:rStyle w:val="FootnoteReference"/>
          <w:rFonts w:ascii="Palatino Linotype" w:hAnsi="Palatino Linotype" w:eastAsia="Palatino Linotype" w:cs="Times New Roman"/>
          <w:color w:val="000000" w:themeColor="text1"/>
        </w:rPr>
        <w:footnoteReference w:id="113"/>
      </w:r>
      <w:r w:rsidRPr="00391600" w:rsidR="77BA08FD">
        <w:rPr>
          <w:rFonts w:ascii="Palatino Linotype" w:hAnsi="Palatino Linotype" w:eastAsia="Palatino Linotype" w:cs="Palatino Linotype"/>
          <w:color w:val="000000" w:themeColor="text1"/>
        </w:rPr>
        <w:t xml:space="preserve"> </w:t>
      </w:r>
      <w:r w:rsidRPr="00391600" w:rsidR="004717CF">
        <w:rPr>
          <w:rFonts w:ascii="Palatino Linotype" w:hAnsi="Palatino Linotype" w:eastAsia="Palatino Linotype" w:cs="Times New Roman"/>
          <w:color w:val="000000" w:themeColor="text1"/>
        </w:rPr>
        <w:t xml:space="preserve"> </w:t>
      </w:r>
    </w:p>
    <w:p w:rsidRPr="00391600" w:rsidR="00104FBE" w:rsidP="00104FBE" w:rsidRDefault="00104FBE" w14:paraId="465D217F" w14:textId="77777777">
      <w:pPr>
        <w:spacing w:after="0" w:line="276" w:lineRule="auto"/>
        <w:rPr>
          <w:rFonts w:ascii="Palatino Linotype" w:hAnsi="Palatino Linotype" w:eastAsia="Century Gothic" w:cs="Century Gothic"/>
          <w:i/>
          <w:iCs/>
          <w:color w:val="000000" w:themeColor="text1"/>
        </w:rPr>
      </w:pPr>
    </w:p>
    <w:p w:rsidRPr="00391600" w:rsidR="000C0FC2" w:rsidP="00ED65F7" w:rsidRDefault="00BC410F" w14:paraId="066996D7" w14:textId="77777777">
      <w:pPr>
        <w:spacing w:line="276" w:lineRule="auto"/>
        <w:rPr>
          <w:rFonts w:ascii="Palatino Linotype" w:hAnsi="Palatino Linotype" w:eastAsia="Century Gothic" w:cs="Century Gothic"/>
          <w:i/>
          <w:iCs/>
          <w:color w:val="000000" w:themeColor="text1"/>
        </w:rPr>
      </w:pPr>
      <w:r w:rsidRPr="00391600">
        <w:rPr>
          <w:rFonts w:ascii="Palatino Linotype" w:hAnsi="Palatino Linotype" w:eastAsia="Century Gothic" w:cs="Century Gothic"/>
          <w:i/>
          <w:iCs/>
          <w:color w:val="000000" w:themeColor="text1"/>
        </w:rPr>
        <w:t xml:space="preserve">Prudent Funding Timeframes for Ratepayer Funds </w:t>
      </w:r>
    </w:p>
    <w:p w:rsidRPr="00391600" w:rsidR="00C32F30" w:rsidP="00ED65F7" w:rsidRDefault="001E275E" w14:paraId="5C3087EC" w14:textId="46675D0D">
      <w:pPr>
        <w:spacing w:line="276" w:lineRule="auto"/>
        <w:rPr>
          <w:rFonts w:ascii="Palatino Linotype" w:hAnsi="Palatino Linotype"/>
        </w:rPr>
      </w:pPr>
      <w:r w:rsidRPr="00391600">
        <w:rPr>
          <w:rFonts w:ascii="Palatino Linotype" w:hAnsi="Palatino Linotype" w:eastAsia="Palatino Linotype" w:cs="Times New Roman"/>
          <w:color w:val="000000" w:themeColor="text1"/>
        </w:rPr>
        <w:t>As described above, prior to the CPUC issuing a draft resolution addressing Gas RD&amp;D Plans, Energy Division must verify the CEC’s balances of approved funds to offset new and/or additional ratepayer costs accordingly.</w:t>
      </w:r>
      <w:r w:rsidRPr="00391600" w:rsidR="008421D3">
        <w:rPr>
          <w:rStyle w:val="FootnoteReference"/>
          <w:rFonts w:ascii="Palatino Linotype" w:hAnsi="Palatino Linotype"/>
          <w:color w:val="000000" w:themeColor="text1"/>
        </w:rPr>
        <w:footnoteReference w:id="114"/>
      </w:r>
      <w:r w:rsidRPr="00391600" w:rsidR="008421D3">
        <w:rPr>
          <w:rFonts w:ascii="Palatino Linotype" w:hAnsi="Palatino Linotype" w:eastAsia="Palatino Linotype" w:cs="Times New Roman"/>
          <w:color w:val="000000" w:themeColor="text1"/>
        </w:rPr>
        <w:t xml:space="preserve"> </w:t>
      </w:r>
    </w:p>
    <w:p w:rsidRPr="00391600" w:rsidR="00E3238F" w:rsidP="00F96484" w:rsidRDefault="008421D3" w14:paraId="0B982971" w14:textId="1A74985A">
      <w:p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In this Resolution, the Commission </w:t>
      </w:r>
      <w:r w:rsidRPr="00391600" w:rsidR="00FA1597">
        <w:rPr>
          <w:rFonts w:ascii="Palatino Linotype" w:hAnsi="Palatino Linotype" w:eastAsia="Palatino Linotype" w:cs="Times New Roman"/>
          <w:color w:val="000000" w:themeColor="text1"/>
        </w:rPr>
        <w:t xml:space="preserve">clarifies </w:t>
      </w:r>
      <w:r w:rsidRPr="00391600" w:rsidR="00920BF9">
        <w:rPr>
          <w:rFonts w:ascii="Palatino Linotype" w:hAnsi="Palatino Linotype" w:eastAsia="Palatino Linotype" w:cs="Times New Roman"/>
          <w:color w:val="000000" w:themeColor="text1"/>
        </w:rPr>
        <w:t xml:space="preserve">prudent timeframes </w:t>
      </w:r>
      <w:r w:rsidRPr="00391600" w:rsidR="00E537F7">
        <w:rPr>
          <w:rFonts w:ascii="Palatino Linotype" w:hAnsi="Palatino Linotype" w:eastAsia="Palatino Linotype" w:cs="Times New Roman"/>
          <w:color w:val="000000" w:themeColor="text1"/>
        </w:rPr>
        <w:t xml:space="preserve">to be utilized as best practices essential for </w:t>
      </w:r>
      <w:r w:rsidRPr="00391600" w:rsidR="00890DCA">
        <w:rPr>
          <w:rFonts w:ascii="Palatino Linotype" w:hAnsi="Palatino Linotype" w:eastAsia="Palatino Linotype" w:cs="Times New Roman"/>
          <w:color w:val="000000" w:themeColor="text1"/>
        </w:rPr>
        <w:t xml:space="preserve">diligent </w:t>
      </w:r>
      <w:r w:rsidRPr="00391600" w:rsidR="00E537F7">
        <w:rPr>
          <w:rFonts w:ascii="Palatino Linotype" w:hAnsi="Palatino Linotype" w:eastAsia="Palatino Linotype" w:cs="Times New Roman"/>
          <w:color w:val="000000" w:themeColor="text1"/>
        </w:rPr>
        <w:t>oversight and accountability of ratepayer dollars.</w:t>
      </w:r>
      <w:r w:rsidRPr="00391600" w:rsidR="001E275E">
        <w:rPr>
          <w:rStyle w:val="FootnoteReference"/>
          <w:rFonts w:ascii="Palatino Linotype" w:hAnsi="Palatino Linotype" w:eastAsia="Palatino Linotype" w:cs="Times New Roman"/>
          <w:color w:val="000000" w:themeColor="text1"/>
        </w:rPr>
        <w:footnoteReference w:id="115"/>
      </w:r>
      <w:r w:rsidRPr="00391600" w:rsidR="00661122">
        <w:rPr>
          <w:rFonts w:ascii="Palatino Linotype" w:hAnsi="Palatino Linotype" w:eastAsia="Palatino Linotype" w:cs="Times New Roman"/>
          <w:color w:val="000000" w:themeColor="text1"/>
        </w:rPr>
        <w:t xml:space="preserve"> The</w:t>
      </w:r>
      <w:r w:rsidRPr="00391600" w:rsidR="00F80F87">
        <w:rPr>
          <w:rFonts w:ascii="Palatino Linotype" w:hAnsi="Palatino Linotype" w:eastAsia="Palatino Linotype" w:cs="Times New Roman"/>
          <w:color w:val="000000" w:themeColor="text1"/>
        </w:rPr>
        <w:t>se</w:t>
      </w:r>
      <w:r w:rsidRPr="00391600" w:rsidR="00661122">
        <w:rPr>
          <w:rFonts w:ascii="Palatino Linotype" w:hAnsi="Palatino Linotype" w:eastAsia="Palatino Linotype" w:cs="Times New Roman"/>
          <w:color w:val="000000" w:themeColor="text1"/>
        </w:rPr>
        <w:t xml:space="preserve"> </w:t>
      </w:r>
      <w:r w:rsidRPr="00391600" w:rsidR="55CCD2F2">
        <w:rPr>
          <w:rFonts w:ascii="Palatino Linotype" w:hAnsi="Palatino Linotype" w:eastAsia="Palatino Linotype" w:cs="Times New Roman"/>
          <w:color w:val="000000" w:themeColor="text1"/>
        </w:rPr>
        <w:t xml:space="preserve">timeframes will </w:t>
      </w:r>
      <w:r w:rsidRPr="00391600" w:rsidR="00DA0CCE">
        <w:rPr>
          <w:rFonts w:ascii="Palatino Linotype" w:hAnsi="Palatino Linotype" w:eastAsia="Palatino Linotype" w:cs="Times New Roman"/>
          <w:color w:val="000000" w:themeColor="text1"/>
        </w:rPr>
        <w:t xml:space="preserve">serve to </w:t>
      </w:r>
      <w:r w:rsidRPr="00391600" w:rsidR="0033106F">
        <w:rPr>
          <w:rFonts w:ascii="Palatino Linotype" w:hAnsi="Palatino Linotype" w:eastAsia="Palatino Linotype" w:cs="Times New Roman"/>
          <w:color w:val="000000" w:themeColor="text1"/>
        </w:rPr>
        <w:t>prevent the significant accumulation of unspent ratepayer funds</w:t>
      </w:r>
      <w:r w:rsidRPr="00391600" w:rsidR="00DA0CCE">
        <w:rPr>
          <w:rFonts w:ascii="Palatino Linotype" w:hAnsi="Palatino Linotype" w:eastAsia="Palatino Linotype" w:cs="Times New Roman"/>
          <w:color w:val="000000" w:themeColor="text1"/>
        </w:rPr>
        <w:t xml:space="preserve"> </w:t>
      </w:r>
      <w:r w:rsidRPr="00391600" w:rsidR="009F707C">
        <w:rPr>
          <w:rFonts w:ascii="Palatino Linotype" w:hAnsi="Palatino Linotype" w:eastAsia="Palatino Linotype" w:cs="Times New Roman"/>
          <w:color w:val="000000" w:themeColor="text1"/>
        </w:rPr>
        <w:t xml:space="preserve">and promote </w:t>
      </w:r>
      <w:r w:rsidRPr="00391600" w:rsidR="000D5494">
        <w:rPr>
          <w:rFonts w:ascii="Palatino Linotype" w:hAnsi="Palatino Linotype" w:eastAsia="Palatino Linotype" w:cs="Times New Roman"/>
          <w:color w:val="000000" w:themeColor="text1"/>
        </w:rPr>
        <w:t xml:space="preserve">timely innovations </w:t>
      </w:r>
      <w:r w:rsidRPr="00391600" w:rsidR="00FB7082">
        <w:rPr>
          <w:rFonts w:ascii="Palatino Linotype" w:hAnsi="Palatino Linotype" w:eastAsia="Palatino Linotype" w:cs="Times New Roman"/>
          <w:color w:val="000000" w:themeColor="text1"/>
        </w:rPr>
        <w:t>to</w:t>
      </w:r>
      <w:r w:rsidRPr="00391600" w:rsidR="009F707C">
        <w:rPr>
          <w:rFonts w:ascii="Palatino Linotype" w:hAnsi="Palatino Linotype" w:eastAsia="Palatino Linotype" w:cs="Times New Roman"/>
          <w:color w:val="000000" w:themeColor="text1"/>
        </w:rPr>
        <w:t xml:space="preserve"> </w:t>
      </w:r>
      <w:r w:rsidRPr="00391600" w:rsidR="000D5494">
        <w:rPr>
          <w:rFonts w:ascii="Palatino Linotype" w:hAnsi="Palatino Linotype" w:eastAsia="Palatino Linotype" w:cs="Times New Roman"/>
          <w:color w:val="000000" w:themeColor="text1"/>
        </w:rPr>
        <w:t>support</w:t>
      </w:r>
      <w:r w:rsidRPr="00391600" w:rsidR="00895227">
        <w:rPr>
          <w:rFonts w:ascii="Palatino Linotype" w:hAnsi="Palatino Linotype" w:eastAsia="Palatino Linotype" w:cs="Times New Roman"/>
          <w:color w:val="000000" w:themeColor="text1"/>
        </w:rPr>
        <w:t xml:space="preserve"> </w:t>
      </w:r>
      <w:r w:rsidRPr="00391600" w:rsidR="00AA4954">
        <w:rPr>
          <w:rFonts w:ascii="Palatino Linotype" w:hAnsi="Palatino Linotype" w:eastAsia="Palatino Linotype" w:cs="Times New Roman"/>
          <w:color w:val="000000" w:themeColor="text1"/>
        </w:rPr>
        <w:t>evolving State energy policy pertaining to climate and affordability goals</w:t>
      </w:r>
      <w:r w:rsidRPr="00391600" w:rsidR="1B35A9BB">
        <w:rPr>
          <w:rFonts w:ascii="Palatino Linotype" w:hAnsi="Palatino Linotype" w:eastAsia="Palatino Linotype" w:cs="Times New Roman"/>
          <w:color w:val="000000" w:themeColor="text1"/>
        </w:rPr>
        <w:t xml:space="preserve">.  </w:t>
      </w:r>
    </w:p>
    <w:p w:rsidRPr="00391600" w:rsidR="001D450C" w:rsidP="00C32F30" w:rsidRDefault="1B35A9BB" w14:paraId="2340961B" w14:textId="43FFC64D">
      <w:p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The CPUC expects the CEC to encumber </w:t>
      </w:r>
      <w:r w:rsidRPr="00391600" w:rsidR="00A62009">
        <w:rPr>
          <w:rFonts w:ascii="Palatino Linotype" w:hAnsi="Palatino Linotype" w:eastAsia="Palatino Linotype" w:cs="Times New Roman"/>
          <w:color w:val="000000" w:themeColor="text1"/>
        </w:rPr>
        <w:t>G</w:t>
      </w:r>
      <w:r w:rsidRPr="00391600">
        <w:rPr>
          <w:rFonts w:ascii="Palatino Linotype" w:hAnsi="Palatino Linotype" w:eastAsia="Palatino Linotype" w:cs="Times New Roman"/>
          <w:color w:val="000000" w:themeColor="text1"/>
        </w:rPr>
        <w:t xml:space="preserve">as RD&amp;D </w:t>
      </w:r>
      <w:r w:rsidRPr="00391600" w:rsidR="006711E4">
        <w:rPr>
          <w:rFonts w:ascii="Palatino Linotype" w:hAnsi="Palatino Linotype" w:eastAsia="Palatino Linotype" w:cs="Times New Roman"/>
          <w:color w:val="000000" w:themeColor="text1"/>
        </w:rPr>
        <w:t>P</w:t>
      </w:r>
      <w:r w:rsidRPr="00391600">
        <w:rPr>
          <w:rFonts w:ascii="Palatino Linotype" w:hAnsi="Palatino Linotype" w:eastAsia="Palatino Linotype" w:cs="Times New Roman"/>
          <w:color w:val="000000" w:themeColor="text1"/>
        </w:rPr>
        <w:t>lan fund</w:t>
      </w:r>
      <w:r w:rsidRPr="00391600" w:rsidR="006711E4">
        <w:rPr>
          <w:rFonts w:ascii="Palatino Linotype" w:hAnsi="Palatino Linotype" w:eastAsia="Palatino Linotype" w:cs="Times New Roman"/>
          <w:color w:val="000000" w:themeColor="text1"/>
        </w:rPr>
        <w:t>s</w:t>
      </w:r>
      <w:r w:rsidRPr="00391600">
        <w:rPr>
          <w:rFonts w:ascii="Palatino Linotype" w:hAnsi="Palatino Linotype" w:eastAsia="Palatino Linotype" w:cs="Times New Roman"/>
          <w:color w:val="000000" w:themeColor="text1"/>
        </w:rPr>
        <w:t xml:space="preserve"> within two years of</w:t>
      </w:r>
      <w:r w:rsidRPr="00391600" w:rsidR="006711E4">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approval</w:t>
      </w:r>
      <w:r w:rsidRPr="00391600" w:rsidR="006711E4">
        <w:rPr>
          <w:rFonts w:ascii="Palatino Linotype" w:hAnsi="Palatino Linotype" w:eastAsia="Palatino Linotype" w:cs="Times New Roman"/>
          <w:color w:val="000000" w:themeColor="text1"/>
        </w:rPr>
        <w:t xml:space="preserve"> and </w:t>
      </w:r>
      <w:r w:rsidRPr="00391600">
        <w:rPr>
          <w:rFonts w:ascii="Palatino Linotype" w:hAnsi="Palatino Linotype" w:eastAsia="Palatino Linotype" w:cs="Times New Roman"/>
          <w:color w:val="000000" w:themeColor="text1"/>
        </w:rPr>
        <w:t>to spend the</w:t>
      </w:r>
      <w:r w:rsidRPr="00391600" w:rsidR="006711E4">
        <w:rPr>
          <w:rFonts w:ascii="Palatino Linotype" w:hAnsi="Palatino Linotype" w:eastAsia="Palatino Linotype" w:cs="Times New Roman"/>
          <w:color w:val="000000" w:themeColor="text1"/>
        </w:rPr>
        <w:t xml:space="preserve"> encumbered</w:t>
      </w:r>
      <w:r w:rsidRPr="00391600">
        <w:rPr>
          <w:rFonts w:ascii="Palatino Linotype" w:hAnsi="Palatino Linotype" w:eastAsia="Palatino Linotype" w:cs="Times New Roman"/>
          <w:color w:val="000000" w:themeColor="text1"/>
        </w:rPr>
        <w:t xml:space="preserve"> fund</w:t>
      </w:r>
      <w:r w:rsidRPr="00391600" w:rsidR="006711E4">
        <w:rPr>
          <w:rFonts w:ascii="Palatino Linotype" w:hAnsi="Palatino Linotype" w:eastAsia="Palatino Linotype" w:cs="Times New Roman"/>
          <w:color w:val="000000" w:themeColor="text1"/>
        </w:rPr>
        <w:t>s</w:t>
      </w:r>
      <w:r w:rsidRPr="00391600">
        <w:rPr>
          <w:rFonts w:ascii="Palatino Linotype" w:hAnsi="Palatino Linotype" w:eastAsia="Palatino Linotype" w:cs="Times New Roman"/>
          <w:color w:val="000000" w:themeColor="text1"/>
        </w:rPr>
        <w:t xml:space="preserve"> within </w:t>
      </w:r>
      <w:r w:rsidRPr="00391600" w:rsidR="006711E4">
        <w:rPr>
          <w:rFonts w:ascii="Palatino Linotype" w:hAnsi="Palatino Linotype" w:eastAsia="Palatino Linotype" w:cs="Times New Roman"/>
          <w:color w:val="000000" w:themeColor="text1"/>
        </w:rPr>
        <w:t>four</w:t>
      </w:r>
      <w:r w:rsidRPr="00391600">
        <w:rPr>
          <w:rFonts w:ascii="Palatino Linotype" w:hAnsi="Palatino Linotype" w:eastAsia="Palatino Linotype" w:cs="Times New Roman"/>
          <w:color w:val="000000" w:themeColor="text1"/>
        </w:rPr>
        <w:t xml:space="preserve"> years of</w:t>
      </w:r>
      <w:r w:rsidRPr="00391600" w:rsidR="3CCCB6DF">
        <w:rPr>
          <w:rFonts w:ascii="Palatino Linotype" w:hAnsi="Palatino Linotype" w:eastAsia="Palatino Linotype" w:cs="Times New Roman"/>
          <w:color w:val="000000" w:themeColor="text1"/>
        </w:rPr>
        <w:t xml:space="preserve"> encumbrance. </w:t>
      </w:r>
      <w:r w:rsidRPr="00391600" w:rsidR="001D450C">
        <w:rPr>
          <w:rFonts w:ascii="Palatino Linotype" w:hAnsi="Palatino Linotype" w:eastAsia="Palatino Linotype" w:cs="Palatino Linotype"/>
          <w:color w:val="000000" w:themeColor="text1"/>
        </w:rPr>
        <w:t xml:space="preserve">The </w:t>
      </w:r>
      <w:r w:rsidRPr="00391600" w:rsidR="001D450C">
        <w:rPr>
          <w:rFonts w:ascii="Palatino Linotype" w:hAnsi="Palatino Linotype" w:eastAsia="Palatino Linotype" w:cs="Palatino Linotype"/>
          <w:color w:val="000000" w:themeColor="text1"/>
        </w:rPr>
        <w:lastRenderedPageBreak/>
        <w:t xml:space="preserve">CPUC also recognizes that CEC practice has been to grant extensions for some projects beyond the four years past initial encumbrance, due to extenuating circumstances. </w:t>
      </w:r>
      <w:r w:rsidRPr="00391600" w:rsidR="006711E4">
        <w:rPr>
          <w:rFonts w:ascii="Palatino Linotype" w:hAnsi="Palatino Linotype" w:eastAsia="Palatino Linotype" w:cs="Times New Roman"/>
          <w:color w:val="000000" w:themeColor="text1"/>
        </w:rPr>
        <w:t xml:space="preserve">As described above, </w:t>
      </w:r>
      <w:proofErr w:type="gramStart"/>
      <w:r w:rsidRPr="00391600" w:rsidR="001D450C">
        <w:rPr>
          <w:rFonts w:ascii="Palatino Linotype" w:hAnsi="Palatino Linotype" w:eastAsia="Palatino Linotype" w:cs="Palatino Linotype"/>
          <w:color w:val="000000" w:themeColor="text1"/>
        </w:rPr>
        <w:t>in order to</w:t>
      </w:r>
      <w:proofErr w:type="gramEnd"/>
      <w:r w:rsidRPr="00391600" w:rsidR="001D450C">
        <w:rPr>
          <w:rFonts w:ascii="Palatino Linotype" w:hAnsi="Palatino Linotype" w:eastAsia="Palatino Linotype" w:cs="Palatino Linotype"/>
          <w:color w:val="000000" w:themeColor="text1"/>
        </w:rPr>
        <w:t xml:space="preserve"> maintain the integrity of the timeframes </w:t>
      </w:r>
      <w:r w:rsidRPr="00391600" w:rsidR="006711E4">
        <w:rPr>
          <w:rFonts w:ascii="Palatino Linotype" w:hAnsi="Palatino Linotype" w:eastAsia="Palatino Linotype" w:cs="Times New Roman"/>
          <w:color w:val="000000" w:themeColor="text1"/>
        </w:rPr>
        <w:t xml:space="preserve">for unspent encumbered funds for which over four years have passed since encumbrance, </w:t>
      </w:r>
    </w:p>
    <w:p w:rsidRPr="00391600" w:rsidR="006711E4" w:rsidP="00C32F30" w:rsidRDefault="001D450C" w14:paraId="49FE2B17" w14:textId="0C649415">
      <w:pPr>
        <w:spacing w:after="0" w:line="276" w:lineRule="auto"/>
        <w:rPr>
          <w:rFonts w:ascii="Palatino Linotype" w:hAnsi="Palatino Linotype" w:eastAsia="Palatino Linotype" w:cs="Times New Roman"/>
          <w:color w:val="000000" w:themeColor="text1"/>
        </w:rPr>
      </w:pPr>
      <w:proofErr w:type="gramStart"/>
      <w:r w:rsidRPr="00391600">
        <w:rPr>
          <w:rFonts w:ascii="Palatino Linotype" w:hAnsi="Palatino Linotype" w:eastAsia="Palatino Linotype" w:cs="Palatino Linotype"/>
          <w:color w:val="000000" w:themeColor="text1"/>
        </w:rPr>
        <w:t>the</w:t>
      </w:r>
      <w:proofErr w:type="gramEnd"/>
      <w:r w:rsidRPr="00391600">
        <w:rPr>
          <w:rFonts w:ascii="Palatino Linotype" w:hAnsi="Palatino Linotype" w:eastAsia="Palatino Linotype" w:cs="Palatino Linotype"/>
          <w:color w:val="000000" w:themeColor="text1"/>
        </w:rPr>
        <w:t xml:space="preserve"> CEC shall request </w:t>
      </w:r>
      <w:proofErr w:type="gramStart"/>
      <w:r w:rsidRPr="00391600">
        <w:rPr>
          <w:rFonts w:ascii="Palatino Linotype" w:hAnsi="Palatino Linotype" w:eastAsia="Palatino Linotype" w:cs="Palatino Linotype"/>
          <w:color w:val="000000" w:themeColor="text1"/>
        </w:rPr>
        <w:t>of</w:t>
      </w:r>
      <w:proofErr w:type="gramEnd"/>
      <w:r w:rsidRPr="00391600">
        <w:rPr>
          <w:rFonts w:ascii="Palatino Linotype" w:hAnsi="Palatino Linotype" w:eastAsia="Palatino Linotype" w:cs="Palatino Linotype"/>
          <w:color w:val="000000" w:themeColor="text1"/>
        </w:rPr>
        <w:t xml:space="preserve"> Energy Division a limited extension of these timeframes, including justification for the additional time needed and</w:t>
      </w:r>
      <w:r w:rsidRPr="00391600">
        <w:rPr>
          <w:rFonts w:ascii="Palatino Linotype" w:hAnsi="Palatino Linotype"/>
          <w:color w:val="000000" w:themeColor="text1"/>
        </w:rPr>
        <w:t xml:space="preserve"> an attestation that spending on these projects is anticipated to be completed within a specific requested reasonable timeframe (e.g., within one additional year). </w:t>
      </w:r>
      <w:r w:rsidRPr="00391600">
        <w:rPr>
          <w:rFonts w:ascii="Palatino Linotype" w:hAnsi="Palatino Linotype" w:eastAsia="Palatino Linotype" w:cs="Palatino Linotype"/>
          <w:color w:val="000000" w:themeColor="text1"/>
        </w:rPr>
        <w:t>If funds are not anticipated to be and/or ultimately are not spent within the defined extended timeframe, the Commission expects these funds will be used to offset ratepayer costs for subsequent Gas RD&amp;D Plans</w:t>
      </w:r>
      <w:r w:rsidRPr="00391600" w:rsidR="00CA6392">
        <w:rPr>
          <w:rFonts w:ascii="Palatino Linotype" w:hAnsi="Palatino Linotype" w:eastAsia="Palatino Linotype" w:cs="Palatino Linotype"/>
          <w:color w:val="000000" w:themeColor="text1"/>
        </w:rPr>
        <w:t xml:space="preserve"> </w:t>
      </w:r>
      <w:r w:rsidRPr="00391600" w:rsidR="00AF0F0F">
        <w:rPr>
          <w:rFonts w:ascii="Palatino Linotype" w:hAnsi="Palatino Linotype" w:eastAsia="Palatino Linotype" w:cs="Times New Roman"/>
          <w:color w:val="000000" w:themeColor="text1"/>
        </w:rPr>
        <w:t>wit</w:t>
      </w:r>
      <w:r w:rsidRPr="00391600" w:rsidR="002F5D3D">
        <w:rPr>
          <w:rFonts w:ascii="Palatino Linotype" w:hAnsi="Palatino Linotype" w:eastAsia="Palatino Linotype" w:cs="Times New Roman"/>
          <w:color w:val="000000" w:themeColor="text1"/>
        </w:rPr>
        <w:t>h more timely Initiatives</w:t>
      </w:r>
      <w:r w:rsidRPr="00391600" w:rsidR="00AF0F0F">
        <w:rPr>
          <w:rFonts w:ascii="Palatino Linotype" w:hAnsi="Palatino Linotype" w:eastAsia="Palatino Linotype" w:cs="Times New Roman"/>
          <w:color w:val="000000" w:themeColor="text1"/>
        </w:rPr>
        <w:t>, as opposed to continu</w:t>
      </w:r>
      <w:r w:rsidRPr="00391600" w:rsidR="002F5D3D">
        <w:rPr>
          <w:rFonts w:ascii="Palatino Linotype" w:hAnsi="Palatino Linotype" w:eastAsia="Palatino Linotype" w:cs="Times New Roman"/>
          <w:color w:val="000000" w:themeColor="text1"/>
        </w:rPr>
        <w:t>ing to spend and encumber these funds on previous Plans.</w:t>
      </w:r>
    </w:p>
    <w:p w:rsidRPr="00391600" w:rsidR="006A0099" w:rsidP="008251CF" w:rsidRDefault="006A0099" w14:paraId="52B6DAAD" w14:textId="71AAE411">
      <w:pPr>
        <w:spacing w:before="24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Proactive </w:t>
      </w:r>
      <w:r w:rsidRPr="00391600" w:rsidR="00A610D5">
        <w:rPr>
          <w:rFonts w:ascii="Palatino Linotype" w:hAnsi="Palatino Linotype" w:eastAsia="Palatino Linotype" w:cs="Times New Roman"/>
          <w:color w:val="000000" w:themeColor="text1"/>
        </w:rPr>
        <w:t>interagency</w:t>
      </w:r>
      <w:r w:rsidRPr="00391600">
        <w:rPr>
          <w:rFonts w:ascii="Palatino Linotype" w:hAnsi="Palatino Linotype" w:eastAsia="Palatino Linotype" w:cs="Times New Roman"/>
          <w:color w:val="000000" w:themeColor="text1"/>
        </w:rPr>
        <w:t xml:space="preserve"> coordination </w:t>
      </w:r>
      <w:r w:rsidRPr="00391600" w:rsidR="00A610D5">
        <w:rPr>
          <w:rFonts w:ascii="Palatino Linotype" w:hAnsi="Palatino Linotype" w:eastAsia="Palatino Linotype" w:cs="Times New Roman"/>
          <w:color w:val="000000" w:themeColor="text1"/>
        </w:rPr>
        <w:t xml:space="preserve">and information sharing </w:t>
      </w:r>
      <w:r w:rsidRPr="00391600">
        <w:rPr>
          <w:rFonts w:ascii="Palatino Linotype" w:hAnsi="Palatino Linotype" w:eastAsia="Palatino Linotype" w:cs="Times New Roman"/>
          <w:color w:val="000000" w:themeColor="text1"/>
        </w:rPr>
        <w:t xml:space="preserve">on proposed Plans </w:t>
      </w:r>
      <w:r w:rsidRPr="00391600" w:rsidR="00FD019A">
        <w:rPr>
          <w:rFonts w:ascii="Palatino Linotype" w:hAnsi="Palatino Linotype" w:eastAsia="Palatino Linotype" w:cs="Times New Roman"/>
          <w:color w:val="000000" w:themeColor="text1"/>
        </w:rPr>
        <w:t xml:space="preserve">and implementation </w:t>
      </w:r>
      <w:r w:rsidRPr="00391600" w:rsidR="00C31F42">
        <w:rPr>
          <w:rFonts w:ascii="Palatino Linotype" w:hAnsi="Palatino Linotype" w:eastAsia="Palatino Linotype" w:cs="Times New Roman"/>
          <w:color w:val="000000" w:themeColor="text1"/>
        </w:rPr>
        <w:t xml:space="preserve">promotes </w:t>
      </w:r>
      <w:r w:rsidRPr="00391600" w:rsidR="006350E4">
        <w:rPr>
          <w:rFonts w:ascii="Palatino Linotype" w:hAnsi="Palatino Linotype" w:eastAsia="Palatino Linotype" w:cs="Times New Roman"/>
          <w:color w:val="000000" w:themeColor="text1"/>
        </w:rPr>
        <w:t xml:space="preserve">the </w:t>
      </w:r>
      <w:r w:rsidRPr="00391600" w:rsidR="008860CC">
        <w:rPr>
          <w:rFonts w:ascii="Palatino Linotype" w:hAnsi="Palatino Linotype" w:eastAsia="Palatino Linotype" w:cs="Times New Roman"/>
          <w:color w:val="000000" w:themeColor="text1"/>
        </w:rPr>
        <w:t xml:space="preserve">optimal and prudent use of ratepayer funds. </w:t>
      </w:r>
      <w:r w:rsidRPr="00391600" w:rsidR="00992807">
        <w:rPr>
          <w:rFonts w:ascii="Palatino Linotype" w:hAnsi="Palatino Linotype" w:eastAsia="Palatino Linotype" w:cs="Times New Roman"/>
          <w:color w:val="000000" w:themeColor="text1"/>
        </w:rPr>
        <w:t xml:space="preserve">For example, </w:t>
      </w:r>
      <w:r w:rsidRPr="00391600">
        <w:rPr>
          <w:rFonts w:ascii="Palatino Linotype" w:hAnsi="Palatino Linotype" w:eastAsia="Palatino Linotype" w:cs="Times New Roman"/>
          <w:color w:val="000000" w:themeColor="text1"/>
        </w:rPr>
        <w:t xml:space="preserve">pre-submittal </w:t>
      </w:r>
      <w:r w:rsidRPr="00391600" w:rsidR="5E6846BD">
        <w:rPr>
          <w:rFonts w:ascii="Palatino Linotype" w:hAnsi="Palatino Linotype" w:eastAsia="Palatino Linotype" w:cs="Times New Roman"/>
          <w:color w:val="000000" w:themeColor="text1"/>
        </w:rPr>
        <w:t xml:space="preserve">informal </w:t>
      </w:r>
      <w:r w:rsidRPr="00391600" w:rsidR="00F33758">
        <w:rPr>
          <w:rFonts w:ascii="Palatino Linotype" w:hAnsi="Palatino Linotype" w:eastAsia="Palatino Linotype" w:cs="Times New Roman"/>
          <w:color w:val="000000" w:themeColor="text1"/>
        </w:rPr>
        <w:t>c</w:t>
      </w:r>
      <w:r w:rsidRPr="00391600">
        <w:rPr>
          <w:rFonts w:ascii="Palatino Linotype" w:hAnsi="Palatino Linotype" w:eastAsia="Palatino Linotype" w:cs="Times New Roman"/>
          <w:color w:val="000000" w:themeColor="text1"/>
        </w:rPr>
        <w:t xml:space="preserve">onsultation with CPUC staff </w:t>
      </w:r>
      <w:r w:rsidRPr="00391600" w:rsidR="2C16E6E8">
        <w:rPr>
          <w:rFonts w:ascii="Palatino Linotype" w:hAnsi="Palatino Linotype" w:eastAsia="Palatino Linotype" w:cs="Times New Roman"/>
          <w:color w:val="000000" w:themeColor="text1"/>
        </w:rPr>
        <w:t xml:space="preserve">on upcoming GFOs </w:t>
      </w:r>
      <w:r w:rsidRPr="00391600" w:rsidR="00992807">
        <w:rPr>
          <w:rFonts w:ascii="Palatino Linotype" w:hAnsi="Palatino Linotype" w:eastAsia="Palatino Linotype" w:cs="Times New Roman"/>
          <w:color w:val="000000" w:themeColor="text1"/>
        </w:rPr>
        <w:t xml:space="preserve">is the first essential step </w:t>
      </w:r>
      <w:r w:rsidRPr="00391600" w:rsidR="00541A14">
        <w:rPr>
          <w:rFonts w:ascii="Palatino Linotype" w:hAnsi="Palatino Linotype" w:eastAsia="Palatino Linotype" w:cs="Times New Roman"/>
          <w:color w:val="000000" w:themeColor="text1"/>
        </w:rPr>
        <w:t>in</w:t>
      </w:r>
      <w:r w:rsidRPr="00391600" w:rsidR="00992807">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promot</w:t>
      </w:r>
      <w:r w:rsidRPr="00391600" w:rsidR="00541A14">
        <w:rPr>
          <w:rFonts w:ascii="Palatino Linotype" w:hAnsi="Palatino Linotype" w:eastAsia="Palatino Linotype" w:cs="Times New Roman"/>
          <w:color w:val="000000" w:themeColor="text1"/>
        </w:rPr>
        <w:t>ing</w:t>
      </w:r>
      <w:r w:rsidRPr="00391600">
        <w:rPr>
          <w:rFonts w:ascii="Palatino Linotype" w:hAnsi="Palatino Linotype" w:eastAsia="Palatino Linotype" w:cs="Times New Roman"/>
          <w:color w:val="000000" w:themeColor="text1"/>
        </w:rPr>
        <w:t xml:space="preserve"> alignment </w:t>
      </w:r>
      <w:r w:rsidRPr="00391600" w:rsidR="00725335">
        <w:rPr>
          <w:rFonts w:ascii="Palatino Linotype" w:hAnsi="Palatino Linotype" w:eastAsia="Palatino Linotype" w:cs="Times New Roman"/>
          <w:color w:val="000000" w:themeColor="text1"/>
        </w:rPr>
        <w:t>with ratepayer benefits</w:t>
      </w:r>
      <w:r w:rsidRPr="00391600" w:rsidR="00617FD0">
        <w:rPr>
          <w:rFonts w:ascii="Palatino Linotype" w:hAnsi="Palatino Linotype" w:eastAsia="Palatino Linotype" w:cs="Times New Roman"/>
          <w:color w:val="000000" w:themeColor="text1"/>
        </w:rPr>
        <w:t xml:space="preserve"> including</w:t>
      </w:r>
      <w:r w:rsidRPr="00391600" w:rsidR="00393A3D">
        <w:rPr>
          <w:rFonts w:ascii="Palatino Linotype" w:hAnsi="Palatino Linotype" w:eastAsia="Palatino Linotype" w:cs="Times New Roman"/>
          <w:color w:val="000000" w:themeColor="text1"/>
        </w:rPr>
        <w:t xml:space="preserve"> equity and</w:t>
      </w:r>
      <w:r w:rsidRPr="00391600" w:rsidR="00617FD0">
        <w:rPr>
          <w:rFonts w:ascii="Palatino Linotype" w:hAnsi="Palatino Linotype" w:eastAsia="Palatino Linotype" w:cs="Times New Roman"/>
          <w:color w:val="000000" w:themeColor="text1"/>
        </w:rPr>
        <w:t xml:space="preserve"> affordability</w:t>
      </w:r>
      <w:r w:rsidRPr="00391600">
        <w:rPr>
          <w:rFonts w:ascii="Palatino Linotype" w:hAnsi="Palatino Linotype"/>
          <w:color w:val="000000" w:themeColor="text1"/>
        </w:rPr>
        <w:t xml:space="preserve"> </w:t>
      </w:r>
      <w:r w:rsidRPr="00391600" w:rsidR="00452D39">
        <w:rPr>
          <w:rFonts w:ascii="Palatino Linotype" w:hAnsi="Palatino Linotype"/>
          <w:color w:val="000000" w:themeColor="text1"/>
        </w:rPr>
        <w:t xml:space="preserve">as well as creating </w:t>
      </w:r>
      <w:r w:rsidRPr="00391600">
        <w:rPr>
          <w:rFonts w:ascii="Palatino Linotype" w:hAnsi="Palatino Linotype"/>
          <w:color w:val="000000" w:themeColor="text1"/>
        </w:rPr>
        <w:t xml:space="preserve">efficiencies in </w:t>
      </w:r>
      <w:r w:rsidRPr="00391600" w:rsidR="006A2115">
        <w:rPr>
          <w:rFonts w:ascii="Palatino Linotype" w:hAnsi="Palatino Linotype"/>
          <w:color w:val="000000" w:themeColor="text1"/>
        </w:rPr>
        <w:t xml:space="preserve">CPUC </w:t>
      </w:r>
      <w:r w:rsidRPr="00391600">
        <w:rPr>
          <w:rFonts w:ascii="Palatino Linotype" w:hAnsi="Palatino Linotype"/>
          <w:color w:val="000000" w:themeColor="text1"/>
        </w:rPr>
        <w:t>Plan review</w:t>
      </w:r>
      <w:r w:rsidRPr="00391600" w:rsidR="00452D39">
        <w:rPr>
          <w:rFonts w:ascii="Palatino Linotype" w:hAnsi="Palatino Linotype"/>
          <w:color w:val="000000" w:themeColor="text1"/>
        </w:rPr>
        <w:t xml:space="preserve"> to</w:t>
      </w:r>
      <w:r w:rsidRPr="00391600" w:rsidR="006A2115">
        <w:rPr>
          <w:rFonts w:ascii="Palatino Linotype" w:hAnsi="Palatino Linotype"/>
          <w:color w:val="000000" w:themeColor="text1"/>
        </w:rPr>
        <w:t xml:space="preserve"> </w:t>
      </w:r>
      <w:r w:rsidRPr="00391600" w:rsidR="00AD1063">
        <w:rPr>
          <w:rFonts w:ascii="Palatino Linotype" w:hAnsi="Palatino Linotype"/>
          <w:color w:val="000000" w:themeColor="text1"/>
        </w:rPr>
        <w:t>implement RD&amp;D investments in a timely manner.</w:t>
      </w:r>
      <w:r w:rsidRPr="00391600" w:rsidR="00452D39">
        <w:rPr>
          <w:rFonts w:ascii="Palatino Linotype" w:hAnsi="Palatino Linotype"/>
          <w:color w:val="000000" w:themeColor="text1"/>
        </w:rPr>
        <w:t xml:space="preserve"> </w:t>
      </w:r>
      <w:r w:rsidRPr="00391600" w:rsidR="00676921">
        <w:rPr>
          <w:rFonts w:ascii="Palatino Linotype" w:hAnsi="Palatino Linotype"/>
          <w:color w:val="000000" w:themeColor="text1"/>
        </w:rPr>
        <w:t xml:space="preserve">Further, </w:t>
      </w:r>
      <w:r w:rsidRPr="00391600" w:rsidR="00676921">
        <w:rPr>
          <w:rFonts w:ascii="Palatino Linotype" w:hAnsi="Palatino Linotype" w:eastAsia="Palatino Linotype" w:cs="Times New Roman"/>
          <w:color w:val="000000" w:themeColor="text1"/>
        </w:rPr>
        <w:t>t</w:t>
      </w:r>
      <w:r w:rsidRPr="00391600" w:rsidR="0035072E">
        <w:rPr>
          <w:rFonts w:ascii="Palatino Linotype" w:hAnsi="Palatino Linotype" w:eastAsia="Palatino Linotype" w:cs="Times New Roman"/>
          <w:color w:val="000000" w:themeColor="text1"/>
        </w:rPr>
        <w:t>h</w:t>
      </w:r>
      <w:r w:rsidRPr="00391600" w:rsidR="0A750A3B">
        <w:rPr>
          <w:rFonts w:ascii="Palatino Linotype" w:hAnsi="Palatino Linotype" w:eastAsia="Palatino Linotype" w:cs="Times New Roman"/>
          <w:color w:val="000000" w:themeColor="text1"/>
        </w:rPr>
        <w:t xml:space="preserve">is coordination </w:t>
      </w:r>
      <w:r w:rsidRPr="00391600">
        <w:rPr>
          <w:rFonts w:ascii="Palatino Linotype" w:hAnsi="Palatino Linotype" w:eastAsia="Palatino Linotype" w:cs="Times New Roman"/>
          <w:color w:val="000000" w:themeColor="text1"/>
        </w:rPr>
        <w:t>allow</w:t>
      </w:r>
      <w:r w:rsidRPr="00391600" w:rsidR="60651F85">
        <w:rPr>
          <w:rFonts w:ascii="Palatino Linotype" w:hAnsi="Palatino Linotype" w:eastAsia="Palatino Linotype" w:cs="Times New Roman"/>
          <w:color w:val="000000" w:themeColor="text1"/>
        </w:rPr>
        <w:t>s</w:t>
      </w:r>
      <w:r w:rsidRPr="00391600">
        <w:rPr>
          <w:rFonts w:ascii="Palatino Linotype" w:hAnsi="Palatino Linotype" w:eastAsia="Palatino Linotype" w:cs="Times New Roman"/>
          <w:color w:val="000000" w:themeColor="text1"/>
        </w:rPr>
        <w:t xml:space="preserve"> Gas RD&amp;D investments to be responsive to evolving </w:t>
      </w:r>
      <w:r w:rsidRPr="00391600" w:rsidR="007813BA">
        <w:rPr>
          <w:rFonts w:ascii="Palatino Linotype" w:hAnsi="Palatino Linotype" w:eastAsia="Palatino Linotype" w:cs="Times New Roman"/>
          <w:color w:val="000000" w:themeColor="text1"/>
        </w:rPr>
        <w:t>po</w:t>
      </w:r>
      <w:r w:rsidRPr="00391600" w:rsidR="004D5D04">
        <w:rPr>
          <w:rFonts w:ascii="Palatino Linotype" w:hAnsi="Palatino Linotype" w:eastAsia="Palatino Linotype" w:cs="Times New Roman"/>
          <w:color w:val="000000" w:themeColor="text1"/>
        </w:rPr>
        <w:t>lic</w:t>
      </w:r>
      <w:r w:rsidRPr="00391600" w:rsidR="00D10B06">
        <w:rPr>
          <w:rFonts w:ascii="Palatino Linotype" w:hAnsi="Palatino Linotype" w:eastAsia="Palatino Linotype" w:cs="Times New Roman"/>
          <w:color w:val="000000" w:themeColor="text1"/>
        </w:rPr>
        <w:t>i</w:t>
      </w:r>
      <w:r w:rsidRPr="00391600" w:rsidR="004D5D04">
        <w:rPr>
          <w:rFonts w:ascii="Palatino Linotype" w:hAnsi="Palatino Linotype" w:eastAsia="Palatino Linotype" w:cs="Times New Roman"/>
          <w:color w:val="000000" w:themeColor="text1"/>
        </w:rPr>
        <w:t xml:space="preserve">es, </w:t>
      </w:r>
      <w:r w:rsidRPr="00391600">
        <w:rPr>
          <w:rFonts w:ascii="Palatino Linotype" w:hAnsi="Palatino Linotype" w:eastAsia="Palatino Linotype" w:cs="Times New Roman"/>
          <w:color w:val="000000" w:themeColor="text1"/>
        </w:rPr>
        <w:t>research</w:t>
      </w:r>
      <w:r w:rsidRPr="00391600" w:rsidR="004D5D04">
        <w:rPr>
          <w:rFonts w:ascii="Palatino Linotype" w:hAnsi="Palatino Linotype" w:eastAsia="Palatino Linotype" w:cs="Times New Roman"/>
          <w:color w:val="000000" w:themeColor="text1"/>
        </w:rPr>
        <w:t xml:space="preserve"> gaps</w:t>
      </w:r>
      <w:r w:rsidRPr="00391600">
        <w:rPr>
          <w:rFonts w:ascii="Palatino Linotype" w:hAnsi="Palatino Linotype" w:eastAsia="Palatino Linotype" w:cs="Times New Roman"/>
          <w:color w:val="000000" w:themeColor="text1"/>
        </w:rPr>
        <w:t>, technolog</w:t>
      </w:r>
      <w:r w:rsidRPr="00391600" w:rsidR="004D5D04">
        <w:rPr>
          <w:rFonts w:ascii="Palatino Linotype" w:hAnsi="Palatino Linotype" w:eastAsia="Palatino Linotype" w:cs="Times New Roman"/>
          <w:color w:val="000000" w:themeColor="text1"/>
        </w:rPr>
        <w:t>ies</w:t>
      </w:r>
      <w:r w:rsidRPr="00391600">
        <w:rPr>
          <w:rFonts w:ascii="Palatino Linotype" w:hAnsi="Palatino Linotype" w:eastAsia="Palatino Linotype" w:cs="Times New Roman"/>
          <w:color w:val="000000" w:themeColor="text1"/>
        </w:rPr>
        <w:t xml:space="preserve">, and market conditions </w:t>
      </w:r>
      <w:r w:rsidRPr="00391600" w:rsidR="004D5D04">
        <w:rPr>
          <w:rFonts w:ascii="Palatino Linotype" w:hAnsi="Palatino Linotype" w:eastAsia="Palatino Linotype" w:cs="Times New Roman"/>
          <w:color w:val="000000" w:themeColor="text1"/>
        </w:rPr>
        <w:t>to address</w:t>
      </w:r>
      <w:r w:rsidRPr="00391600">
        <w:rPr>
          <w:rFonts w:ascii="Palatino Linotype" w:hAnsi="Palatino Linotype" w:eastAsia="Palatino Linotype" w:cs="Times New Roman"/>
          <w:color w:val="000000" w:themeColor="text1"/>
        </w:rPr>
        <w:t xml:space="preserve"> timely innovation</w:t>
      </w:r>
      <w:r w:rsidRPr="00391600" w:rsidR="007A11D2">
        <w:rPr>
          <w:rFonts w:ascii="Palatino Linotype" w:hAnsi="Palatino Linotype" w:eastAsia="Palatino Linotype" w:cs="Times New Roman"/>
          <w:color w:val="000000" w:themeColor="text1"/>
        </w:rPr>
        <w:t>s that can promote</w:t>
      </w:r>
      <w:r w:rsidRPr="00391600" w:rsidR="00FF3058">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ratepayer benefit</w:t>
      </w:r>
      <w:r w:rsidRPr="00391600" w:rsidR="007A11D2">
        <w:rPr>
          <w:rFonts w:ascii="Palatino Linotype" w:hAnsi="Palatino Linotype" w:eastAsia="Palatino Linotype" w:cs="Times New Roman"/>
          <w:color w:val="000000" w:themeColor="text1"/>
        </w:rPr>
        <w:t xml:space="preserve">s and </w:t>
      </w:r>
      <w:r w:rsidRPr="00391600" w:rsidR="002E7814">
        <w:rPr>
          <w:rFonts w:ascii="Palatino Linotype" w:hAnsi="Palatino Linotype" w:eastAsia="Palatino Linotype" w:cs="Times New Roman"/>
          <w:color w:val="000000" w:themeColor="text1"/>
        </w:rPr>
        <w:t xml:space="preserve">support the State’s </w:t>
      </w:r>
      <w:r w:rsidRPr="00391600" w:rsidR="006A077A">
        <w:rPr>
          <w:rFonts w:ascii="Palatino Linotype" w:hAnsi="Palatino Linotype" w:eastAsia="Palatino Linotype" w:cs="Times New Roman"/>
          <w:color w:val="000000" w:themeColor="text1"/>
        </w:rPr>
        <w:t xml:space="preserve">broader </w:t>
      </w:r>
      <w:r w:rsidRPr="00391600" w:rsidR="002E7814">
        <w:rPr>
          <w:rFonts w:ascii="Palatino Linotype" w:hAnsi="Palatino Linotype" w:eastAsia="Palatino Linotype" w:cs="Times New Roman"/>
          <w:color w:val="000000" w:themeColor="text1"/>
        </w:rPr>
        <w:t>climate and safety goals.</w:t>
      </w:r>
    </w:p>
    <w:p w:rsidRPr="00391600" w:rsidR="0088709C" w:rsidP="00C37C68" w:rsidRDefault="002E7814" w14:paraId="24818AA0" w14:textId="4E034196">
      <w:p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The </w:t>
      </w:r>
      <w:r w:rsidRPr="00391600" w:rsidR="00FE6768">
        <w:rPr>
          <w:rFonts w:ascii="Palatino Linotype" w:hAnsi="Palatino Linotype" w:eastAsia="Palatino Linotype" w:cs="Times New Roman"/>
          <w:color w:val="000000" w:themeColor="text1"/>
        </w:rPr>
        <w:t>CPUC’s Utility Audits Branch (UAB) conducted an audit of CEC’s Gas RD&amp;D Program spending</w:t>
      </w:r>
      <w:r w:rsidRPr="00391600" w:rsidR="00B56484">
        <w:rPr>
          <w:rFonts w:ascii="Palatino Linotype" w:hAnsi="Palatino Linotype" w:eastAsia="Palatino Linotype" w:cs="Times New Roman"/>
          <w:color w:val="000000" w:themeColor="text1"/>
        </w:rPr>
        <w:t xml:space="preserve"> between July 1, 2022</w:t>
      </w:r>
      <w:r w:rsidRPr="00391600" w:rsidR="0044387A">
        <w:rPr>
          <w:rFonts w:ascii="Palatino Linotype" w:hAnsi="Palatino Linotype" w:eastAsia="Palatino Linotype" w:cs="Times New Roman"/>
          <w:color w:val="000000" w:themeColor="text1"/>
        </w:rPr>
        <w:t>,</w:t>
      </w:r>
      <w:r w:rsidRPr="00391600" w:rsidR="00F60F6C">
        <w:rPr>
          <w:rFonts w:ascii="Palatino Linotype" w:hAnsi="Palatino Linotype" w:eastAsia="Palatino Linotype" w:cs="Times New Roman"/>
          <w:color w:val="000000" w:themeColor="text1"/>
        </w:rPr>
        <w:t xml:space="preserve"> and </w:t>
      </w:r>
      <w:r w:rsidRPr="00391600" w:rsidR="00B56484">
        <w:rPr>
          <w:rFonts w:ascii="Palatino Linotype" w:hAnsi="Palatino Linotype" w:eastAsia="Palatino Linotype" w:cs="Times New Roman"/>
          <w:color w:val="000000" w:themeColor="text1"/>
        </w:rPr>
        <w:t>June 30, 2023</w:t>
      </w:r>
      <w:r w:rsidRPr="00391600" w:rsidR="0044387A">
        <w:rPr>
          <w:rFonts w:ascii="Palatino Linotype" w:hAnsi="Palatino Linotype" w:eastAsia="Palatino Linotype" w:cs="Times New Roman"/>
          <w:color w:val="000000" w:themeColor="text1"/>
        </w:rPr>
        <w:t>,</w:t>
      </w:r>
      <w:r w:rsidRPr="00391600" w:rsidR="00B56484">
        <w:rPr>
          <w:rFonts w:ascii="Palatino Linotype" w:hAnsi="Palatino Linotype" w:eastAsia="Palatino Linotype" w:cs="Times New Roman"/>
          <w:color w:val="000000" w:themeColor="text1"/>
        </w:rPr>
        <w:t xml:space="preserve"> finding that </w:t>
      </w:r>
      <w:r w:rsidRPr="00391600" w:rsidR="0051467B">
        <w:rPr>
          <w:rFonts w:ascii="Palatino Linotype" w:hAnsi="Palatino Linotype" w:eastAsia="Palatino Linotype" w:cs="Times New Roman"/>
          <w:color w:val="000000" w:themeColor="text1"/>
        </w:rPr>
        <w:t xml:space="preserve">program </w:t>
      </w:r>
      <w:r w:rsidRPr="00391600" w:rsidR="00273BFB">
        <w:rPr>
          <w:rFonts w:ascii="Palatino Linotype" w:hAnsi="Palatino Linotype" w:eastAsia="Palatino Linotype" w:cs="Times New Roman"/>
          <w:color w:val="000000" w:themeColor="text1"/>
        </w:rPr>
        <w:t xml:space="preserve">expenditures </w:t>
      </w:r>
      <w:r w:rsidRPr="00391600" w:rsidR="006835E9">
        <w:rPr>
          <w:rFonts w:ascii="Palatino Linotype" w:hAnsi="Palatino Linotype" w:eastAsia="Palatino Linotype" w:cs="Times New Roman"/>
          <w:color w:val="000000" w:themeColor="text1"/>
        </w:rPr>
        <w:t xml:space="preserve">were generally </w:t>
      </w:r>
      <w:r w:rsidRPr="00391600">
        <w:rPr>
          <w:rFonts w:ascii="Palatino Linotype" w:hAnsi="Palatino Linotype" w:eastAsia="Palatino Linotype" w:cs="Times New Roman"/>
          <w:color w:val="000000" w:themeColor="text1"/>
        </w:rPr>
        <w:t xml:space="preserve">used </w:t>
      </w:r>
      <w:r w:rsidRPr="00391600" w:rsidR="006835E9">
        <w:rPr>
          <w:rFonts w:ascii="Palatino Linotype" w:hAnsi="Palatino Linotype" w:eastAsia="Palatino Linotype" w:cs="Times New Roman"/>
          <w:color w:val="000000" w:themeColor="text1"/>
        </w:rPr>
        <w:t>for allowable purposes.</w:t>
      </w:r>
      <w:r w:rsidRPr="00391600" w:rsidR="00273BFB">
        <w:rPr>
          <w:rStyle w:val="FootnoteReference"/>
          <w:rFonts w:ascii="Palatino Linotype" w:hAnsi="Palatino Linotype" w:eastAsia="Palatino Linotype" w:cs="Times New Roman"/>
          <w:color w:val="000000" w:themeColor="text1"/>
        </w:rPr>
        <w:footnoteReference w:id="116"/>
      </w:r>
      <w:r w:rsidRPr="00391600" w:rsidR="006835E9">
        <w:rPr>
          <w:rFonts w:ascii="Palatino Linotype" w:hAnsi="Palatino Linotype" w:eastAsia="Palatino Linotype" w:cs="Times New Roman"/>
          <w:color w:val="000000" w:themeColor="text1"/>
        </w:rPr>
        <w:t xml:space="preserve"> </w:t>
      </w:r>
      <w:r w:rsidRPr="00391600" w:rsidR="000E4BDA">
        <w:rPr>
          <w:rFonts w:ascii="Palatino Linotype" w:hAnsi="Palatino Linotype" w:eastAsia="Palatino Linotype" w:cs="Times New Roman"/>
          <w:color w:val="000000" w:themeColor="text1"/>
        </w:rPr>
        <w:t>However, t</w:t>
      </w:r>
      <w:r w:rsidRPr="00391600" w:rsidR="0044387A">
        <w:rPr>
          <w:rFonts w:ascii="Palatino Linotype" w:hAnsi="Palatino Linotype" w:eastAsia="Palatino Linotype" w:cs="Times New Roman"/>
          <w:color w:val="000000" w:themeColor="text1"/>
        </w:rPr>
        <w:t>he Audits process was</w:t>
      </w:r>
      <w:r w:rsidRPr="00391600" w:rsidR="004F7497">
        <w:rPr>
          <w:rFonts w:ascii="Palatino Linotype" w:hAnsi="Palatino Linotype" w:eastAsia="Palatino Linotype" w:cs="Times New Roman"/>
          <w:color w:val="000000" w:themeColor="text1"/>
        </w:rPr>
        <w:t xml:space="preserve"> </w:t>
      </w:r>
      <w:r w:rsidRPr="00391600" w:rsidR="006A6F96">
        <w:rPr>
          <w:rFonts w:ascii="Palatino Linotype" w:hAnsi="Palatino Linotype" w:eastAsia="Palatino Linotype" w:cs="Times New Roman"/>
          <w:color w:val="000000" w:themeColor="text1"/>
        </w:rPr>
        <w:t xml:space="preserve">prolonged due to </w:t>
      </w:r>
      <w:r w:rsidRPr="00391600" w:rsidR="005A1398">
        <w:rPr>
          <w:rFonts w:ascii="Palatino Linotype" w:hAnsi="Palatino Linotype" w:eastAsia="Palatino Linotype" w:cs="Times New Roman"/>
          <w:color w:val="000000" w:themeColor="text1"/>
        </w:rPr>
        <w:t>insufficien</w:t>
      </w:r>
      <w:r w:rsidRPr="00391600" w:rsidR="00B83B01">
        <w:rPr>
          <w:rFonts w:ascii="Palatino Linotype" w:hAnsi="Palatino Linotype" w:eastAsia="Palatino Linotype" w:cs="Times New Roman"/>
          <w:color w:val="000000" w:themeColor="text1"/>
        </w:rPr>
        <w:t>t</w:t>
      </w:r>
      <w:r w:rsidRPr="00391600" w:rsidR="005A1398">
        <w:rPr>
          <w:rFonts w:ascii="Palatino Linotype" w:hAnsi="Palatino Linotype" w:eastAsia="Palatino Linotype" w:cs="Times New Roman"/>
          <w:color w:val="000000" w:themeColor="text1"/>
        </w:rPr>
        <w:t xml:space="preserve"> initial available information</w:t>
      </w:r>
      <w:r w:rsidRPr="00391600" w:rsidR="00B83B01">
        <w:rPr>
          <w:rFonts w:ascii="Palatino Linotype" w:hAnsi="Palatino Linotype" w:eastAsia="Palatino Linotype" w:cs="Times New Roman"/>
          <w:color w:val="000000" w:themeColor="text1"/>
        </w:rPr>
        <w:t xml:space="preserve"> provided by the CEC, necessitating </w:t>
      </w:r>
      <w:r w:rsidRPr="00391600" w:rsidR="00053FD8">
        <w:rPr>
          <w:rFonts w:ascii="Palatino Linotype" w:hAnsi="Palatino Linotype" w:eastAsia="Palatino Linotype" w:cs="Times New Roman"/>
          <w:color w:val="000000" w:themeColor="text1"/>
        </w:rPr>
        <w:t xml:space="preserve">several </w:t>
      </w:r>
      <w:r w:rsidRPr="00391600" w:rsidR="0056763F">
        <w:rPr>
          <w:rFonts w:ascii="Palatino Linotype" w:hAnsi="Palatino Linotype" w:eastAsia="Palatino Linotype" w:cs="Times New Roman"/>
          <w:color w:val="000000" w:themeColor="text1"/>
        </w:rPr>
        <w:t>d</w:t>
      </w:r>
      <w:r w:rsidRPr="00391600" w:rsidR="00053FD8">
        <w:rPr>
          <w:rFonts w:ascii="Palatino Linotype" w:hAnsi="Palatino Linotype" w:eastAsia="Palatino Linotype" w:cs="Times New Roman"/>
          <w:color w:val="000000" w:themeColor="text1"/>
        </w:rPr>
        <w:t xml:space="preserve">ata </w:t>
      </w:r>
      <w:r w:rsidRPr="00391600" w:rsidR="0056763F">
        <w:rPr>
          <w:rFonts w:ascii="Palatino Linotype" w:hAnsi="Palatino Linotype" w:eastAsia="Palatino Linotype" w:cs="Times New Roman"/>
          <w:color w:val="000000" w:themeColor="text1"/>
        </w:rPr>
        <w:t>r</w:t>
      </w:r>
      <w:r w:rsidRPr="00391600" w:rsidR="00053FD8">
        <w:rPr>
          <w:rFonts w:ascii="Palatino Linotype" w:hAnsi="Palatino Linotype" w:eastAsia="Palatino Linotype" w:cs="Times New Roman"/>
          <w:color w:val="000000" w:themeColor="text1"/>
        </w:rPr>
        <w:t>equests</w:t>
      </w:r>
      <w:r w:rsidRPr="00391600" w:rsidR="005619D2">
        <w:rPr>
          <w:rFonts w:ascii="Palatino Linotype" w:hAnsi="Palatino Linotype" w:eastAsia="Palatino Linotype" w:cs="Times New Roman"/>
          <w:color w:val="000000" w:themeColor="text1"/>
        </w:rPr>
        <w:t xml:space="preserve"> </w:t>
      </w:r>
      <w:r w:rsidRPr="00391600" w:rsidR="00267B86">
        <w:rPr>
          <w:rFonts w:ascii="Palatino Linotype" w:hAnsi="Palatino Linotype" w:eastAsia="Palatino Linotype" w:cs="Times New Roman"/>
          <w:color w:val="000000" w:themeColor="text1"/>
        </w:rPr>
        <w:t xml:space="preserve">to </w:t>
      </w:r>
      <w:r w:rsidRPr="00391600" w:rsidR="00F653BD">
        <w:rPr>
          <w:rFonts w:ascii="Palatino Linotype" w:hAnsi="Palatino Linotype" w:eastAsia="Palatino Linotype" w:cs="Times New Roman"/>
          <w:color w:val="000000" w:themeColor="text1"/>
        </w:rPr>
        <w:t>verify</w:t>
      </w:r>
      <w:r w:rsidRPr="00391600" w:rsidR="00267B86">
        <w:rPr>
          <w:rFonts w:ascii="Palatino Linotype" w:hAnsi="Palatino Linotype" w:eastAsia="Palatino Linotype" w:cs="Times New Roman"/>
          <w:color w:val="000000" w:themeColor="text1"/>
        </w:rPr>
        <w:t xml:space="preserve"> compliance</w:t>
      </w:r>
      <w:r w:rsidRPr="00391600" w:rsidR="00B83B01">
        <w:rPr>
          <w:rFonts w:ascii="Palatino Linotype" w:hAnsi="Palatino Linotype" w:eastAsia="Palatino Linotype" w:cs="Times New Roman"/>
          <w:color w:val="000000" w:themeColor="text1"/>
        </w:rPr>
        <w:t>.</w:t>
      </w:r>
      <w:r w:rsidRPr="00391600" w:rsidR="009408A1">
        <w:rPr>
          <w:rFonts w:ascii="Palatino Linotype" w:hAnsi="Palatino Linotype" w:eastAsia="Palatino Linotype" w:cs="Times New Roman"/>
          <w:color w:val="000000" w:themeColor="text1"/>
        </w:rPr>
        <w:t xml:space="preserve"> </w:t>
      </w:r>
      <w:r w:rsidRPr="00391600" w:rsidR="06174847">
        <w:rPr>
          <w:rFonts w:ascii="Palatino Linotype" w:hAnsi="Palatino Linotype" w:eastAsia="Palatino Linotype" w:cs="Times New Roman"/>
          <w:color w:val="000000" w:themeColor="text1"/>
        </w:rPr>
        <w:t xml:space="preserve">The Annual </w:t>
      </w:r>
      <w:r w:rsidRPr="00391600" w:rsidR="002F5D3D">
        <w:rPr>
          <w:rFonts w:ascii="Palatino Linotype" w:hAnsi="Palatino Linotype" w:eastAsia="Palatino Linotype" w:cs="Times New Roman"/>
          <w:color w:val="000000" w:themeColor="text1"/>
        </w:rPr>
        <w:t>Report</w:t>
      </w:r>
      <w:r w:rsidRPr="00391600" w:rsidR="06174847">
        <w:rPr>
          <w:rFonts w:ascii="Palatino Linotype" w:hAnsi="Palatino Linotype" w:eastAsia="Palatino Linotype" w:cs="Times New Roman"/>
          <w:color w:val="000000" w:themeColor="text1"/>
        </w:rPr>
        <w:t xml:space="preserve"> and </w:t>
      </w:r>
      <w:r w:rsidRPr="00391600" w:rsidR="002F5D3D">
        <w:rPr>
          <w:rFonts w:ascii="Palatino Linotype" w:hAnsi="Palatino Linotype" w:eastAsia="Palatino Linotype" w:cs="Times New Roman"/>
          <w:color w:val="000000" w:themeColor="text1"/>
        </w:rPr>
        <w:t xml:space="preserve">regular Tier 1 AL reporting </w:t>
      </w:r>
      <w:r w:rsidRPr="00391600" w:rsidR="06174847">
        <w:rPr>
          <w:rFonts w:ascii="Palatino Linotype" w:hAnsi="Palatino Linotype" w:eastAsia="Palatino Linotype" w:cs="Times New Roman"/>
          <w:color w:val="000000" w:themeColor="text1"/>
        </w:rPr>
        <w:t xml:space="preserve">are expected to help </w:t>
      </w:r>
      <w:r w:rsidRPr="00391600" w:rsidR="009408A1">
        <w:rPr>
          <w:rFonts w:ascii="Palatino Linotype" w:hAnsi="Palatino Linotype" w:eastAsia="Palatino Linotype" w:cs="Times New Roman"/>
          <w:color w:val="000000" w:themeColor="text1"/>
        </w:rPr>
        <w:t>address this moving forward</w:t>
      </w:r>
      <w:r w:rsidRPr="00391600" w:rsidR="523E707A">
        <w:rPr>
          <w:rFonts w:ascii="Palatino Linotype" w:hAnsi="Palatino Linotype" w:eastAsia="Palatino Linotype" w:cs="Times New Roman"/>
          <w:color w:val="000000" w:themeColor="text1"/>
        </w:rPr>
        <w:t>. In addition</w:t>
      </w:r>
      <w:r w:rsidRPr="00391600" w:rsidR="009408A1">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 xml:space="preserve">the </w:t>
      </w:r>
      <w:r w:rsidRPr="00391600" w:rsidR="00267B86">
        <w:rPr>
          <w:rFonts w:ascii="Palatino Linotype" w:hAnsi="Palatino Linotype" w:eastAsia="Palatino Linotype" w:cs="Times New Roman"/>
          <w:color w:val="000000" w:themeColor="text1"/>
        </w:rPr>
        <w:t xml:space="preserve">CEC </w:t>
      </w:r>
      <w:r w:rsidRPr="00391600" w:rsidR="00376F2C">
        <w:rPr>
          <w:rFonts w:ascii="Palatino Linotype" w:hAnsi="Palatino Linotype" w:eastAsia="Palatino Linotype" w:cs="Times New Roman"/>
          <w:color w:val="000000" w:themeColor="text1"/>
        </w:rPr>
        <w:t xml:space="preserve">shall </w:t>
      </w:r>
      <w:r w:rsidRPr="00391600" w:rsidR="00267B86">
        <w:rPr>
          <w:rFonts w:ascii="Palatino Linotype" w:hAnsi="Palatino Linotype" w:eastAsia="Palatino Linotype" w:cs="Times New Roman"/>
          <w:color w:val="000000" w:themeColor="text1"/>
        </w:rPr>
        <w:t>m</w:t>
      </w:r>
      <w:r w:rsidRPr="00391600" w:rsidR="00C43098">
        <w:rPr>
          <w:rFonts w:ascii="Palatino Linotype" w:hAnsi="Palatino Linotype" w:eastAsia="Palatino Linotype" w:cs="Times New Roman"/>
          <w:color w:val="000000" w:themeColor="text1"/>
        </w:rPr>
        <w:t xml:space="preserve">aintain </w:t>
      </w:r>
      <w:r w:rsidRPr="00391600" w:rsidR="003C071C">
        <w:rPr>
          <w:rFonts w:ascii="Palatino Linotype" w:hAnsi="Palatino Linotype" w:eastAsia="Palatino Linotype" w:cs="Times New Roman"/>
          <w:color w:val="000000" w:themeColor="text1"/>
        </w:rPr>
        <w:t xml:space="preserve">supporting documentation </w:t>
      </w:r>
      <w:r w:rsidRPr="00391600" w:rsidR="00673C98">
        <w:rPr>
          <w:rFonts w:ascii="Palatino Linotype" w:hAnsi="Palatino Linotype" w:eastAsia="Palatino Linotype" w:cs="Times New Roman"/>
          <w:color w:val="000000" w:themeColor="text1"/>
        </w:rPr>
        <w:t>for</w:t>
      </w:r>
      <w:r w:rsidRPr="00391600" w:rsidR="003C071C">
        <w:rPr>
          <w:rFonts w:ascii="Palatino Linotype" w:hAnsi="Palatino Linotype" w:eastAsia="Palatino Linotype" w:cs="Times New Roman"/>
          <w:color w:val="000000" w:themeColor="text1"/>
        </w:rPr>
        <w:t xml:space="preserve"> </w:t>
      </w:r>
      <w:r w:rsidRPr="00391600" w:rsidR="00376F2C">
        <w:rPr>
          <w:rFonts w:ascii="Palatino Linotype" w:hAnsi="Palatino Linotype" w:eastAsia="Palatino Linotype" w:cs="Times New Roman"/>
          <w:color w:val="000000" w:themeColor="text1"/>
        </w:rPr>
        <w:t xml:space="preserve">transparency </w:t>
      </w:r>
      <w:r w:rsidRPr="00391600" w:rsidR="003518E0">
        <w:rPr>
          <w:rFonts w:ascii="Palatino Linotype" w:hAnsi="Palatino Linotype" w:eastAsia="Palatino Linotype" w:cs="Times New Roman"/>
          <w:color w:val="000000" w:themeColor="text1"/>
        </w:rPr>
        <w:t>in</w:t>
      </w:r>
      <w:r w:rsidRPr="00391600" w:rsidR="00376F2C">
        <w:rPr>
          <w:rFonts w:ascii="Palatino Linotype" w:hAnsi="Palatino Linotype" w:eastAsia="Palatino Linotype" w:cs="Times New Roman"/>
          <w:color w:val="000000" w:themeColor="text1"/>
        </w:rPr>
        <w:t xml:space="preserve"> </w:t>
      </w:r>
      <w:r w:rsidRPr="00391600" w:rsidR="003C071C">
        <w:rPr>
          <w:rFonts w:ascii="Palatino Linotype" w:hAnsi="Palatino Linotype" w:eastAsia="Palatino Linotype" w:cs="Times New Roman"/>
          <w:color w:val="000000" w:themeColor="text1"/>
        </w:rPr>
        <w:t xml:space="preserve">spending </w:t>
      </w:r>
      <w:r w:rsidRPr="00391600" w:rsidR="003518E0">
        <w:rPr>
          <w:rFonts w:ascii="Palatino Linotype" w:hAnsi="Palatino Linotype" w:eastAsia="Palatino Linotype" w:cs="Times New Roman"/>
          <w:color w:val="000000" w:themeColor="text1"/>
        </w:rPr>
        <w:t>ratepayer funds</w:t>
      </w:r>
      <w:r w:rsidRPr="00391600" w:rsidR="003C071C">
        <w:rPr>
          <w:rFonts w:ascii="Palatino Linotype" w:hAnsi="Palatino Linotype" w:eastAsia="Palatino Linotype" w:cs="Times New Roman"/>
          <w:color w:val="000000" w:themeColor="text1"/>
        </w:rPr>
        <w:t xml:space="preserve"> </w:t>
      </w:r>
      <w:r w:rsidRPr="00391600" w:rsidR="00376F2C">
        <w:rPr>
          <w:rFonts w:ascii="Palatino Linotype" w:hAnsi="Palatino Linotype" w:eastAsia="Palatino Linotype" w:cs="Times New Roman"/>
          <w:color w:val="000000" w:themeColor="text1"/>
        </w:rPr>
        <w:t xml:space="preserve">that is easily </w:t>
      </w:r>
      <w:r w:rsidRPr="00391600" w:rsidR="003C071C">
        <w:rPr>
          <w:rFonts w:ascii="Palatino Linotype" w:hAnsi="Palatino Linotype" w:eastAsia="Palatino Linotype" w:cs="Times New Roman"/>
          <w:color w:val="000000" w:themeColor="text1"/>
        </w:rPr>
        <w:t>audit</w:t>
      </w:r>
      <w:r w:rsidRPr="00391600" w:rsidR="00376F2C">
        <w:rPr>
          <w:rFonts w:ascii="Palatino Linotype" w:hAnsi="Palatino Linotype" w:eastAsia="Palatino Linotype" w:cs="Times New Roman"/>
          <w:color w:val="000000" w:themeColor="text1"/>
        </w:rPr>
        <w:t>able</w:t>
      </w:r>
      <w:r w:rsidRPr="00391600" w:rsidR="00E654B4">
        <w:rPr>
          <w:rFonts w:ascii="Palatino Linotype" w:hAnsi="Palatino Linotype" w:eastAsia="Palatino Linotype" w:cs="Times New Roman"/>
          <w:color w:val="000000" w:themeColor="text1"/>
        </w:rPr>
        <w:t xml:space="preserve">, including </w:t>
      </w:r>
      <w:r w:rsidRPr="00391600" w:rsidR="00376F2C">
        <w:rPr>
          <w:rFonts w:ascii="Palatino Linotype" w:hAnsi="Palatino Linotype" w:eastAsia="Palatino Linotype" w:cs="Times New Roman"/>
          <w:color w:val="000000" w:themeColor="text1"/>
        </w:rPr>
        <w:t xml:space="preserve">for </w:t>
      </w:r>
      <w:r w:rsidRPr="00391600" w:rsidR="00E654B4">
        <w:rPr>
          <w:rFonts w:ascii="Palatino Linotype" w:hAnsi="Palatino Linotype" w:eastAsia="Palatino Linotype" w:cs="Times New Roman"/>
          <w:color w:val="000000" w:themeColor="text1"/>
        </w:rPr>
        <w:t>grant recipients</w:t>
      </w:r>
      <w:r w:rsidRPr="00391600" w:rsidR="00227467">
        <w:rPr>
          <w:rFonts w:ascii="Palatino Linotype" w:hAnsi="Palatino Linotype" w:eastAsia="Palatino Linotype" w:cs="Times New Roman"/>
          <w:color w:val="000000" w:themeColor="text1"/>
        </w:rPr>
        <w:t>.</w:t>
      </w:r>
      <w:r w:rsidRPr="00391600" w:rsidR="00C82141">
        <w:rPr>
          <w:rFonts w:ascii="Palatino Linotype" w:hAnsi="Palatino Linotype" w:eastAsia="Palatino Linotype" w:cs="Times New Roman"/>
          <w:color w:val="000000" w:themeColor="text1"/>
        </w:rPr>
        <w:t xml:space="preserve"> In the </w:t>
      </w:r>
      <w:r w:rsidRPr="00391600" w:rsidR="00C82141">
        <w:rPr>
          <w:rFonts w:ascii="Palatino Linotype" w:hAnsi="Palatino Linotype" w:eastAsia="Palatino Linotype" w:cs="Times New Roman"/>
          <w:color w:val="000000" w:themeColor="text1"/>
        </w:rPr>
        <w:lastRenderedPageBreak/>
        <w:t xml:space="preserve">use of ratepayer funds, </w:t>
      </w:r>
      <w:r w:rsidRPr="00391600" w:rsidR="00376F2C">
        <w:rPr>
          <w:rFonts w:ascii="Palatino Linotype" w:hAnsi="Palatino Linotype" w:eastAsia="Palatino Linotype" w:cs="Times New Roman"/>
          <w:color w:val="000000" w:themeColor="text1"/>
        </w:rPr>
        <w:t xml:space="preserve">the </w:t>
      </w:r>
      <w:r w:rsidRPr="00391600" w:rsidR="00C82141">
        <w:rPr>
          <w:rFonts w:ascii="Palatino Linotype" w:hAnsi="Palatino Linotype" w:eastAsia="Palatino Linotype" w:cs="Times New Roman"/>
          <w:color w:val="000000" w:themeColor="text1"/>
        </w:rPr>
        <w:t xml:space="preserve">CEC shall </w:t>
      </w:r>
      <w:r w:rsidRPr="00391600" w:rsidR="00400D71">
        <w:rPr>
          <w:rFonts w:ascii="Palatino Linotype" w:hAnsi="Palatino Linotype" w:eastAsia="Palatino Linotype" w:cs="Times New Roman"/>
          <w:color w:val="000000" w:themeColor="text1"/>
        </w:rPr>
        <w:t>comply with</w:t>
      </w:r>
      <w:r w:rsidRPr="00391600" w:rsidR="0088709C">
        <w:rPr>
          <w:rFonts w:ascii="Palatino Linotype" w:hAnsi="Palatino Linotype" w:eastAsia="Palatino Linotype" w:cs="Times New Roman"/>
          <w:color w:val="000000" w:themeColor="text1"/>
        </w:rPr>
        <w:t xml:space="preserve"> state requirements and procedures, including California Travel Reimbursements guidelines on lodging.</w:t>
      </w:r>
      <w:r w:rsidRPr="00391600">
        <w:rPr>
          <w:rStyle w:val="FootnoteReference"/>
          <w:rFonts w:ascii="Palatino Linotype" w:hAnsi="Palatino Linotype" w:eastAsia="Palatino Linotype" w:cs="Times New Roman"/>
          <w:color w:val="000000" w:themeColor="text1"/>
        </w:rPr>
        <w:footnoteReference w:id="117"/>
      </w:r>
      <w:r w:rsidRPr="00391600" w:rsidR="0088709C">
        <w:rPr>
          <w:rFonts w:ascii="Palatino Linotype" w:hAnsi="Palatino Linotype" w:eastAsia="Palatino Linotype" w:cs="Times New Roman"/>
          <w:color w:val="000000" w:themeColor="text1"/>
        </w:rPr>
        <w:t xml:space="preserve"> </w:t>
      </w:r>
    </w:p>
    <w:p w:rsidRPr="00391600" w:rsidR="00B609BE" w:rsidP="00C37C68" w:rsidRDefault="00B609BE" w14:paraId="0EC7F935" w14:textId="77777777">
      <w:pPr>
        <w:spacing w:line="276" w:lineRule="auto"/>
        <w:rPr>
          <w:rFonts w:ascii="Palatino Linotype" w:hAnsi="Palatino Linotype" w:eastAsia="Palatino Linotype" w:cs="Times New Roman"/>
          <w:b/>
          <w:bCs/>
          <w:color w:val="000000" w:themeColor="text1"/>
        </w:rPr>
      </w:pPr>
    </w:p>
    <w:p w:rsidRPr="00391600" w:rsidR="00B609BE" w:rsidP="00B609BE" w:rsidRDefault="006A0099" w14:paraId="6A273390" w14:textId="26265C71">
      <w:pPr>
        <w:spacing w:after="0" w:line="276" w:lineRule="auto"/>
        <w:rPr>
          <w:rFonts w:ascii="Palatino Linotype" w:hAnsi="Palatino Linotype" w:eastAsia="Palatino Linotype" w:cs="Times New Roman"/>
          <w:b/>
          <w:bCs/>
          <w:color w:val="000000" w:themeColor="text1"/>
        </w:rPr>
      </w:pPr>
      <w:r w:rsidRPr="00391600">
        <w:rPr>
          <w:rFonts w:ascii="Palatino Linotype" w:hAnsi="Palatino Linotype" w:eastAsia="Palatino Linotype" w:cs="Times New Roman"/>
          <w:b/>
          <w:bCs/>
          <w:color w:val="000000" w:themeColor="text1"/>
        </w:rPr>
        <w:t>Additional Program Modifications</w:t>
      </w:r>
    </w:p>
    <w:p w:rsidRPr="00391600" w:rsidR="00B609BE" w:rsidP="00B609BE" w:rsidRDefault="00B609BE" w14:paraId="4A75E39A" w14:textId="77777777">
      <w:pPr>
        <w:spacing w:after="0" w:line="276" w:lineRule="auto"/>
        <w:rPr>
          <w:rFonts w:ascii="Palatino Linotype" w:hAnsi="Palatino Linotype" w:eastAsia="Palatino Linotype" w:cs="Times New Roman"/>
          <w:b/>
          <w:bCs/>
          <w:color w:val="000000" w:themeColor="text1"/>
        </w:rPr>
      </w:pPr>
    </w:p>
    <w:p w:rsidRPr="00391600" w:rsidR="006A0099" w:rsidP="006A0099" w:rsidRDefault="006A0099" w14:paraId="7945C60A" w14:textId="4025186F">
      <w:pPr>
        <w:spacing w:line="276" w:lineRule="auto"/>
        <w:rPr>
          <w:rFonts w:ascii="Palatino Linotype" w:hAnsi="Palatino Linotype" w:eastAsia="Palatino Linotype" w:cs="Times New Roman"/>
          <w:color w:val="000000" w:themeColor="text1"/>
          <w:u w:val="single"/>
        </w:rPr>
      </w:pPr>
      <w:r w:rsidRPr="00391600">
        <w:rPr>
          <w:rFonts w:ascii="Palatino Linotype" w:hAnsi="Palatino Linotype" w:eastAsia="Palatino Linotype" w:cs="Times New Roman"/>
          <w:color w:val="000000" w:themeColor="text1"/>
          <w:u w:val="single"/>
        </w:rPr>
        <w:t>Oversight Funds</w:t>
      </w:r>
    </w:p>
    <w:p w:rsidRPr="00391600" w:rsidR="006A0099" w:rsidP="35F2EE98" w:rsidRDefault="006A0099" w14:paraId="74509083" w14:textId="77B1624B">
      <w:pPr>
        <w:spacing w:after="0"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The Commission has directed each Gas RD&amp;D administrator, including</w:t>
      </w:r>
      <w:r w:rsidRPr="00391600" w:rsidR="00376F2C">
        <w:rPr>
          <w:rFonts w:ascii="Palatino Linotype" w:hAnsi="Palatino Linotype" w:eastAsia="Palatino Linotype" w:cs="Times New Roman"/>
          <w:color w:val="000000" w:themeColor="text1"/>
        </w:rPr>
        <w:t xml:space="preserve"> the</w:t>
      </w:r>
      <w:r w:rsidRPr="00391600">
        <w:rPr>
          <w:rFonts w:ascii="Palatino Linotype" w:hAnsi="Palatino Linotype" w:eastAsia="Palatino Linotype" w:cs="Times New Roman"/>
          <w:color w:val="000000" w:themeColor="text1"/>
        </w:rPr>
        <w:t xml:space="preserve"> </w:t>
      </w:r>
      <w:r w:rsidRPr="00391600" w:rsidR="00566EAF">
        <w:rPr>
          <w:rFonts w:ascii="Palatino Linotype" w:hAnsi="Palatino Linotype" w:eastAsia="Palatino Linotype" w:cs="Times New Roman"/>
          <w:color w:val="000000" w:themeColor="text1"/>
        </w:rPr>
        <w:t>CEC</w:t>
      </w:r>
      <w:r w:rsidRPr="00391600">
        <w:rPr>
          <w:rFonts w:ascii="Palatino Linotype" w:hAnsi="Palatino Linotype" w:eastAsia="Palatino Linotype" w:cs="Times New Roman"/>
          <w:color w:val="000000" w:themeColor="text1"/>
        </w:rPr>
        <w:t>, to allocate funds towards its proportional share of a Gas RD&amp;D Program Evaluation</w:t>
      </w:r>
      <w:r w:rsidRPr="00391600">
        <w:rPr>
          <w:rStyle w:val="FootnoteReference"/>
          <w:rFonts w:ascii="Palatino Linotype" w:hAnsi="Palatino Linotype" w:eastAsia="Palatino Linotype" w:cs="Times New Roman"/>
          <w:color w:val="000000" w:themeColor="text1"/>
        </w:rPr>
        <w:footnoteReference w:id="118"/>
      </w:r>
      <w:r w:rsidRPr="00391600">
        <w:rPr>
          <w:rFonts w:ascii="Palatino Linotype" w:hAnsi="Palatino Linotype" w:eastAsia="Palatino Linotype" w:cs="Times New Roman"/>
          <w:color w:val="000000" w:themeColor="text1"/>
        </w:rPr>
        <w:t xml:space="preserve"> to be implemented by E</w:t>
      </w:r>
      <w:r w:rsidRPr="00391600" w:rsidR="00561EBA">
        <w:rPr>
          <w:rFonts w:ascii="Palatino Linotype" w:hAnsi="Palatino Linotype" w:eastAsia="Palatino Linotype" w:cs="Times New Roman"/>
          <w:color w:val="000000" w:themeColor="text1"/>
        </w:rPr>
        <w:t xml:space="preserve">nergy </w:t>
      </w:r>
      <w:r w:rsidRPr="00391600">
        <w:rPr>
          <w:rFonts w:ascii="Palatino Linotype" w:hAnsi="Palatino Linotype" w:eastAsia="Palatino Linotype" w:cs="Times New Roman"/>
          <w:color w:val="000000" w:themeColor="text1"/>
        </w:rPr>
        <w:t>D</w:t>
      </w:r>
      <w:r w:rsidRPr="00391600" w:rsidR="00561EBA">
        <w:rPr>
          <w:rFonts w:ascii="Palatino Linotype" w:hAnsi="Palatino Linotype" w:eastAsia="Palatino Linotype" w:cs="Times New Roman"/>
          <w:color w:val="000000" w:themeColor="text1"/>
        </w:rPr>
        <w:t>ivision</w:t>
      </w:r>
      <w:r w:rsidRPr="00391600">
        <w:rPr>
          <w:rFonts w:ascii="Palatino Linotype" w:hAnsi="Palatino Linotype" w:eastAsia="Palatino Linotype" w:cs="Times New Roman"/>
          <w:color w:val="000000" w:themeColor="text1"/>
        </w:rPr>
        <w:t>. E</w:t>
      </w:r>
      <w:r w:rsidRPr="00391600" w:rsidR="00561EBA">
        <w:rPr>
          <w:rFonts w:ascii="Palatino Linotype" w:hAnsi="Palatino Linotype" w:eastAsia="Palatino Linotype" w:cs="Times New Roman"/>
          <w:color w:val="000000" w:themeColor="text1"/>
        </w:rPr>
        <w:t xml:space="preserve">nergy </w:t>
      </w:r>
      <w:r w:rsidRPr="00391600">
        <w:rPr>
          <w:rFonts w:ascii="Palatino Linotype" w:hAnsi="Palatino Linotype" w:eastAsia="Palatino Linotype" w:cs="Times New Roman"/>
          <w:color w:val="000000" w:themeColor="text1"/>
        </w:rPr>
        <w:t>D</w:t>
      </w:r>
      <w:r w:rsidRPr="00391600" w:rsidR="00561EBA">
        <w:rPr>
          <w:rFonts w:ascii="Palatino Linotype" w:hAnsi="Palatino Linotype" w:eastAsia="Palatino Linotype" w:cs="Times New Roman"/>
          <w:color w:val="000000" w:themeColor="text1"/>
        </w:rPr>
        <w:t>ivision</w:t>
      </w:r>
      <w:r w:rsidRPr="00391600">
        <w:rPr>
          <w:rFonts w:ascii="Palatino Linotype" w:hAnsi="Palatino Linotype" w:eastAsia="Palatino Linotype" w:cs="Times New Roman"/>
          <w:color w:val="000000" w:themeColor="text1"/>
        </w:rPr>
        <w:t xml:space="preserve"> shall advise </w:t>
      </w:r>
      <w:r w:rsidRPr="00391600" w:rsidR="00376F2C">
        <w:rPr>
          <w:rFonts w:ascii="Palatino Linotype" w:hAnsi="Palatino Linotype" w:eastAsia="Palatino Linotype" w:cs="Times New Roman"/>
          <w:color w:val="000000" w:themeColor="text1"/>
        </w:rPr>
        <w:t xml:space="preserve">the </w:t>
      </w:r>
      <w:r w:rsidRPr="00391600" w:rsidR="001C1879">
        <w:rPr>
          <w:rFonts w:ascii="Palatino Linotype" w:hAnsi="Palatino Linotype" w:eastAsia="Palatino Linotype" w:cs="Times New Roman"/>
          <w:color w:val="000000" w:themeColor="text1"/>
        </w:rPr>
        <w:t>CEC</w:t>
      </w:r>
      <w:r w:rsidRPr="00391600">
        <w:rPr>
          <w:rFonts w:ascii="Palatino Linotype" w:hAnsi="Palatino Linotype" w:eastAsia="Palatino Linotype" w:cs="Times New Roman"/>
          <w:color w:val="000000" w:themeColor="text1"/>
        </w:rPr>
        <w:t xml:space="preserve"> on any reimbursement process to support a consolidated, comprehensive </w:t>
      </w:r>
      <w:r w:rsidRPr="00391600" w:rsidR="00246A08">
        <w:rPr>
          <w:rFonts w:ascii="Palatino Linotype" w:hAnsi="Palatino Linotype" w:eastAsia="Palatino Linotype" w:cs="Times New Roman"/>
          <w:color w:val="000000" w:themeColor="text1"/>
        </w:rPr>
        <w:t>i</w:t>
      </w:r>
      <w:r w:rsidRPr="00391600">
        <w:rPr>
          <w:rFonts w:ascii="Palatino Linotype" w:hAnsi="Palatino Linotype" w:eastAsia="Palatino Linotype" w:cs="Times New Roman"/>
          <w:color w:val="000000" w:themeColor="text1"/>
        </w:rPr>
        <w:t xml:space="preserve">ndependent Program Evaluation across all Gas RD&amp;D administrators to </w:t>
      </w:r>
      <w:r w:rsidRPr="00391600" w:rsidR="00376F2C">
        <w:rPr>
          <w:rFonts w:ascii="Palatino Linotype" w:hAnsi="Palatino Linotype" w:eastAsia="Palatino Linotype" w:cs="Times New Roman"/>
          <w:color w:val="000000" w:themeColor="text1"/>
        </w:rPr>
        <w:t xml:space="preserve">promote </w:t>
      </w:r>
      <w:r w:rsidRPr="00391600">
        <w:rPr>
          <w:rFonts w:ascii="Palatino Linotype" w:hAnsi="Palatino Linotype" w:eastAsia="Palatino Linotype" w:cs="Times New Roman"/>
          <w:color w:val="000000" w:themeColor="text1"/>
        </w:rPr>
        <w:t>efficiencies</w:t>
      </w:r>
      <w:r w:rsidRPr="00391600" w:rsidR="009964BF">
        <w:rPr>
          <w:rFonts w:ascii="Palatino Linotype" w:hAnsi="Palatino Linotype" w:eastAsia="Palatino Linotype" w:cs="Times New Roman"/>
          <w:color w:val="000000" w:themeColor="text1"/>
        </w:rPr>
        <w:t xml:space="preserve">, assess </w:t>
      </w:r>
      <w:r w:rsidRPr="00391600" w:rsidR="006868E0">
        <w:rPr>
          <w:rFonts w:ascii="Palatino Linotype" w:hAnsi="Palatino Linotype" w:eastAsia="Palatino Linotype" w:cs="Times New Roman"/>
          <w:color w:val="000000" w:themeColor="text1"/>
        </w:rPr>
        <w:t xml:space="preserve">the </w:t>
      </w:r>
      <w:r w:rsidRPr="00391600" w:rsidR="009964BF">
        <w:rPr>
          <w:rFonts w:ascii="Palatino Linotype" w:hAnsi="Palatino Linotype" w:eastAsia="Palatino Linotype" w:cs="Times New Roman"/>
          <w:color w:val="000000" w:themeColor="text1"/>
        </w:rPr>
        <w:t xml:space="preserve">Gas RD&amp;D </w:t>
      </w:r>
      <w:r w:rsidRPr="00391600" w:rsidR="006868E0">
        <w:rPr>
          <w:rFonts w:ascii="Palatino Linotype" w:hAnsi="Palatino Linotype" w:eastAsia="Palatino Linotype" w:cs="Times New Roman"/>
          <w:color w:val="000000" w:themeColor="text1"/>
        </w:rPr>
        <w:t xml:space="preserve">program </w:t>
      </w:r>
      <w:r w:rsidRPr="00391600" w:rsidR="009964BF">
        <w:rPr>
          <w:rFonts w:ascii="Palatino Linotype" w:hAnsi="Palatino Linotype" w:eastAsia="Palatino Linotype" w:cs="Times New Roman"/>
          <w:color w:val="000000" w:themeColor="text1"/>
        </w:rPr>
        <w:t>at a holistic level,</w:t>
      </w:r>
      <w:r w:rsidRPr="00391600">
        <w:rPr>
          <w:rFonts w:ascii="Palatino Linotype" w:hAnsi="Palatino Linotype" w:eastAsia="Palatino Linotype" w:cs="Times New Roman"/>
          <w:color w:val="000000" w:themeColor="text1"/>
        </w:rPr>
        <w:t xml:space="preserve"> and improve transparency regarding the use of ratepayer funds.</w:t>
      </w:r>
      <w:r w:rsidRPr="00391600" w:rsidR="0032276D">
        <w:rPr>
          <w:rFonts w:ascii="Palatino Linotype" w:hAnsi="Palatino Linotype" w:eastAsia="Palatino Linotype" w:cs="Times New Roman"/>
          <w:color w:val="000000" w:themeColor="text1"/>
        </w:rPr>
        <w:t xml:space="preserve"> </w:t>
      </w:r>
      <w:r w:rsidRPr="00391600" w:rsidR="009964BF">
        <w:rPr>
          <w:rFonts w:ascii="Palatino Linotype" w:hAnsi="Palatino Linotype" w:eastAsia="Palatino Linotype" w:cs="Times New Roman"/>
          <w:color w:val="000000" w:themeColor="text1"/>
        </w:rPr>
        <w:t xml:space="preserve">The </w:t>
      </w:r>
      <w:r w:rsidRPr="00391600" w:rsidR="001C1879">
        <w:rPr>
          <w:rFonts w:ascii="Palatino Linotype" w:hAnsi="Palatino Linotype" w:eastAsia="Palatino Linotype" w:cs="Times New Roman"/>
          <w:color w:val="000000" w:themeColor="text1"/>
        </w:rPr>
        <w:t>CEC</w:t>
      </w:r>
      <w:r w:rsidRPr="00391600">
        <w:rPr>
          <w:rFonts w:ascii="Palatino Linotype" w:hAnsi="Palatino Linotype" w:eastAsia="Palatino Linotype" w:cs="Times New Roman"/>
          <w:color w:val="000000" w:themeColor="text1"/>
        </w:rPr>
        <w:t xml:space="preserve"> </w:t>
      </w:r>
      <w:r w:rsidRPr="00391600" w:rsidR="6A8C2350">
        <w:rPr>
          <w:rFonts w:ascii="Palatino Linotype" w:hAnsi="Palatino Linotype" w:eastAsia="Palatino Linotype" w:cs="Times New Roman"/>
          <w:color w:val="000000" w:themeColor="text1"/>
        </w:rPr>
        <w:t>shall</w:t>
      </w:r>
      <w:r w:rsidRPr="00391600">
        <w:rPr>
          <w:rFonts w:ascii="Palatino Linotype" w:hAnsi="Palatino Linotype" w:eastAsia="Palatino Linotype" w:cs="Times New Roman"/>
          <w:color w:val="000000" w:themeColor="text1"/>
        </w:rPr>
        <w:t xml:space="preserve"> allocate funds towards its proportional share</w:t>
      </w:r>
      <w:r w:rsidRPr="00391600" w:rsidR="4596ECDD">
        <w:rPr>
          <w:rFonts w:ascii="Palatino Linotype" w:hAnsi="Palatino Linotype" w:eastAsia="Palatino Linotype" w:cs="Times New Roman"/>
          <w:color w:val="000000" w:themeColor="text1"/>
        </w:rPr>
        <w:t xml:space="preserve">, </w:t>
      </w:r>
      <w:r w:rsidRPr="00391600" w:rsidR="4596ECDD">
        <w:rPr>
          <w:rFonts w:ascii="Palatino Linotype" w:hAnsi="Palatino Linotype"/>
          <w:color w:val="000000" w:themeColor="text1"/>
        </w:rPr>
        <w:t>$184,511,</w:t>
      </w:r>
      <w:r w:rsidRPr="00391600">
        <w:rPr>
          <w:rFonts w:ascii="Palatino Linotype" w:hAnsi="Palatino Linotype" w:eastAsia="Palatino Linotype" w:cs="Times New Roman"/>
          <w:color w:val="000000" w:themeColor="text1"/>
        </w:rPr>
        <w:t xml:space="preserve"> of developing a comprehensive Gas RD&amp;D Database of projects</w:t>
      </w:r>
      <w:r w:rsidRPr="00391600" w:rsidR="6571B491">
        <w:rPr>
          <w:rFonts w:ascii="Palatino Linotype" w:hAnsi="Palatino Linotype" w:eastAsia="Palatino Linotype" w:cs="Times New Roman"/>
          <w:color w:val="000000" w:themeColor="text1"/>
        </w:rPr>
        <w:t>.</w:t>
      </w:r>
      <w:r w:rsidRPr="00391600">
        <w:rPr>
          <w:rStyle w:val="FootnoteReference"/>
          <w:rFonts w:ascii="Palatino Linotype" w:hAnsi="Palatino Linotype" w:eastAsia="Palatino Linotype" w:cs="Times New Roman"/>
          <w:color w:val="000000" w:themeColor="text1"/>
        </w:rPr>
        <w:footnoteReference w:id="119"/>
      </w:r>
      <w:r w:rsidRPr="00391600">
        <w:rPr>
          <w:rFonts w:ascii="Palatino Linotype" w:hAnsi="Palatino Linotype"/>
          <w:color w:val="000000" w:themeColor="text1"/>
        </w:rPr>
        <w:t xml:space="preserve"> In consultation with </w:t>
      </w:r>
      <w:r w:rsidRPr="00391600" w:rsidR="00561EBA">
        <w:rPr>
          <w:rFonts w:ascii="Palatino Linotype" w:hAnsi="Palatino Linotype" w:eastAsia="Palatino Linotype" w:cs="Times New Roman"/>
          <w:color w:val="000000" w:themeColor="text1"/>
        </w:rPr>
        <w:t>Energy Division</w:t>
      </w:r>
      <w:r w:rsidRPr="00391600" w:rsidR="00561EBA">
        <w:rPr>
          <w:rFonts w:ascii="Palatino Linotype" w:hAnsi="Palatino Linotype"/>
          <w:color w:val="000000" w:themeColor="text1"/>
        </w:rPr>
        <w:t xml:space="preserve"> </w:t>
      </w:r>
      <w:r w:rsidRPr="00391600">
        <w:rPr>
          <w:rFonts w:ascii="Palatino Linotype" w:hAnsi="Palatino Linotype"/>
          <w:color w:val="000000" w:themeColor="text1"/>
        </w:rPr>
        <w:t xml:space="preserve">staff and the Database administrator, </w:t>
      </w:r>
      <w:r w:rsidRPr="00391600" w:rsidR="009964BF">
        <w:rPr>
          <w:rFonts w:ascii="Palatino Linotype" w:hAnsi="Palatino Linotype"/>
          <w:color w:val="000000" w:themeColor="text1"/>
        </w:rPr>
        <w:t xml:space="preserve">the </w:t>
      </w:r>
      <w:r w:rsidRPr="00391600" w:rsidR="001C1879">
        <w:rPr>
          <w:rFonts w:ascii="Palatino Linotype" w:hAnsi="Palatino Linotype"/>
          <w:color w:val="000000" w:themeColor="text1"/>
        </w:rPr>
        <w:t>CEC</w:t>
      </w:r>
      <w:r w:rsidRPr="00391600">
        <w:rPr>
          <w:rFonts w:ascii="Palatino Linotype" w:hAnsi="Palatino Linotype"/>
          <w:color w:val="000000" w:themeColor="text1"/>
        </w:rPr>
        <w:t xml:space="preserve"> shall allocate and reimburse additional funds in future Plans for its proportional share of the maintenance and operational needs of the Database once established.</w:t>
      </w:r>
      <w:r w:rsidRPr="00391600" w:rsidR="009964BF">
        <w:rPr>
          <w:rFonts w:ascii="Palatino Linotype" w:hAnsi="Palatino Linotype"/>
          <w:color w:val="000000" w:themeColor="text1"/>
        </w:rPr>
        <w:t xml:space="preserve"> </w:t>
      </w:r>
      <w:r w:rsidRPr="00391600" w:rsidR="009964BF">
        <w:rPr>
          <w:rFonts w:ascii="Palatino Linotype" w:hAnsi="Palatino Linotype" w:eastAsia="Palatino Linotype" w:cs="Times New Roman"/>
          <w:color w:val="000000" w:themeColor="text1"/>
        </w:rPr>
        <w:t>Energy Division shall advise the CEC on next steps.</w:t>
      </w:r>
    </w:p>
    <w:p w:rsidRPr="00391600" w:rsidR="006A0099" w:rsidP="006A0099" w:rsidRDefault="006A0099" w14:paraId="51C4EA73" w14:textId="77777777">
      <w:pPr>
        <w:spacing w:after="0" w:line="276" w:lineRule="auto"/>
        <w:rPr>
          <w:rFonts w:ascii="Palatino Linotype" w:hAnsi="Palatino Linotype" w:eastAsia="Palatino Linotype" w:cs="Times New Roman"/>
          <w:color w:val="000000" w:themeColor="text1"/>
          <w:u w:val="single"/>
        </w:rPr>
      </w:pPr>
    </w:p>
    <w:p w:rsidRPr="00391600" w:rsidR="006A0099" w:rsidP="006A0099" w:rsidRDefault="006A0099" w14:paraId="0A63172C" w14:textId="77777777">
      <w:pPr>
        <w:spacing w:line="276" w:lineRule="auto"/>
        <w:rPr>
          <w:rFonts w:ascii="Palatino Linotype" w:hAnsi="Palatino Linotype" w:eastAsia="Palatino Linotype" w:cs="Times New Roman"/>
          <w:color w:val="000000" w:themeColor="text1"/>
          <w:u w:val="single"/>
        </w:rPr>
      </w:pPr>
      <w:r w:rsidRPr="00391600">
        <w:rPr>
          <w:rFonts w:ascii="Palatino Linotype" w:hAnsi="Palatino Linotype" w:eastAsia="Palatino Linotype" w:cs="Times New Roman"/>
          <w:color w:val="000000" w:themeColor="text1"/>
          <w:u w:val="single"/>
        </w:rPr>
        <w:t>Modeling EPIC’s Strategic Goals &amp; Objectives</w:t>
      </w:r>
    </w:p>
    <w:p w:rsidRPr="00391600" w:rsidR="006A0099" w:rsidP="006A0099" w:rsidRDefault="00D26D88" w14:paraId="4D6B9194" w14:textId="7D2CC89A">
      <w:pPr>
        <w:spacing w:after="0" w:line="276" w:lineRule="auto"/>
        <w:rPr>
          <w:rFonts w:ascii="Palatino Linotype" w:hAnsi="Palatino Linotype"/>
          <w:color w:val="000000" w:themeColor="text1"/>
        </w:rPr>
      </w:pPr>
      <w:r w:rsidRPr="00391600">
        <w:rPr>
          <w:rFonts w:ascii="Palatino Linotype" w:hAnsi="Palatino Linotype"/>
          <w:color w:val="000000" w:themeColor="text1"/>
        </w:rPr>
        <w:t>In Resolution G-3618 (202</w:t>
      </w:r>
      <w:r w:rsidRPr="00391600" w:rsidR="002248AB">
        <w:rPr>
          <w:rFonts w:ascii="Palatino Linotype" w:hAnsi="Palatino Linotype"/>
          <w:color w:val="000000" w:themeColor="text1"/>
        </w:rPr>
        <w:t>6</w:t>
      </w:r>
      <w:r w:rsidRPr="00391600">
        <w:rPr>
          <w:rFonts w:ascii="Palatino Linotype" w:hAnsi="Palatino Linotype"/>
          <w:color w:val="000000" w:themeColor="text1"/>
        </w:rPr>
        <w:t>),</w:t>
      </w:r>
      <w:r w:rsidRPr="00391600">
        <w:rPr>
          <w:rStyle w:val="FootnoteReference"/>
          <w:rFonts w:ascii="Palatino Linotype" w:hAnsi="Palatino Linotype"/>
          <w:color w:val="000000" w:themeColor="text1"/>
        </w:rPr>
        <w:footnoteReference w:id="120"/>
      </w:r>
      <w:r w:rsidRPr="00391600">
        <w:rPr>
          <w:rFonts w:ascii="Palatino Linotype" w:hAnsi="Palatino Linotype"/>
          <w:color w:val="000000" w:themeColor="text1"/>
        </w:rPr>
        <w:t xml:space="preserve"> </w:t>
      </w:r>
      <w:r w:rsidRPr="00391600" w:rsidR="003B40B4">
        <w:rPr>
          <w:rFonts w:ascii="Palatino Linotype" w:hAnsi="Palatino Linotype"/>
          <w:color w:val="000000" w:themeColor="text1"/>
        </w:rPr>
        <w:t xml:space="preserve">the Commission </w:t>
      </w:r>
      <w:r w:rsidRPr="00391600" w:rsidR="009964BF">
        <w:rPr>
          <w:rFonts w:ascii="Palatino Linotype" w:hAnsi="Palatino Linotype"/>
          <w:color w:val="000000" w:themeColor="text1"/>
        </w:rPr>
        <w:t xml:space="preserve">finds </w:t>
      </w:r>
      <w:r w:rsidRPr="00391600" w:rsidR="003B40B4">
        <w:rPr>
          <w:rFonts w:ascii="Palatino Linotype" w:hAnsi="Palatino Linotype"/>
          <w:color w:val="000000" w:themeColor="text1"/>
        </w:rPr>
        <w:t xml:space="preserve">that </w:t>
      </w:r>
      <w:r w:rsidRPr="00391600" w:rsidR="00561EBA">
        <w:rPr>
          <w:rFonts w:ascii="Palatino Linotype" w:hAnsi="Palatino Linotype" w:eastAsia="Palatino Linotype" w:cs="Times New Roman"/>
          <w:color w:val="000000" w:themeColor="text1"/>
        </w:rPr>
        <w:t>Energy Division</w:t>
      </w:r>
      <w:r w:rsidRPr="00391600" w:rsidR="006A0099">
        <w:rPr>
          <w:rFonts w:ascii="Palatino Linotype" w:hAnsi="Palatino Linotype"/>
          <w:color w:val="000000" w:themeColor="text1"/>
        </w:rPr>
        <w:t xml:space="preserve"> staff may commence a stakeholder process and </w:t>
      </w:r>
      <w:r w:rsidRPr="00391600" w:rsidR="009B3679">
        <w:rPr>
          <w:rFonts w:ascii="Palatino Linotype" w:hAnsi="Palatino Linotype"/>
          <w:color w:val="000000" w:themeColor="text1"/>
        </w:rPr>
        <w:t xml:space="preserve">facilitate </w:t>
      </w:r>
      <w:r w:rsidRPr="00391600" w:rsidR="00F30EAF">
        <w:rPr>
          <w:rFonts w:ascii="Palatino Linotype" w:hAnsi="Palatino Linotype"/>
          <w:color w:val="000000" w:themeColor="text1"/>
        </w:rPr>
        <w:t xml:space="preserve">strategic planning to </w:t>
      </w:r>
      <w:r w:rsidRPr="00391600" w:rsidR="009B3679">
        <w:rPr>
          <w:rFonts w:ascii="Palatino Linotype" w:hAnsi="Palatino Linotype"/>
          <w:color w:val="000000" w:themeColor="text1"/>
        </w:rPr>
        <w:t xml:space="preserve">model the EPIC </w:t>
      </w:r>
      <w:r w:rsidRPr="00391600" w:rsidR="00F30EAF">
        <w:rPr>
          <w:rFonts w:ascii="Palatino Linotype" w:hAnsi="Palatino Linotype"/>
          <w:color w:val="000000" w:themeColor="text1"/>
        </w:rPr>
        <w:t xml:space="preserve">program </w:t>
      </w:r>
      <w:r w:rsidRPr="00391600" w:rsidR="007E6A18">
        <w:rPr>
          <w:rFonts w:ascii="Palatino Linotype" w:hAnsi="Palatino Linotype"/>
          <w:color w:val="000000" w:themeColor="text1"/>
        </w:rPr>
        <w:t>by identifying</w:t>
      </w:r>
      <w:r w:rsidRPr="00391600" w:rsidR="009B3679">
        <w:rPr>
          <w:rFonts w:ascii="Palatino Linotype" w:hAnsi="Palatino Linotype"/>
          <w:color w:val="000000" w:themeColor="text1"/>
        </w:rPr>
        <w:t xml:space="preserve"> Strategic Goals</w:t>
      </w:r>
      <w:r w:rsidRPr="00391600" w:rsidR="009B3679">
        <w:rPr>
          <w:rStyle w:val="FootnoteReference"/>
          <w:rFonts w:ascii="Palatino Linotype" w:hAnsi="Palatino Linotype" w:eastAsia="Palatino Linotype" w:cs="Palatino Linotype"/>
          <w:color w:val="000000" w:themeColor="text1"/>
        </w:rPr>
        <w:footnoteReference w:id="121"/>
      </w:r>
      <w:r w:rsidRPr="00391600" w:rsidR="009B3679">
        <w:rPr>
          <w:rFonts w:ascii="Palatino Linotype" w:hAnsi="Palatino Linotype"/>
          <w:color w:val="000000" w:themeColor="text1"/>
        </w:rPr>
        <w:t xml:space="preserve"> to promote coordination, consistency, and best practices across ratepayer-funded RD&amp;D investments.</w:t>
      </w:r>
    </w:p>
    <w:p w:rsidRPr="00391600" w:rsidR="00900A8E" w:rsidP="003147DD" w:rsidRDefault="00900A8E" w14:paraId="6C766CC9"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A76F4A" w:rsidP="003147DD" w:rsidRDefault="00A76F4A" w14:paraId="3D85FD64" w14:textId="63A5DED9">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caps/>
          <w:color w:val="000000" w:themeColor="text1"/>
          <w:kern w:val="28"/>
          <w:u w:val="single"/>
          <w14:ligatures w14:val="none"/>
        </w:rPr>
        <w:lastRenderedPageBreak/>
        <w:t>Comments</w:t>
      </w:r>
    </w:p>
    <w:p w:rsidRPr="00391600" w:rsidR="00DA78D1" w:rsidP="005010B9" w:rsidRDefault="00A76F4A" w14:paraId="166B6675" w14:textId="77777777">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 </w:t>
      </w:r>
    </w:p>
    <w:p w:rsidRPr="00391600" w:rsidR="00DA78D1" w:rsidP="005010B9" w:rsidRDefault="00DA78D1" w14:paraId="093F46D3"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A76F4A" w:rsidP="005010B9" w:rsidRDefault="00DA78D1" w14:paraId="2ADB9E57" w14:textId="38D7470A">
      <w:p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The 30-day review and 20-day comment period for the draft of this Resolution was neither waived nor reduced. Accordingly, this draft Resolution was mailed to parties for comments and will be placed on the Commission's agenda no earlier than 30 days from today.</w:t>
      </w:r>
      <w:r w:rsidRPr="00391600" w:rsidR="00A76F4A">
        <w:rPr>
          <w:rFonts w:ascii="Palatino Linotype" w:hAnsi="Palatino Linotype" w:eastAsia="Palatino Linotype" w:cs="Times New Roman"/>
          <w:color w:val="000000" w:themeColor="text1"/>
          <w:kern w:val="0"/>
          <w14:ligatures w14:val="none"/>
        </w:rPr>
        <w:t xml:space="preserve"> </w:t>
      </w:r>
      <w:r w:rsidRPr="00391600" w:rsidR="00657AC5">
        <w:rPr>
          <w:rFonts w:ascii="Palatino Linotype" w:hAnsi="Palatino Linotype" w:eastAsia="Palatino Linotype" w:cs="Times New Roman"/>
          <w:color w:val="000000" w:themeColor="text1"/>
          <w:kern w:val="0"/>
          <w14:ligatures w14:val="none"/>
        </w:rPr>
        <w:t>The Commission required that c</w:t>
      </w:r>
      <w:r w:rsidRPr="00391600" w:rsidR="00FE7722">
        <w:rPr>
          <w:rFonts w:ascii="Palatino Linotype" w:hAnsi="Palatino Linotype" w:eastAsia="Palatino Linotype" w:cs="Times New Roman"/>
          <w:color w:val="000000" w:themeColor="text1"/>
          <w:kern w:val="0"/>
          <w14:ligatures w14:val="none"/>
        </w:rPr>
        <w:t xml:space="preserve">omments </w:t>
      </w:r>
      <w:r w:rsidRPr="00391600" w:rsidR="00657AC5">
        <w:rPr>
          <w:rFonts w:ascii="Palatino Linotype" w:hAnsi="Palatino Linotype" w:eastAsia="Palatino Linotype" w:cs="Times New Roman"/>
          <w:color w:val="000000" w:themeColor="text1"/>
          <w:kern w:val="0"/>
          <w14:ligatures w14:val="none"/>
        </w:rPr>
        <w:t xml:space="preserve">on the Draft Resolution </w:t>
      </w:r>
      <w:r w:rsidRPr="00391600" w:rsidR="00FE7722">
        <w:rPr>
          <w:rFonts w:ascii="Palatino Linotype" w:hAnsi="Palatino Linotype" w:eastAsia="Palatino Linotype" w:cs="Times New Roman"/>
          <w:color w:val="000000" w:themeColor="text1"/>
          <w:kern w:val="0"/>
          <w14:ligatures w14:val="none"/>
        </w:rPr>
        <w:t>be limited to 10 pages or less.</w:t>
      </w:r>
      <w:r w:rsidRPr="00391600" w:rsidR="00657AC5">
        <w:rPr>
          <w:rFonts w:ascii="Palatino Linotype" w:hAnsi="Palatino Linotype" w:eastAsia="Palatino Linotype" w:cs="Times New Roman"/>
          <w:color w:val="000000" w:themeColor="text1"/>
          <w:kern w:val="0"/>
          <w14:ligatures w14:val="none"/>
        </w:rPr>
        <w:t xml:space="preserve"> </w:t>
      </w:r>
      <w:r w:rsidRPr="00391600" w:rsidR="001F0729">
        <w:rPr>
          <w:rFonts w:ascii="Palatino Linotype" w:hAnsi="Palatino Linotype" w:eastAsia="Palatino Linotype" w:cs="Times New Roman"/>
          <w:color w:val="000000" w:themeColor="text1"/>
          <w:kern w:val="0"/>
          <w14:ligatures w14:val="none"/>
        </w:rPr>
        <w:t>On</w:t>
      </w:r>
      <w:r w:rsidRPr="00391600" w:rsidR="0030777C">
        <w:rPr>
          <w:rFonts w:ascii="Palatino Linotype" w:hAnsi="Palatino Linotype" w:eastAsia="Palatino Linotype" w:cs="Times New Roman"/>
          <w:color w:val="000000" w:themeColor="text1"/>
          <w:kern w:val="0"/>
          <w14:ligatures w14:val="none"/>
        </w:rPr>
        <w:t xml:space="preserve"> </w:t>
      </w:r>
      <w:r w:rsidRPr="00391600" w:rsidR="001F0729">
        <w:rPr>
          <w:rFonts w:ascii="Palatino Linotype" w:hAnsi="Palatino Linotype" w:eastAsia="Palatino Linotype" w:cs="Times New Roman"/>
          <w:color w:val="000000" w:themeColor="text1"/>
          <w:kern w:val="0"/>
          <w14:ligatures w14:val="none"/>
        </w:rPr>
        <w:t>August 28, 2026</w:t>
      </w:r>
      <w:r w:rsidRPr="00391600" w:rsidR="0030777C">
        <w:rPr>
          <w:rFonts w:ascii="Palatino Linotype" w:hAnsi="Palatino Linotype" w:eastAsia="Palatino Linotype" w:cs="Times New Roman"/>
          <w:color w:val="000000" w:themeColor="text1"/>
          <w:kern w:val="0"/>
          <w14:ligatures w14:val="none"/>
        </w:rPr>
        <w:t>, t</w:t>
      </w:r>
      <w:r w:rsidRPr="00391600" w:rsidR="00657AC5">
        <w:rPr>
          <w:rFonts w:ascii="Palatino Linotype" w:hAnsi="Palatino Linotype" w:eastAsia="Palatino Linotype" w:cs="Times New Roman"/>
          <w:color w:val="000000" w:themeColor="text1"/>
          <w:kern w:val="0"/>
          <w14:ligatures w14:val="none"/>
        </w:rPr>
        <w:t xml:space="preserve">he CEC requested </w:t>
      </w:r>
      <w:r w:rsidRPr="00391600" w:rsidR="005B4E74">
        <w:rPr>
          <w:rFonts w:ascii="Palatino Linotype" w:hAnsi="Palatino Linotype" w:eastAsia="Palatino Linotype" w:cs="Times New Roman"/>
          <w:color w:val="000000" w:themeColor="text1"/>
          <w:kern w:val="0"/>
          <w14:ligatures w14:val="none"/>
        </w:rPr>
        <w:t xml:space="preserve">to waive the </w:t>
      </w:r>
      <w:r w:rsidRPr="00391600" w:rsidR="008023B5">
        <w:rPr>
          <w:rFonts w:ascii="Palatino Linotype" w:hAnsi="Palatino Linotype" w:eastAsia="Palatino Linotype" w:cs="Times New Roman"/>
          <w:color w:val="000000" w:themeColor="text1"/>
          <w:kern w:val="0"/>
          <w14:ligatures w14:val="none"/>
        </w:rPr>
        <w:t>10-</w:t>
      </w:r>
      <w:r w:rsidRPr="00391600" w:rsidR="00657AC5">
        <w:rPr>
          <w:rFonts w:ascii="Palatino Linotype" w:hAnsi="Palatino Linotype" w:eastAsia="Palatino Linotype" w:cs="Times New Roman"/>
          <w:color w:val="000000" w:themeColor="text1"/>
          <w:kern w:val="0"/>
          <w14:ligatures w14:val="none"/>
        </w:rPr>
        <w:t>page limit</w:t>
      </w:r>
      <w:r w:rsidRPr="00391600" w:rsidR="008C7E94">
        <w:rPr>
          <w:rFonts w:ascii="Palatino Linotype" w:hAnsi="Palatino Linotype" w:eastAsia="Palatino Linotype" w:cs="Times New Roman"/>
          <w:color w:val="000000" w:themeColor="text1"/>
          <w:kern w:val="0"/>
          <w14:ligatures w14:val="none"/>
        </w:rPr>
        <w:t>.</w:t>
      </w:r>
      <w:r w:rsidRPr="00391600" w:rsidDel="008C7E94" w:rsidR="00657AC5">
        <w:rPr>
          <w:rFonts w:ascii="Palatino Linotype" w:hAnsi="Palatino Linotype" w:eastAsia="Palatino Linotype" w:cs="Times New Roman"/>
          <w:color w:val="000000" w:themeColor="text1"/>
          <w:kern w:val="0"/>
          <w14:ligatures w14:val="none"/>
        </w:rPr>
        <w:t xml:space="preserve"> </w:t>
      </w:r>
      <w:r w:rsidRPr="00391600" w:rsidR="009464B1">
        <w:rPr>
          <w:rFonts w:ascii="Palatino Linotype" w:hAnsi="Palatino Linotype" w:eastAsia="Palatino Linotype" w:cs="Times New Roman"/>
          <w:color w:val="000000" w:themeColor="text1"/>
          <w:kern w:val="0"/>
          <w14:ligatures w14:val="none"/>
        </w:rPr>
        <w:t xml:space="preserve">On </w:t>
      </w:r>
      <w:r w:rsidRPr="00391600" w:rsidR="001E70F0">
        <w:rPr>
          <w:rFonts w:ascii="Palatino Linotype" w:hAnsi="Palatino Linotype" w:eastAsia="Palatino Linotype" w:cs="Times New Roman"/>
          <w:color w:val="000000" w:themeColor="text1"/>
          <w:kern w:val="0"/>
          <w14:ligatures w14:val="none"/>
        </w:rPr>
        <w:t>September 1, 2026</w:t>
      </w:r>
      <w:r w:rsidRPr="00391600" w:rsidR="00657AC5">
        <w:rPr>
          <w:rFonts w:ascii="Palatino Linotype" w:hAnsi="Palatino Linotype" w:eastAsia="Palatino Linotype" w:cs="Times New Roman"/>
          <w:color w:val="000000" w:themeColor="text1"/>
          <w:kern w:val="0"/>
          <w14:ligatures w14:val="none"/>
        </w:rPr>
        <w:t>,</w:t>
      </w:r>
      <w:r w:rsidRPr="00391600" w:rsidR="002A2B81">
        <w:rPr>
          <w:rFonts w:ascii="Palatino Linotype" w:hAnsi="Palatino Linotype" w:eastAsia="Palatino Linotype" w:cs="Times New Roman"/>
          <w:color w:val="000000" w:themeColor="text1"/>
          <w:kern w:val="0"/>
          <w14:ligatures w14:val="none"/>
        </w:rPr>
        <w:t xml:space="preserve"> Energy Division granted</w:t>
      </w:r>
      <w:r w:rsidRPr="00391600" w:rsidR="00FB43A3">
        <w:rPr>
          <w:rFonts w:ascii="Palatino Linotype" w:hAnsi="Palatino Linotype" w:eastAsia="Palatino Linotype" w:cs="Times New Roman"/>
          <w:color w:val="000000" w:themeColor="text1"/>
          <w:kern w:val="0"/>
          <w14:ligatures w14:val="none"/>
        </w:rPr>
        <w:t xml:space="preserve"> </w:t>
      </w:r>
      <w:r w:rsidRPr="00391600" w:rsidR="00C873B3">
        <w:rPr>
          <w:rFonts w:ascii="Palatino Linotype" w:hAnsi="Palatino Linotype" w:eastAsia="Palatino Linotype" w:cs="Times New Roman"/>
          <w:color w:val="000000" w:themeColor="text1"/>
          <w:kern w:val="0"/>
          <w14:ligatures w14:val="none"/>
        </w:rPr>
        <w:t>the CEC a 20</w:t>
      </w:r>
      <w:r w:rsidRPr="00391600" w:rsidR="009D20C3">
        <w:rPr>
          <w:rFonts w:ascii="Palatino Linotype" w:hAnsi="Palatino Linotype" w:eastAsia="Palatino Linotype" w:cs="Times New Roman"/>
          <w:color w:val="000000" w:themeColor="text1"/>
          <w:kern w:val="0"/>
          <w14:ligatures w14:val="none"/>
        </w:rPr>
        <w:t>-</w:t>
      </w:r>
      <w:r w:rsidRPr="00391600" w:rsidR="00C873B3">
        <w:rPr>
          <w:rFonts w:ascii="Palatino Linotype" w:hAnsi="Palatino Linotype" w:eastAsia="Palatino Linotype" w:cs="Times New Roman"/>
          <w:color w:val="000000" w:themeColor="text1"/>
          <w:kern w:val="0"/>
          <w14:ligatures w14:val="none"/>
        </w:rPr>
        <w:t xml:space="preserve">page limit and </w:t>
      </w:r>
      <w:r w:rsidRPr="00391600" w:rsidR="00DF53F2">
        <w:rPr>
          <w:rFonts w:ascii="Palatino Linotype" w:hAnsi="Palatino Linotype" w:eastAsia="Palatino Linotype" w:cs="Times New Roman"/>
          <w:color w:val="000000" w:themeColor="text1"/>
          <w:kern w:val="0"/>
          <w14:ligatures w14:val="none"/>
        </w:rPr>
        <w:t xml:space="preserve">directed the CEC </w:t>
      </w:r>
      <w:r w:rsidRPr="00391600" w:rsidR="002A2B81">
        <w:rPr>
          <w:rFonts w:ascii="Palatino Linotype" w:hAnsi="Palatino Linotype" w:eastAsia="Palatino Linotype" w:cs="Times New Roman"/>
          <w:color w:val="000000" w:themeColor="text1"/>
          <w:kern w:val="0"/>
          <w14:ligatures w14:val="none"/>
        </w:rPr>
        <w:t xml:space="preserve">to </w:t>
      </w:r>
      <w:r w:rsidRPr="00391600" w:rsidR="006D5CC7">
        <w:rPr>
          <w:rFonts w:ascii="Palatino Linotype" w:hAnsi="Palatino Linotype" w:eastAsia="Palatino Linotype" w:cs="Times New Roman"/>
          <w:color w:val="000000" w:themeColor="text1"/>
          <w:kern w:val="0"/>
          <w14:ligatures w14:val="none"/>
        </w:rPr>
        <w:t xml:space="preserve">notify </w:t>
      </w:r>
      <w:r w:rsidRPr="00391600" w:rsidR="00A4061E">
        <w:rPr>
          <w:rFonts w:ascii="Palatino Linotype" w:hAnsi="Palatino Linotype" w:eastAsia="Palatino Linotype" w:cs="Times New Roman"/>
          <w:color w:val="000000" w:themeColor="text1"/>
          <w:kern w:val="0"/>
          <w14:ligatures w14:val="none"/>
        </w:rPr>
        <w:t>the service list tha</w:t>
      </w:r>
      <w:r w:rsidRPr="00391600" w:rsidR="009D20C3">
        <w:rPr>
          <w:rFonts w:ascii="Palatino Linotype" w:hAnsi="Palatino Linotype" w:eastAsia="Palatino Linotype" w:cs="Times New Roman"/>
          <w:color w:val="000000" w:themeColor="text1"/>
          <w:kern w:val="0"/>
          <w14:ligatures w14:val="none"/>
        </w:rPr>
        <w:t>t</w:t>
      </w:r>
      <w:r w:rsidRPr="00391600" w:rsidR="00A4061E">
        <w:rPr>
          <w:rFonts w:ascii="Palatino Linotype" w:hAnsi="Palatino Linotype" w:eastAsia="Palatino Linotype" w:cs="Times New Roman"/>
          <w:color w:val="000000" w:themeColor="text1"/>
          <w:kern w:val="0"/>
          <w14:ligatures w14:val="none"/>
        </w:rPr>
        <w:t xml:space="preserve"> </w:t>
      </w:r>
      <w:r w:rsidRPr="00391600" w:rsidR="00CC4B80">
        <w:rPr>
          <w:rFonts w:ascii="Palatino Linotype" w:hAnsi="Palatino Linotype" w:eastAsia="Palatino Linotype" w:cs="Times New Roman"/>
          <w:color w:val="000000" w:themeColor="text1"/>
          <w:kern w:val="0"/>
          <w14:ligatures w14:val="none"/>
        </w:rPr>
        <w:t>a</w:t>
      </w:r>
      <w:r w:rsidRPr="00391600" w:rsidR="002A2B81">
        <w:rPr>
          <w:rFonts w:ascii="Palatino Linotype" w:hAnsi="Palatino Linotype" w:eastAsia="Palatino Linotype" w:cs="Times New Roman"/>
          <w:color w:val="000000" w:themeColor="text1"/>
          <w:kern w:val="0"/>
          <w14:ligatures w14:val="none"/>
        </w:rPr>
        <w:t xml:space="preserve">ll parties </w:t>
      </w:r>
      <w:r w:rsidRPr="00391600" w:rsidR="008E648D">
        <w:rPr>
          <w:rFonts w:ascii="Palatino Linotype" w:hAnsi="Palatino Linotype" w:eastAsia="Palatino Linotype" w:cs="Times New Roman"/>
          <w:color w:val="000000" w:themeColor="text1"/>
          <w:kern w:val="0"/>
          <w14:ligatures w14:val="none"/>
        </w:rPr>
        <w:t>were</w:t>
      </w:r>
      <w:r w:rsidRPr="00391600" w:rsidR="009D20C3">
        <w:rPr>
          <w:rFonts w:ascii="Palatino Linotype" w:hAnsi="Palatino Linotype" w:eastAsia="Palatino Linotype" w:cs="Times New Roman"/>
          <w:color w:val="000000" w:themeColor="text1"/>
          <w:kern w:val="0"/>
          <w14:ligatures w14:val="none"/>
        </w:rPr>
        <w:t xml:space="preserve"> also</w:t>
      </w:r>
      <w:r w:rsidRPr="00391600" w:rsidR="008E648D">
        <w:rPr>
          <w:rFonts w:ascii="Palatino Linotype" w:hAnsi="Palatino Linotype" w:eastAsia="Palatino Linotype" w:cs="Times New Roman"/>
          <w:color w:val="000000" w:themeColor="text1"/>
          <w:kern w:val="0"/>
          <w14:ligatures w14:val="none"/>
        </w:rPr>
        <w:t xml:space="preserve"> granted </w:t>
      </w:r>
      <w:r w:rsidRPr="00391600" w:rsidR="00942990">
        <w:rPr>
          <w:rFonts w:ascii="Palatino Linotype" w:hAnsi="Palatino Linotype" w:eastAsia="Palatino Linotype" w:cs="Times New Roman"/>
          <w:color w:val="000000" w:themeColor="text1"/>
          <w:kern w:val="0"/>
          <w14:ligatures w14:val="none"/>
        </w:rPr>
        <w:t>a 20</w:t>
      </w:r>
      <w:r w:rsidRPr="00391600" w:rsidR="005F1ED9">
        <w:rPr>
          <w:rFonts w:ascii="Palatino Linotype" w:hAnsi="Palatino Linotype" w:eastAsia="Palatino Linotype" w:cs="Times New Roman"/>
          <w:color w:val="000000" w:themeColor="text1"/>
          <w:kern w:val="0"/>
          <w14:ligatures w14:val="none"/>
        </w:rPr>
        <w:t>-</w:t>
      </w:r>
      <w:r w:rsidRPr="00391600" w:rsidR="00942990">
        <w:rPr>
          <w:rFonts w:ascii="Palatino Linotype" w:hAnsi="Palatino Linotype" w:eastAsia="Palatino Linotype" w:cs="Times New Roman"/>
          <w:color w:val="000000" w:themeColor="text1"/>
          <w:kern w:val="0"/>
          <w14:ligatures w14:val="none"/>
        </w:rPr>
        <w:t>page limit</w:t>
      </w:r>
      <w:r w:rsidRPr="00391600" w:rsidR="005773F1">
        <w:rPr>
          <w:rFonts w:ascii="Palatino Linotype" w:hAnsi="Palatino Linotype" w:eastAsia="Palatino Linotype" w:cs="Times New Roman"/>
          <w:color w:val="000000" w:themeColor="text1"/>
          <w:kern w:val="0"/>
          <w14:ligatures w14:val="none"/>
        </w:rPr>
        <w:t>.</w:t>
      </w:r>
    </w:p>
    <w:p w:rsidRPr="00391600" w:rsidR="00EE38C1" w:rsidP="00EE38C1" w:rsidRDefault="00EE38C1" w14:paraId="15E3F09B" w14:textId="21F2D736">
      <w:pPr>
        <w:spacing w:after="0" w:line="276" w:lineRule="auto"/>
        <w:jc w:val="center"/>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w:t>
      </w:r>
    </w:p>
    <w:p w:rsidRPr="00391600" w:rsidR="00A93086" w:rsidP="00A93086" w:rsidRDefault="00A93086" w14:paraId="15431D92" w14:textId="3146D572">
      <w:pPr>
        <w:spacing w:after="0"/>
        <w:rPr>
          <w:rFonts w:ascii="Palatino Linotype" w:hAnsi="Palatino Linotype"/>
        </w:rPr>
      </w:pPr>
      <w:r w:rsidRPr="00391600">
        <w:rPr>
          <w:rFonts w:ascii="Palatino Linotype" w:hAnsi="Palatino Linotype"/>
        </w:rPr>
        <w:t xml:space="preserve">The CPUC received </w:t>
      </w:r>
      <w:r w:rsidRPr="00391600" w:rsidR="25571618">
        <w:rPr>
          <w:rFonts w:ascii="Palatino Linotype" w:hAnsi="Palatino Linotype"/>
        </w:rPr>
        <w:t xml:space="preserve">a </w:t>
      </w:r>
      <w:r w:rsidRPr="00391600">
        <w:rPr>
          <w:rFonts w:ascii="Palatino Linotype" w:hAnsi="Palatino Linotype"/>
        </w:rPr>
        <w:t xml:space="preserve">comment </w:t>
      </w:r>
      <w:r w:rsidRPr="00391600">
        <w:rPr>
          <w:rFonts w:ascii="Palatino Linotype" w:hAnsi="Palatino Linotype"/>
          <w:color w:val="000000" w:themeColor="text1"/>
        </w:rPr>
        <w:t xml:space="preserve">letter </w:t>
      </w:r>
      <w:r w:rsidRPr="00391600">
        <w:rPr>
          <w:rFonts w:ascii="Palatino Linotype" w:hAnsi="Palatino Linotype"/>
        </w:rPr>
        <w:t xml:space="preserve">from the CEC on Draft Resolution G-3622 on September 2nd, 2026. Energy Division analyzed the comment letter for potential factual errors made within Draft Resolution G-3622 and responds with the following modifications or clarifications. </w:t>
      </w:r>
    </w:p>
    <w:p w:rsidRPr="00391600" w:rsidR="00A93086" w:rsidP="00A93086" w:rsidRDefault="00A93086" w14:paraId="4AD2174C" w14:textId="77777777">
      <w:pPr>
        <w:pStyle w:val="ListParagraph"/>
        <w:spacing w:after="0"/>
        <w:rPr>
          <w:rFonts w:ascii="Palatino Linotype" w:hAnsi="Palatino Linotype"/>
          <w:color w:val="000000" w:themeColor="text1"/>
        </w:rPr>
      </w:pPr>
    </w:p>
    <w:p w:rsidRPr="00391600" w:rsidR="00B30792" w:rsidP="00B30792" w:rsidRDefault="00463CDC" w14:paraId="78D48D5B" w14:textId="0E074A19">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CEC Comment</w:t>
      </w:r>
      <w:r w:rsidRPr="00391600" w:rsidR="00DD5D5C">
        <w:rPr>
          <w:rFonts w:ascii="Palatino Linotype" w:hAnsi="Palatino Linotype"/>
          <w:b/>
          <w:bCs/>
          <w:color w:val="000000" w:themeColor="text1"/>
        </w:rPr>
        <w:t xml:space="preserve"> Regarding Upholding Legal, Statutory, and Jurisdictional Authority.</w:t>
      </w:r>
    </w:p>
    <w:p w:rsidRPr="00391600" w:rsidR="00E3696C" w:rsidP="00E3696C" w:rsidRDefault="00E3696C" w14:paraId="58700D11" w14:textId="3CEB5011">
      <w:pPr>
        <w:rPr>
          <w:rFonts w:ascii="Palatino Linotype" w:hAnsi="Palatino Linotype"/>
          <w:color w:val="000000" w:themeColor="text1"/>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states that “[t]he draft resolution appears to propose overhauling the operations of a twenty-two-year-old program and CPUC Decision (D.)04-08-010 in a wholesale manner outside of a formal proceeding.”</w:t>
      </w:r>
      <w:r w:rsidRPr="00391600" w:rsidR="00A93086">
        <w:rPr>
          <w:rStyle w:val="FootnoteReference"/>
          <w:rFonts w:ascii="Palatino Linotype" w:hAnsi="Palatino Linotype"/>
          <w:color w:val="000000" w:themeColor="text1"/>
        </w:rPr>
        <w:footnoteReference w:id="122"/>
      </w:r>
    </w:p>
    <w:p w:rsidRPr="00391600" w:rsidR="00A93086" w:rsidP="281B4A3F" w:rsidRDefault="002927B5" w14:paraId="6564EE7F" w14:textId="1A22DF87">
      <w:pPr>
        <w:spacing w:after="0"/>
        <w:rPr>
          <w:rFonts w:ascii="Palatino Linotype" w:hAnsi="Palatino Linotype"/>
          <w:color w:val="000000" w:themeColor="text1"/>
        </w:rPr>
      </w:pPr>
      <w:r w:rsidRPr="00391600">
        <w:rPr>
          <w:rFonts w:ascii="Palatino Linotype" w:hAnsi="Palatino Linotype"/>
          <w:color w:val="000000" w:themeColor="text1"/>
        </w:rPr>
        <w:t xml:space="preserve">This Resolution was </w:t>
      </w:r>
      <w:r w:rsidRPr="00391600" w:rsidR="001C170B">
        <w:rPr>
          <w:rFonts w:ascii="Palatino Linotype" w:hAnsi="Palatino Linotype"/>
          <w:color w:val="000000" w:themeColor="text1"/>
        </w:rPr>
        <w:t>modified</w:t>
      </w:r>
      <w:r w:rsidRPr="00391600">
        <w:rPr>
          <w:rFonts w:ascii="Palatino Linotype" w:hAnsi="Palatino Linotype"/>
          <w:color w:val="000000" w:themeColor="text1"/>
        </w:rPr>
        <w:t xml:space="preserve"> to </w:t>
      </w:r>
      <w:r w:rsidRPr="00391600" w:rsidR="005664C0">
        <w:rPr>
          <w:rFonts w:ascii="Palatino Linotype" w:hAnsi="Palatino Linotype"/>
          <w:color w:val="000000" w:themeColor="text1"/>
        </w:rPr>
        <w:t xml:space="preserve">consolidate </w:t>
      </w:r>
      <w:r w:rsidRPr="00391600" w:rsidR="00B77030">
        <w:rPr>
          <w:rFonts w:ascii="Palatino Linotype" w:hAnsi="Palatino Linotype"/>
          <w:color w:val="000000" w:themeColor="text1"/>
        </w:rPr>
        <w:t xml:space="preserve">Commission orders </w:t>
      </w:r>
      <w:r w:rsidRPr="00391600" w:rsidR="000876AF">
        <w:rPr>
          <w:rFonts w:ascii="Palatino Linotype" w:hAnsi="Palatino Linotype"/>
          <w:color w:val="000000" w:themeColor="text1"/>
        </w:rPr>
        <w:t xml:space="preserve">pertaining to compliance filings </w:t>
      </w:r>
      <w:r w:rsidRPr="00391600" w:rsidR="00B77030">
        <w:rPr>
          <w:rFonts w:ascii="Palatino Linotype" w:hAnsi="Palatino Linotype"/>
          <w:color w:val="000000" w:themeColor="text1"/>
        </w:rPr>
        <w:t xml:space="preserve">in this Resolution </w:t>
      </w:r>
      <w:r w:rsidRPr="00391600" w:rsidR="000876AF">
        <w:rPr>
          <w:rFonts w:ascii="Palatino Linotype" w:hAnsi="Palatino Linotype"/>
          <w:color w:val="000000" w:themeColor="text1"/>
        </w:rPr>
        <w:t>as well as</w:t>
      </w:r>
      <w:r w:rsidRPr="00391600" w:rsidR="00B77030">
        <w:rPr>
          <w:rFonts w:ascii="Palatino Linotype" w:hAnsi="Palatino Linotype"/>
          <w:color w:val="000000" w:themeColor="text1"/>
        </w:rPr>
        <w:t xml:space="preserve"> previous Resolutions and Decisions</w:t>
      </w:r>
      <w:r w:rsidRPr="00391600" w:rsidR="00F358A5">
        <w:rPr>
          <w:rFonts w:ascii="Palatino Linotype" w:hAnsi="Palatino Linotype"/>
          <w:color w:val="000000" w:themeColor="text1"/>
        </w:rPr>
        <w:t>,</w:t>
      </w:r>
      <w:r w:rsidRPr="00391600" w:rsidR="00B77030">
        <w:rPr>
          <w:rFonts w:ascii="Palatino Linotype" w:hAnsi="Palatino Linotype"/>
          <w:color w:val="000000" w:themeColor="text1"/>
        </w:rPr>
        <w:t xml:space="preserve"> culminating in </w:t>
      </w:r>
      <w:r w:rsidRPr="00391600" w:rsidR="00B975C1">
        <w:rPr>
          <w:rFonts w:ascii="Palatino Linotype" w:hAnsi="Palatino Linotype"/>
          <w:color w:val="000000" w:themeColor="text1"/>
        </w:rPr>
        <w:t xml:space="preserve">Table </w:t>
      </w:r>
      <w:r w:rsidRPr="00391600" w:rsidR="00A62009">
        <w:rPr>
          <w:rFonts w:ascii="Palatino Linotype" w:hAnsi="Palatino Linotype"/>
          <w:color w:val="000000" w:themeColor="text1"/>
        </w:rPr>
        <w:t>2</w:t>
      </w:r>
      <w:r w:rsidRPr="00391600" w:rsidR="00B975C1">
        <w:rPr>
          <w:rFonts w:ascii="Palatino Linotype" w:hAnsi="Palatino Linotype"/>
          <w:color w:val="000000" w:themeColor="text1"/>
        </w:rPr>
        <w:t>: CEC Gas RD&amp;D Program Compliance Filings</w:t>
      </w:r>
      <w:r w:rsidRPr="00391600" w:rsidR="00B77030">
        <w:rPr>
          <w:rFonts w:ascii="Palatino Linotype" w:hAnsi="Palatino Linotype"/>
          <w:color w:val="000000" w:themeColor="text1"/>
        </w:rPr>
        <w:t>.</w:t>
      </w:r>
      <w:r w:rsidRPr="00391600" w:rsidR="00E32C7F">
        <w:rPr>
          <w:rFonts w:ascii="Palatino Linotype" w:hAnsi="Palatino Linotype"/>
          <w:color w:val="000000" w:themeColor="text1"/>
        </w:rPr>
        <w:t xml:space="preserve"> </w:t>
      </w:r>
      <w:r w:rsidRPr="00391600" w:rsidR="05F5D0E3">
        <w:rPr>
          <w:rFonts w:ascii="Palatino Linotype" w:hAnsi="Palatino Linotype"/>
          <w:color w:val="000000" w:themeColor="text1"/>
        </w:rPr>
        <w:t xml:space="preserve">It is important to note that </w:t>
      </w:r>
      <w:r w:rsidRPr="00391600" w:rsidR="002151A1">
        <w:rPr>
          <w:rFonts w:ascii="Palatino Linotype" w:hAnsi="Palatino Linotype"/>
          <w:color w:val="000000" w:themeColor="text1"/>
        </w:rPr>
        <w:t xml:space="preserve">while the Commission is authorized to </w:t>
      </w:r>
      <w:r w:rsidRPr="00391600" w:rsidR="00211112">
        <w:rPr>
          <w:rFonts w:ascii="Palatino Linotype" w:hAnsi="Palatino Linotype"/>
          <w:color w:val="000000" w:themeColor="text1"/>
        </w:rPr>
        <w:t>refine</w:t>
      </w:r>
      <w:r w:rsidRPr="00391600" w:rsidR="00940291">
        <w:rPr>
          <w:rFonts w:ascii="Palatino Linotype" w:hAnsi="Palatino Linotype"/>
          <w:color w:val="000000" w:themeColor="text1"/>
        </w:rPr>
        <w:t xml:space="preserve"> requirements consistent with </w:t>
      </w:r>
      <w:r w:rsidRPr="00391600" w:rsidR="00940291">
        <w:rPr>
          <w:rFonts w:ascii="Palatino Linotype" w:hAnsi="Palatino Linotype"/>
          <w:color w:val="000000" w:themeColor="text1"/>
        </w:rPr>
        <w:lastRenderedPageBreak/>
        <w:t xml:space="preserve">existing orders, </w:t>
      </w:r>
      <w:r w:rsidRPr="00391600" w:rsidR="05F5D0E3">
        <w:rPr>
          <w:rFonts w:ascii="Palatino Linotype" w:hAnsi="Palatino Linotype"/>
          <w:color w:val="000000" w:themeColor="text1"/>
        </w:rPr>
        <w:t>t</w:t>
      </w:r>
      <w:r w:rsidRPr="00391600" w:rsidR="7F105877">
        <w:rPr>
          <w:rFonts w:ascii="Palatino Linotype" w:hAnsi="Palatino Linotype"/>
          <w:color w:val="000000" w:themeColor="text1"/>
        </w:rPr>
        <w:t>he Commission</w:t>
      </w:r>
      <w:r w:rsidRPr="00391600" w:rsidR="27053A16">
        <w:rPr>
          <w:rFonts w:ascii="Palatino Linotype" w:hAnsi="Palatino Linotype"/>
          <w:color w:val="000000" w:themeColor="text1"/>
        </w:rPr>
        <w:t xml:space="preserve"> </w:t>
      </w:r>
      <w:r w:rsidRPr="00391600" w:rsidR="7F105877">
        <w:rPr>
          <w:rFonts w:ascii="Palatino Linotype" w:hAnsi="Palatino Linotype"/>
          <w:color w:val="000000" w:themeColor="text1"/>
        </w:rPr>
        <w:t xml:space="preserve">is unable to overhaul D.04-08-010 via Resolution. </w:t>
      </w:r>
      <w:r w:rsidRPr="00391600" w:rsidR="001C170B">
        <w:rPr>
          <w:rFonts w:ascii="Palatino Linotype" w:hAnsi="Palatino Linotype"/>
          <w:color w:val="000000" w:themeColor="text1"/>
        </w:rPr>
        <w:t xml:space="preserve">This </w:t>
      </w:r>
      <w:r w:rsidRPr="00391600" w:rsidR="17B97544">
        <w:rPr>
          <w:rFonts w:ascii="Palatino Linotype" w:hAnsi="Palatino Linotype"/>
          <w:color w:val="000000" w:themeColor="text1"/>
        </w:rPr>
        <w:t xml:space="preserve">Resolution </w:t>
      </w:r>
      <w:r w:rsidRPr="00391600" w:rsidR="4E7115B2">
        <w:rPr>
          <w:rFonts w:ascii="Palatino Linotype" w:hAnsi="Palatino Linotype"/>
          <w:color w:val="000000" w:themeColor="text1"/>
        </w:rPr>
        <w:t xml:space="preserve">was </w:t>
      </w:r>
      <w:r w:rsidRPr="00391600" w:rsidR="00E3696C">
        <w:rPr>
          <w:rFonts w:ascii="Palatino Linotype" w:hAnsi="Palatino Linotype"/>
          <w:color w:val="000000" w:themeColor="text1"/>
        </w:rPr>
        <w:t xml:space="preserve">also </w:t>
      </w:r>
      <w:r w:rsidRPr="00391600" w:rsidR="4E7115B2">
        <w:rPr>
          <w:rFonts w:ascii="Palatino Linotype" w:hAnsi="Palatino Linotype"/>
          <w:color w:val="000000" w:themeColor="text1"/>
        </w:rPr>
        <w:t xml:space="preserve">modified </w:t>
      </w:r>
      <w:r w:rsidRPr="00391600" w:rsidR="1ACBAF55">
        <w:rPr>
          <w:rFonts w:ascii="Palatino Linotype" w:hAnsi="Palatino Linotype"/>
          <w:color w:val="000000" w:themeColor="text1"/>
        </w:rPr>
        <w:t xml:space="preserve">in several places </w:t>
      </w:r>
      <w:r w:rsidRPr="00391600" w:rsidR="17B97544">
        <w:rPr>
          <w:rFonts w:ascii="Palatino Linotype" w:hAnsi="Palatino Linotype"/>
          <w:color w:val="000000" w:themeColor="text1"/>
        </w:rPr>
        <w:t xml:space="preserve">to </w:t>
      </w:r>
      <w:r w:rsidRPr="00391600" w:rsidR="764FEE9A">
        <w:rPr>
          <w:rFonts w:ascii="Palatino Linotype" w:hAnsi="Palatino Linotype"/>
          <w:color w:val="000000" w:themeColor="text1"/>
        </w:rPr>
        <w:t xml:space="preserve">note </w:t>
      </w:r>
      <w:r w:rsidRPr="00391600" w:rsidR="3E934816">
        <w:rPr>
          <w:rFonts w:ascii="Palatino Linotype" w:hAnsi="Palatino Linotype"/>
          <w:color w:val="000000" w:themeColor="text1"/>
        </w:rPr>
        <w:t xml:space="preserve">where </w:t>
      </w:r>
      <w:r w:rsidRPr="00391600" w:rsidR="009B4DAD">
        <w:rPr>
          <w:rFonts w:ascii="Palatino Linotype" w:hAnsi="Palatino Linotype"/>
          <w:color w:val="000000" w:themeColor="text1"/>
        </w:rPr>
        <w:t xml:space="preserve">process and procedure improvements </w:t>
      </w:r>
      <w:r w:rsidRPr="00391600" w:rsidR="644BB051">
        <w:rPr>
          <w:rFonts w:ascii="Palatino Linotype" w:hAnsi="Palatino Linotype"/>
          <w:color w:val="000000" w:themeColor="text1"/>
        </w:rPr>
        <w:t>are</w:t>
      </w:r>
      <w:r w:rsidRPr="00391600" w:rsidR="764FEE9A">
        <w:rPr>
          <w:rFonts w:ascii="Palatino Linotype" w:hAnsi="Palatino Linotype"/>
          <w:color w:val="000000" w:themeColor="text1"/>
        </w:rPr>
        <w:t xml:space="preserve"> necessary and why</w:t>
      </w:r>
      <w:r w:rsidRPr="00391600" w:rsidR="00A63AA8">
        <w:rPr>
          <w:rFonts w:ascii="Palatino Linotype" w:hAnsi="Palatino Linotype"/>
          <w:color w:val="000000" w:themeColor="text1"/>
        </w:rPr>
        <w:t>, including organizational tools to provide standardization for improved interagency information sharing</w:t>
      </w:r>
      <w:r w:rsidRPr="00391600" w:rsidR="00E3696C">
        <w:rPr>
          <w:rFonts w:ascii="Palatino Linotype" w:hAnsi="Palatino Linotype"/>
          <w:color w:val="000000" w:themeColor="text1"/>
        </w:rPr>
        <w:t>.</w:t>
      </w:r>
      <w:r w:rsidRPr="00391600" w:rsidR="005918B6">
        <w:rPr>
          <w:rFonts w:ascii="Palatino Linotype" w:hAnsi="Palatino Linotype"/>
          <w:color w:val="000000" w:themeColor="text1"/>
        </w:rPr>
        <w:t xml:space="preserve"> These improvements are </w:t>
      </w:r>
      <w:r w:rsidRPr="00391600" w:rsidR="00B465C1">
        <w:rPr>
          <w:rFonts w:ascii="Palatino Linotype" w:hAnsi="Palatino Linotype"/>
          <w:color w:val="000000" w:themeColor="text1"/>
        </w:rPr>
        <w:t>generally</w:t>
      </w:r>
      <w:r w:rsidRPr="00391600" w:rsidR="56DCC971">
        <w:rPr>
          <w:rFonts w:ascii="Palatino Linotype" w:hAnsi="Palatino Linotype"/>
          <w:color w:val="000000" w:themeColor="text1"/>
        </w:rPr>
        <w:t xml:space="preserve"> reiterations of </w:t>
      </w:r>
      <w:r w:rsidRPr="00391600" w:rsidR="00B465C1">
        <w:rPr>
          <w:rFonts w:ascii="Palatino Linotype" w:hAnsi="Palatino Linotype"/>
          <w:color w:val="000000" w:themeColor="text1"/>
        </w:rPr>
        <w:t xml:space="preserve">existing </w:t>
      </w:r>
      <w:r w:rsidRPr="00391600" w:rsidR="002C710D">
        <w:rPr>
          <w:rFonts w:ascii="Palatino Linotype" w:hAnsi="Palatino Linotype"/>
          <w:color w:val="000000" w:themeColor="text1"/>
        </w:rPr>
        <w:t xml:space="preserve">statutory and Commission requirements and are </w:t>
      </w:r>
      <w:r w:rsidRPr="00391600" w:rsidR="2D9DFD2C">
        <w:rPr>
          <w:rFonts w:ascii="Palatino Linotype" w:hAnsi="Palatino Linotype"/>
          <w:color w:val="000000" w:themeColor="text1"/>
        </w:rPr>
        <w:t xml:space="preserve">necessary to </w:t>
      </w:r>
      <w:r w:rsidRPr="00391600" w:rsidR="4BD0BECA">
        <w:rPr>
          <w:rFonts w:ascii="Palatino Linotype" w:hAnsi="Palatino Linotype"/>
          <w:color w:val="000000" w:themeColor="text1"/>
        </w:rPr>
        <w:t xml:space="preserve">track and </w:t>
      </w:r>
      <w:r w:rsidRPr="00391600" w:rsidR="17B97544">
        <w:rPr>
          <w:rFonts w:ascii="Palatino Linotype" w:hAnsi="Palatino Linotype"/>
          <w:color w:val="000000" w:themeColor="text1"/>
        </w:rPr>
        <w:t xml:space="preserve">enforce </w:t>
      </w:r>
      <w:r w:rsidRPr="00391600" w:rsidR="00FC6870">
        <w:rPr>
          <w:rFonts w:ascii="Palatino Linotype" w:hAnsi="Palatino Linotype"/>
          <w:color w:val="000000" w:themeColor="text1"/>
        </w:rPr>
        <w:t xml:space="preserve">as well as support compliance with </w:t>
      </w:r>
      <w:r w:rsidRPr="00391600" w:rsidR="002C710D">
        <w:rPr>
          <w:rFonts w:ascii="Palatino Linotype" w:hAnsi="Palatino Linotype"/>
          <w:color w:val="000000" w:themeColor="text1"/>
        </w:rPr>
        <w:t xml:space="preserve">these </w:t>
      </w:r>
      <w:r w:rsidRPr="00391600" w:rsidR="78808A42">
        <w:rPr>
          <w:rFonts w:ascii="Palatino Linotype" w:hAnsi="Palatino Linotype"/>
          <w:color w:val="000000" w:themeColor="text1"/>
        </w:rPr>
        <w:t>requirement</w:t>
      </w:r>
      <w:r w:rsidRPr="00391600" w:rsidR="002C710D">
        <w:rPr>
          <w:rFonts w:ascii="Palatino Linotype" w:hAnsi="Palatino Linotype"/>
          <w:color w:val="000000" w:themeColor="text1"/>
        </w:rPr>
        <w:t>s</w:t>
      </w:r>
      <w:r w:rsidRPr="00391600" w:rsidR="78808A42">
        <w:rPr>
          <w:rFonts w:ascii="Palatino Linotype" w:hAnsi="Palatino Linotype"/>
          <w:color w:val="000000" w:themeColor="text1"/>
        </w:rPr>
        <w:t xml:space="preserve"> </w:t>
      </w:r>
      <w:r w:rsidRPr="00391600" w:rsidR="3C789C96">
        <w:rPr>
          <w:rFonts w:ascii="Palatino Linotype" w:hAnsi="Palatino Linotype"/>
          <w:color w:val="000000" w:themeColor="text1"/>
        </w:rPr>
        <w:t xml:space="preserve">specifically </w:t>
      </w:r>
      <w:r w:rsidRPr="00391600" w:rsidR="17B97544">
        <w:rPr>
          <w:rFonts w:ascii="Palatino Linotype" w:hAnsi="Palatino Linotype"/>
          <w:color w:val="000000" w:themeColor="text1"/>
        </w:rPr>
        <w:t>cited throughout the Resolution</w:t>
      </w:r>
      <w:r w:rsidRPr="00391600" w:rsidR="0A9BFFD3">
        <w:rPr>
          <w:rFonts w:ascii="Palatino Linotype" w:hAnsi="Palatino Linotype"/>
          <w:color w:val="000000" w:themeColor="text1"/>
        </w:rPr>
        <w:t xml:space="preserve"> (including aggregated in the Appendi</w:t>
      </w:r>
      <w:r w:rsidRPr="00391600" w:rsidR="79E09FF6">
        <w:rPr>
          <w:rFonts w:ascii="Palatino Linotype" w:hAnsi="Palatino Linotype"/>
          <w:color w:val="000000" w:themeColor="text1"/>
        </w:rPr>
        <w:t>x A</w:t>
      </w:r>
      <w:r w:rsidRPr="00391600" w:rsidR="0A9BFFD3">
        <w:rPr>
          <w:rFonts w:ascii="Palatino Linotype" w:hAnsi="Palatino Linotype"/>
          <w:color w:val="000000" w:themeColor="text1"/>
        </w:rPr>
        <w:t>)</w:t>
      </w:r>
      <w:r w:rsidRPr="00391600" w:rsidR="002C710D">
        <w:rPr>
          <w:rFonts w:ascii="Palatino Linotype" w:hAnsi="Palatino Linotype"/>
          <w:color w:val="000000" w:themeColor="text1"/>
        </w:rPr>
        <w:t>.</w:t>
      </w:r>
      <w:r w:rsidRPr="00391600" w:rsidR="4C8C08E3">
        <w:rPr>
          <w:rFonts w:ascii="Palatino Linotype" w:hAnsi="Palatino Linotype"/>
          <w:color w:val="000000" w:themeColor="text1"/>
        </w:rPr>
        <w:t xml:space="preserve"> </w:t>
      </w:r>
    </w:p>
    <w:p w:rsidRPr="00391600" w:rsidR="00A93086" w:rsidP="00A93086" w:rsidRDefault="00A93086" w14:paraId="6C1E6F93" w14:textId="77777777">
      <w:pPr>
        <w:spacing w:after="0"/>
        <w:rPr>
          <w:rFonts w:ascii="Palatino Linotype" w:hAnsi="Palatino Linotype"/>
          <w:color w:val="000000" w:themeColor="text1"/>
        </w:rPr>
      </w:pPr>
    </w:p>
    <w:p w:rsidRPr="00391600" w:rsidR="00A93086" w:rsidP="6FAFEDE3" w:rsidRDefault="00DD5D5C" w14:paraId="66AB5AC1" w14:textId="1CF58E03">
      <w:pPr>
        <w:pStyle w:val="ListParagraph"/>
        <w:numPr>
          <w:ilvl w:val="0"/>
          <w:numId w:val="46"/>
        </w:numPr>
        <w:spacing w:after="0"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136F36">
        <w:rPr>
          <w:rFonts w:ascii="Palatino Linotype" w:hAnsi="Palatino Linotype"/>
          <w:b/>
          <w:bCs/>
          <w:color w:val="000000" w:themeColor="text1"/>
        </w:rPr>
        <w:t xml:space="preserve">the Continuous Appropriation of </w:t>
      </w:r>
      <w:r w:rsidRPr="00391600" w:rsidR="00B32A8B">
        <w:rPr>
          <w:rFonts w:ascii="Palatino Linotype" w:hAnsi="Palatino Linotype"/>
          <w:b/>
          <w:bCs/>
          <w:color w:val="000000" w:themeColor="text1"/>
        </w:rPr>
        <w:t xml:space="preserve">Gas RD&amp;D </w:t>
      </w:r>
      <w:r w:rsidRPr="00391600" w:rsidR="00136F36">
        <w:rPr>
          <w:rFonts w:ascii="Palatino Linotype" w:hAnsi="Palatino Linotype"/>
          <w:b/>
          <w:bCs/>
          <w:color w:val="000000" w:themeColor="text1"/>
        </w:rPr>
        <w:t>Funds</w:t>
      </w:r>
      <w:r w:rsidRPr="00391600" w:rsidR="00B32A8B">
        <w:rPr>
          <w:rFonts w:ascii="Palatino Linotype" w:hAnsi="Palatino Linotype"/>
          <w:b/>
          <w:bCs/>
          <w:color w:val="000000" w:themeColor="text1"/>
        </w:rPr>
        <w:t>.</w:t>
      </w:r>
    </w:p>
    <w:p w:rsidRPr="00391600" w:rsidR="00A93086" w:rsidP="00A93086" w:rsidRDefault="00E3696C" w14:paraId="56C57DCC" w14:textId="553F3E46">
      <w:pPr>
        <w:spacing w:before="240"/>
        <w:rPr>
          <w:rFonts w:ascii="Palatino Linotype" w:hAnsi="Palatino Linotype"/>
          <w:color w:val="000000" w:themeColor="text1"/>
        </w:rPr>
      </w:pPr>
      <w:r w:rsidRPr="00391600">
        <w:rPr>
          <w:rFonts w:ascii="Palatino Linotype" w:hAnsi="Palatino Linotype"/>
          <w:color w:val="000000" w:themeColor="text1"/>
        </w:rPr>
        <w:t xml:space="preserve">In the </w:t>
      </w:r>
      <w:r w:rsidRPr="00391600" w:rsidR="51888E15">
        <w:rPr>
          <w:rFonts w:ascii="Palatino Linotype" w:hAnsi="Palatino Linotype"/>
          <w:color w:val="000000" w:themeColor="text1"/>
        </w:rPr>
        <w:t>CEC</w:t>
      </w:r>
      <w:r w:rsidRPr="00391600">
        <w:rPr>
          <w:rFonts w:ascii="Palatino Linotype" w:hAnsi="Palatino Linotype"/>
          <w:color w:val="000000" w:themeColor="text1"/>
        </w:rPr>
        <w:t xml:space="preserve">’s comments, it </w:t>
      </w:r>
      <w:r w:rsidRPr="00391600" w:rsidR="225BAD3E">
        <w:rPr>
          <w:rFonts w:ascii="Palatino Linotype" w:hAnsi="Palatino Linotype"/>
          <w:color w:val="000000" w:themeColor="text1"/>
        </w:rPr>
        <w:t>dispute</w:t>
      </w:r>
      <w:r w:rsidRPr="00391600">
        <w:rPr>
          <w:rFonts w:ascii="Palatino Linotype" w:hAnsi="Palatino Linotype"/>
          <w:color w:val="000000" w:themeColor="text1"/>
        </w:rPr>
        <w:t>s</w:t>
      </w:r>
      <w:r w:rsidRPr="00391600" w:rsidR="1CE67928">
        <w:rPr>
          <w:rFonts w:ascii="Palatino Linotype" w:hAnsi="Palatino Linotype"/>
          <w:color w:val="000000" w:themeColor="text1"/>
        </w:rPr>
        <w:t xml:space="preserve"> </w:t>
      </w:r>
      <w:r w:rsidRPr="00391600" w:rsidR="1CFDAC79">
        <w:rPr>
          <w:rFonts w:ascii="Palatino Linotype" w:hAnsi="Palatino Linotype"/>
          <w:color w:val="000000" w:themeColor="text1"/>
        </w:rPr>
        <w:t xml:space="preserve">the </w:t>
      </w:r>
      <w:r w:rsidRPr="00391600" w:rsidR="76C4E5EC">
        <w:rPr>
          <w:rFonts w:ascii="Palatino Linotype" w:hAnsi="Palatino Linotype"/>
          <w:color w:val="000000" w:themeColor="text1"/>
        </w:rPr>
        <w:t xml:space="preserve">encumbrance </w:t>
      </w:r>
      <w:r w:rsidRPr="00391600" w:rsidR="1CFDAC79">
        <w:rPr>
          <w:rFonts w:ascii="Palatino Linotype" w:hAnsi="Palatino Linotype"/>
          <w:color w:val="000000" w:themeColor="text1"/>
        </w:rPr>
        <w:t>and spending timelines in the draft Resolution</w:t>
      </w:r>
      <w:r w:rsidRPr="00391600">
        <w:rPr>
          <w:rFonts w:ascii="Palatino Linotype" w:hAnsi="Palatino Linotype"/>
          <w:color w:val="000000" w:themeColor="text1"/>
        </w:rPr>
        <w:t>, stating</w:t>
      </w:r>
      <w:r w:rsidRPr="00391600" w:rsidR="17B97544">
        <w:rPr>
          <w:rFonts w:ascii="Palatino Linotype" w:hAnsi="Palatino Linotype"/>
          <w:color w:val="000000" w:themeColor="text1"/>
        </w:rPr>
        <w:t xml:space="preserve"> that CPUC’s cited authority, PU</w:t>
      </w:r>
      <w:r w:rsidRPr="00391600" w:rsidR="43179147">
        <w:rPr>
          <w:rFonts w:ascii="Palatino Linotype" w:hAnsi="Palatino Linotype"/>
          <w:color w:val="000000" w:themeColor="text1"/>
        </w:rPr>
        <w:t xml:space="preserve"> Code</w:t>
      </w:r>
      <w:r w:rsidRPr="00391600" w:rsidR="17B97544">
        <w:rPr>
          <w:rFonts w:ascii="Palatino Linotype" w:hAnsi="Palatino Linotype"/>
          <w:color w:val="000000" w:themeColor="text1"/>
        </w:rPr>
        <w:t xml:space="preserve"> Section 384, does not apply to CEC’s Gas R&amp;D funds. </w:t>
      </w:r>
      <w:r w:rsidRPr="00391600" w:rsidR="5ED11D19">
        <w:rPr>
          <w:rFonts w:ascii="Palatino Linotype" w:hAnsi="Palatino Linotype"/>
          <w:color w:val="000000" w:themeColor="text1"/>
        </w:rPr>
        <w:t xml:space="preserve">CEC notes that </w:t>
      </w:r>
      <w:r w:rsidRPr="00391600" w:rsidR="004C167C">
        <w:rPr>
          <w:rFonts w:ascii="Palatino Linotype" w:hAnsi="Palatino Linotype"/>
          <w:color w:val="000000" w:themeColor="text1"/>
        </w:rPr>
        <w:t>“</w:t>
      </w:r>
      <w:r w:rsidRPr="00391600" w:rsidR="43179147">
        <w:rPr>
          <w:rFonts w:ascii="Palatino Linotype" w:hAnsi="Palatino Linotype"/>
          <w:color w:val="000000" w:themeColor="text1"/>
        </w:rPr>
        <w:t>[</w:t>
      </w:r>
      <w:r w:rsidRPr="00391600" w:rsidR="41DB3DB9">
        <w:rPr>
          <w:rFonts w:ascii="Palatino Linotype" w:hAnsi="Palatino Linotype"/>
          <w:color w:val="000000" w:themeColor="text1"/>
        </w:rPr>
        <w:t>i</w:t>
      </w:r>
      <w:r w:rsidRPr="00391600" w:rsidR="43179147">
        <w:rPr>
          <w:rFonts w:ascii="Palatino Linotype" w:hAnsi="Palatino Linotype"/>
          <w:color w:val="000000" w:themeColor="text1"/>
        </w:rPr>
        <w:t>]</w:t>
      </w:r>
      <w:r w:rsidRPr="00391600" w:rsidR="17B97544">
        <w:rPr>
          <w:rFonts w:ascii="Palatino Linotype" w:hAnsi="Palatino Linotype"/>
          <w:color w:val="000000" w:themeColor="text1"/>
        </w:rPr>
        <w:t>n 2021, PU</w:t>
      </w:r>
      <w:r w:rsidRPr="00391600" w:rsidR="43179147">
        <w:rPr>
          <w:rFonts w:ascii="Palatino Linotype" w:hAnsi="Palatino Linotype"/>
          <w:color w:val="000000" w:themeColor="text1"/>
        </w:rPr>
        <w:t xml:space="preserve"> Code</w:t>
      </w:r>
      <w:r w:rsidRPr="00391600" w:rsidR="17B97544">
        <w:rPr>
          <w:rFonts w:ascii="Palatino Linotype" w:hAnsi="Palatino Linotype"/>
          <w:color w:val="000000" w:themeColor="text1"/>
        </w:rPr>
        <w:t xml:space="preserve"> Section 895 was amended to continuously appropriate… all funds currently in the Natural Gas Subaccount, including funds appropriated both before and after 2021.” </w:t>
      </w:r>
      <w:r w:rsidRPr="00391600" w:rsidR="370C8AF0">
        <w:rPr>
          <w:rFonts w:ascii="Palatino Linotype" w:hAnsi="Palatino Linotype"/>
          <w:color w:val="000000" w:themeColor="text1"/>
        </w:rPr>
        <w:t>Since the statute provides continuous appropriation</w:t>
      </w:r>
      <w:r w:rsidRPr="00391600" w:rsidR="5BA75EB4">
        <w:rPr>
          <w:rFonts w:ascii="Palatino Linotype" w:hAnsi="Palatino Linotype"/>
          <w:color w:val="000000" w:themeColor="text1"/>
        </w:rPr>
        <w:t xml:space="preserve"> of </w:t>
      </w:r>
      <w:r w:rsidRPr="00391600" w:rsidR="370C8AF0">
        <w:rPr>
          <w:rFonts w:ascii="Palatino Linotype" w:hAnsi="Palatino Linotype"/>
          <w:color w:val="000000" w:themeColor="text1"/>
        </w:rPr>
        <w:t>the funds</w:t>
      </w:r>
      <w:r w:rsidRPr="00391600" w:rsidR="2C386F47">
        <w:rPr>
          <w:rFonts w:ascii="Palatino Linotype" w:hAnsi="Palatino Linotype"/>
          <w:color w:val="000000" w:themeColor="text1"/>
        </w:rPr>
        <w:t>, the CEC</w:t>
      </w:r>
      <w:r w:rsidRPr="00391600" w:rsidR="008C5482">
        <w:rPr>
          <w:rFonts w:ascii="Palatino Linotype" w:hAnsi="Palatino Linotype"/>
          <w:color w:val="000000" w:themeColor="text1"/>
        </w:rPr>
        <w:t>’s</w:t>
      </w:r>
      <w:r w:rsidRPr="00391600" w:rsidR="2C386F47">
        <w:rPr>
          <w:rFonts w:ascii="Palatino Linotype" w:hAnsi="Palatino Linotype"/>
          <w:color w:val="000000" w:themeColor="text1"/>
        </w:rPr>
        <w:t xml:space="preserve"> comments indicated it</w:t>
      </w:r>
      <w:r w:rsidRPr="00391600" w:rsidR="7985EE62">
        <w:rPr>
          <w:rFonts w:ascii="Palatino Linotype" w:hAnsi="Palatino Linotype"/>
          <w:color w:val="000000" w:themeColor="text1"/>
        </w:rPr>
        <w:t xml:space="preserve"> would be </w:t>
      </w:r>
      <w:r w:rsidRPr="00391600" w:rsidR="17B97544">
        <w:rPr>
          <w:rFonts w:ascii="Palatino Linotype" w:hAnsi="Palatino Linotype"/>
          <w:color w:val="000000" w:themeColor="text1"/>
        </w:rPr>
        <w:t>erroneous</w:t>
      </w:r>
      <w:r w:rsidRPr="00391600" w:rsidR="1CE67928">
        <w:rPr>
          <w:rFonts w:ascii="Palatino Linotype" w:hAnsi="Palatino Linotype"/>
          <w:color w:val="000000" w:themeColor="text1"/>
        </w:rPr>
        <w:t xml:space="preserve"> </w:t>
      </w:r>
      <w:r w:rsidRPr="00391600" w:rsidR="14F056C3">
        <w:rPr>
          <w:rFonts w:ascii="Palatino Linotype" w:hAnsi="Palatino Linotype"/>
          <w:color w:val="000000" w:themeColor="text1"/>
        </w:rPr>
        <w:t>to</w:t>
      </w:r>
      <w:r w:rsidRPr="00391600" w:rsidR="17B97544">
        <w:rPr>
          <w:rFonts w:ascii="Palatino Linotype" w:hAnsi="Palatino Linotype"/>
          <w:color w:val="000000" w:themeColor="text1"/>
        </w:rPr>
        <w:t xml:space="preserve"> </w:t>
      </w:r>
      <w:r w:rsidRPr="00391600" w:rsidR="3017EF95">
        <w:rPr>
          <w:rFonts w:ascii="Palatino Linotype" w:hAnsi="Palatino Linotype"/>
          <w:color w:val="000000" w:themeColor="text1"/>
        </w:rPr>
        <w:t xml:space="preserve">apply </w:t>
      </w:r>
      <w:r w:rsidRPr="00391600" w:rsidR="17B97544">
        <w:rPr>
          <w:rFonts w:ascii="Palatino Linotype" w:hAnsi="Palatino Linotype"/>
          <w:color w:val="000000" w:themeColor="text1"/>
        </w:rPr>
        <w:t>encumbrance and liquidation deadlines</w:t>
      </w:r>
      <w:r w:rsidRPr="00391600" w:rsidR="68BBEB58">
        <w:rPr>
          <w:rFonts w:ascii="Palatino Linotype" w:hAnsi="Palatino Linotype"/>
          <w:color w:val="000000" w:themeColor="text1"/>
        </w:rPr>
        <w:t xml:space="preserve"> </w:t>
      </w:r>
      <w:r w:rsidRPr="00391600" w:rsidR="3017EF95">
        <w:rPr>
          <w:rFonts w:ascii="Palatino Linotype" w:hAnsi="Palatino Linotype"/>
          <w:color w:val="000000" w:themeColor="text1"/>
        </w:rPr>
        <w:t>to</w:t>
      </w:r>
      <w:r w:rsidRPr="00391600" w:rsidR="68BBEB58">
        <w:rPr>
          <w:rFonts w:ascii="Palatino Linotype" w:hAnsi="Palatino Linotype"/>
          <w:color w:val="000000" w:themeColor="text1"/>
        </w:rPr>
        <w:t xml:space="preserve"> any </w:t>
      </w:r>
      <w:r w:rsidRPr="00391600" w:rsidR="4910A01A">
        <w:rPr>
          <w:rFonts w:ascii="Palatino Linotype" w:hAnsi="Palatino Linotype"/>
          <w:color w:val="000000" w:themeColor="text1"/>
        </w:rPr>
        <w:t>G</w:t>
      </w:r>
      <w:r w:rsidRPr="00391600" w:rsidR="68BBEB58">
        <w:rPr>
          <w:rFonts w:ascii="Palatino Linotype" w:hAnsi="Palatino Linotype"/>
          <w:color w:val="000000" w:themeColor="text1"/>
        </w:rPr>
        <w:t xml:space="preserve">as R&amp;D </w:t>
      </w:r>
      <w:r w:rsidRPr="00391600" w:rsidR="43179147">
        <w:rPr>
          <w:rFonts w:ascii="Palatino Linotype" w:hAnsi="Palatino Linotype"/>
          <w:color w:val="000000" w:themeColor="text1"/>
        </w:rPr>
        <w:t>funds</w:t>
      </w:r>
      <w:r w:rsidRPr="00391600" w:rsidR="0A89C95E">
        <w:rPr>
          <w:rFonts w:ascii="Palatino Linotype" w:hAnsi="Palatino Linotype"/>
          <w:color w:val="000000" w:themeColor="text1"/>
        </w:rPr>
        <w:t xml:space="preserve"> </w:t>
      </w:r>
      <w:r w:rsidRPr="00391600" w:rsidR="3FE242F9">
        <w:rPr>
          <w:rFonts w:ascii="Palatino Linotype" w:hAnsi="Palatino Linotype"/>
          <w:color w:val="000000" w:themeColor="text1"/>
        </w:rPr>
        <w:t>and further that these deadlines “would be unaffected by the date CPUC approved an annual Budget Plan.”</w:t>
      </w:r>
      <w:r w:rsidRPr="00391600">
        <w:rPr>
          <w:rStyle w:val="FootnoteReference"/>
          <w:rFonts w:ascii="Palatino Linotype" w:hAnsi="Palatino Linotype"/>
          <w:color w:val="000000" w:themeColor="text1"/>
        </w:rPr>
        <w:footnoteReference w:id="123"/>
      </w:r>
      <w:r w:rsidRPr="00391600" w:rsidR="27E0DF44">
        <w:rPr>
          <w:rFonts w:ascii="Palatino Linotype" w:hAnsi="Palatino Linotype"/>
          <w:color w:val="000000" w:themeColor="text1"/>
        </w:rPr>
        <w:t xml:space="preserve"> </w:t>
      </w:r>
      <w:r w:rsidRPr="00391600" w:rsidR="001776BF">
        <w:rPr>
          <w:rFonts w:ascii="Palatino Linotype" w:hAnsi="Palatino Linotype"/>
          <w:color w:val="000000" w:themeColor="text1"/>
        </w:rPr>
        <w:t>The CEC also asserts that</w:t>
      </w:r>
      <w:r w:rsidRPr="00391600" w:rsidR="005F66A6">
        <w:rPr>
          <w:rFonts w:ascii="Palatino Linotype" w:hAnsi="Palatino Linotype"/>
          <w:color w:val="000000" w:themeColor="text1"/>
        </w:rPr>
        <w:t>,</w:t>
      </w:r>
      <w:r w:rsidRPr="00391600" w:rsidR="001776BF">
        <w:rPr>
          <w:rFonts w:ascii="Palatino Linotype" w:hAnsi="Palatino Linotype"/>
          <w:color w:val="000000" w:themeColor="text1"/>
        </w:rPr>
        <w:t xml:space="preserve"> because the Commission approved supplemental funding for the CEC’s FY 2023-2024 Plan using unspent funds after the Commission introduced requirements for the CEC to offset new and/or additional ratepayer costs for Plans </w:t>
      </w:r>
      <w:r w:rsidRPr="00391600" w:rsidR="005F66A6">
        <w:rPr>
          <w:rFonts w:ascii="Palatino Linotype" w:hAnsi="Palatino Linotype"/>
          <w:color w:val="000000" w:themeColor="text1"/>
        </w:rPr>
        <w:t>with</w:t>
      </w:r>
      <w:r w:rsidRPr="00391600" w:rsidR="001776BF">
        <w:rPr>
          <w:rFonts w:ascii="Palatino Linotype" w:hAnsi="Palatino Linotype"/>
          <w:color w:val="000000" w:themeColor="text1"/>
        </w:rPr>
        <w:t xml:space="preserve"> unspent funds</w:t>
      </w:r>
      <w:r w:rsidRPr="00391600" w:rsidR="005F66A6">
        <w:rPr>
          <w:rFonts w:ascii="Palatino Linotype" w:hAnsi="Palatino Linotype"/>
          <w:color w:val="000000" w:themeColor="text1"/>
        </w:rPr>
        <w:t>,</w:t>
      </w:r>
      <w:r w:rsidRPr="00391600" w:rsidR="001776BF">
        <w:rPr>
          <w:rFonts w:ascii="Palatino Linotype" w:hAnsi="Palatino Linotype"/>
          <w:color w:val="000000" w:themeColor="text1"/>
        </w:rPr>
        <w:t xml:space="preserve"> </w:t>
      </w:r>
      <w:r w:rsidRPr="00391600" w:rsidR="00EF79A8">
        <w:rPr>
          <w:rFonts w:ascii="Palatino Linotype" w:hAnsi="Palatino Linotype"/>
          <w:color w:val="000000" w:themeColor="text1"/>
        </w:rPr>
        <w:t xml:space="preserve">the </w:t>
      </w:r>
      <w:r w:rsidRPr="00391600" w:rsidR="001776BF">
        <w:rPr>
          <w:rFonts w:ascii="Palatino Linotype" w:hAnsi="Palatino Linotype"/>
          <w:color w:val="000000" w:themeColor="text1"/>
        </w:rPr>
        <w:t xml:space="preserve">“CPUC did not intend for unencumbered and unspent funds to be </w:t>
      </w:r>
      <w:r w:rsidRPr="00391600" w:rsidR="001776BF">
        <w:rPr>
          <w:rFonts w:ascii="Palatino Linotype" w:hAnsi="Palatino Linotype"/>
          <w:i/>
          <w:iCs/>
          <w:color w:val="000000" w:themeColor="text1"/>
        </w:rPr>
        <w:t>exclusively</w:t>
      </w:r>
      <w:r w:rsidRPr="00391600" w:rsidR="001776BF">
        <w:rPr>
          <w:rFonts w:ascii="Palatino Linotype" w:hAnsi="Palatino Linotype"/>
          <w:color w:val="000000" w:themeColor="text1"/>
        </w:rPr>
        <w:t xml:space="preserve"> used in place of new or additional funds.”</w:t>
      </w:r>
      <w:r w:rsidRPr="00391600" w:rsidR="001776BF">
        <w:rPr>
          <w:rStyle w:val="FootnoteReference"/>
          <w:rFonts w:ascii="Palatino Linotype" w:hAnsi="Palatino Linotype"/>
          <w:color w:val="000000" w:themeColor="text1"/>
        </w:rPr>
        <w:footnoteReference w:id="124"/>
      </w:r>
    </w:p>
    <w:p w:rsidRPr="00391600" w:rsidR="00A93086" w:rsidP="00A93086" w:rsidRDefault="00F512FE" w14:paraId="7177D339" w14:textId="58B6B073">
      <w:pPr>
        <w:rPr>
          <w:rFonts w:ascii="Palatino Linotype" w:hAnsi="Palatino Linotype"/>
        </w:rPr>
      </w:pPr>
      <w:r w:rsidRPr="00391600">
        <w:rPr>
          <w:rFonts w:ascii="Palatino Linotype" w:hAnsi="Palatino Linotype"/>
          <w:color w:val="000000" w:themeColor="text1"/>
        </w:rPr>
        <w:t xml:space="preserve">This Resolution </w:t>
      </w:r>
      <w:r w:rsidRPr="00391600" w:rsidR="00EB0F51">
        <w:rPr>
          <w:rFonts w:ascii="Palatino Linotype" w:hAnsi="Palatino Linotype"/>
          <w:color w:val="000000" w:themeColor="text1"/>
        </w:rPr>
        <w:t>makes clear</w:t>
      </w:r>
      <w:r w:rsidRPr="00391600" w:rsidR="00831D7F">
        <w:rPr>
          <w:rFonts w:ascii="Palatino Linotype" w:hAnsi="Palatino Linotype"/>
          <w:color w:val="000000" w:themeColor="text1"/>
        </w:rPr>
        <w:t xml:space="preserve"> that the</w:t>
      </w:r>
      <w:r w:rsidRPr="00391600" w:rsidR="00E435A2">
        <w:rPr>
          <w:rFonts w:ascii="Palatino Linotype" w:hAnsi="Palatino Linotype"/>
          <w:color w:val="000000" w:themeColor="text1"/>
        </w:rPr>
        <w:t xml:space="preserve"> </w:t>
      </w:r>
      <w:r w:rsidRPr="00391600" w:rsidR="17B97544">
        <w:rPr>
          <w:rFonts w:ascii="Palatino Linotype" w:hAnsi="Palatino Linotype"/>
          <w:color w:val="000000" w:themeColor="text1"/>
        </w:rPr>
        <w:t xml:space="preserve">CEC’s Gas RD&amp;D funds </w:t>
      </w:r>
      <w:r w:rsidRPr="00391600" w:rsidR="65664CD5">
        <w:rPr>
          <w:rFonts w:ascii="Palatino Linotype" w:hAnsi="Palatino Linotype"/>
          <w:color w:val="000000" w:themeColor="text1"/>
        </w:rPr>
        <w:t>are</w:t>
      </w:r>
      <w:r w:rsidRPr="00391600" w:rsidR="17B97544">
        <w:rPr>
          <w:rFonts w:ascii="Palatino Linotype" w:hAnsi="Palatino Linotype"/>
          <w:color w:val="000000" w:themeColor="text1"/>
        </w:rPr>
        <w:t xml:space="preserve"> </w:t>
      </w:r>
      <w:r w:rsidRPr="00391600" w:rsidR="003C0397">
        <w:rPr>
          <w:rFonts w:ascii="Palatino Linotype" w:hAnsi="Palatino Linotype"/>
          <w:color w:val="000000" w:themeColor="text1"/>
        </w:rPr>
        <w:t xml:space="preserve">authorized </w:t>
      </w:r>
      <w:r w:rsidRPr="00391600" w:rsidR="17B97544">
        <w:rPr>
          <w:rFonts w:ascii="Palatino Linotype" w:hAnsi="Palatino Linotype"/>
          <w:color w:val="000000" w:themeColor="text1"/>
        </w:rPr>
        <w:t>via Commission Resolution per D.04-08-010.</w:t>
      </w:r>
      <w:r w:rsidRPr="00391600" w:rsidR="00A93086">
        <w:rPr>
          <w:rStyle w:val="FootnoteReference"/>
          <w:rFonts w:ascii="Palatino Linotype" w:hAnsi="Palatino Linotype"/>
          <w:color w:val="000000" w:themeColor="text1"/>
        </w:rPr>
        <w:footnoteReference w:id="125"/>
      </w:r>
      <w:r w:rsidRPr="00391600" w:rsidR="17B97544">
        <w:rPr>
          <w:rFonts w:ascii="Palatino Linotype" w:hAnsi="Palatino Linotype"/>
          <w:color w:val="000000" w:themeColor="text1"/>
        </w:rPr>
        <w:t xml:space="preserve"> The Commission finds that the reference to continually appropriated funds is distinct from prudent timeframes identifying </w:t>
      </w:r>
      <w:r w:rsidRPr="00391600" w:rsidR="17B97544">
        <w:rPr>
          <w:rFonts w:ascii="Palatino Linotype" w:hAnsi="Palatino Linotype"/>
          <w:color w:val="000000" w:themeColor="text1"/>
        </w:rPr>
        <w:lastRenderedPageBreak/>
        <w:t>milestones for</w:t>
      </w:r>
      <w:r w:rsidRPr="00391600" w:rsidR="1E6A3EA2">
        <w:rPr>
          <w:rFonts w:ascii="Palatino Linotype" w:hAnsi="Palatino Linotype"/>
          <w:color w:val="000000" w:themeColor="text1"/>
        </w:rPr>
        <w:t xml:space="preserve"> encumbrance and expenditure and/or</w:t>
      </w:r>
      <w:r w:rsidRPr="00391600" w:rsidR="17B97544">
        <w:rPr>
          <w:rFonts w:ascii="Palatino Linotype" w:hAnsi="Palatino Linotype"/>
          <w:color w:val="000000" w:themeColor="text1"/>
        </w:rPr>
        <w:t xml:space="preserve"> Commission reauthorization</w:t>
      </w:r>
      <w:r w:rsidRPr="00391600" w:rsidR="179539B7">
        <w:rPr>
          <w:rFonts w:ascii="Palatino Linotype" w:hAnsi="Palatino Linotype"/>
          <w:color w:val="000000" w:themeColor="text1"/>
        </w:rPr>
        <w:t>.</w:t>
      </w:r>
      <w:r w:rsidRPr="00391600" w:rsidR="17B97544">
        <w:rPr>
          <w:rFonts w:ascii="Palatino Linotype" w:hAnsi="Palatino Linotype"/>
          <w:color w:val="000000" w:themeColor="text1"/>
        </w:rPr>
        <w:t xml:space="preserve"> </w:t>
      </w:r>
      <w:r w:rsidRPr="00391600" w:rsidR="179539B7">
        <w:rPr>
          <w:rFonts w:ascii="Palatino Linotype" w:hAnsi="Palatino Linotype"/>
          <w:color w:val="000000" w:themeColor="text1"/>
        </w:rPr>
        <w:t xml:space="preserve">These milestones </w:t>
      </w:r>
      <w:r w:rsidRPr="00391600" w:rsidR="004F61A1">
        <w:rPr>
          <w:rFonts w:ascii="Palatino Linotype" w:hAnsi="Palatino Linotype"/>
          <w:color w:val="000000" w:themeColor="text1"/>
        </w:rPr>
        <w:t>are a reasonabl</w:t>
      </w:r>
      <w:r w:rsidRPr="00391600" w:rsidR="001B4139">
        <w:rPr>
          <w:rFonts w:ascii="Palatino Linotype" w:hAnsi="Palatino Linotype"/>
          <w:color w:val="000000" w:themeColor="text1"/>
        </w:rPr>
        <w:t>e</w:t>
      </w:r>
      <w:r w:rsidRPr="00391600" w:rsidR="004F61A1">
        <w:rPr>
          <w:rFonts w:ascii="Palatino Linotype" w:hAnsi="Palatino Linotype"/>
          <w:color w:val="000000" w:themeColor="text1"/>
        </w:rPr>
        <w:t xml:space="preserve"> practice</w:t>
      </w:r>
      <w:r w:rsidRPr="00391600" w:rsidR="001B4139">
        <w:rPr>
          <w:rFonts w:ascii="Palatino Linotype" w:hAnsi="Palatino Linotype"/>
          <w:color w:val="000000" w:themeColor="text1"/>
        </w:rPr>
        <w:t xml:space="preserve"> consistent with</w:t>
      </w:r>
      <w:r w:rsidRPr="00391600" w:rsidR="004F61A1">
        <w:rPr>
          <w:rFonts w:ascii="Palatino Linotype" w:hAnsi="Palatino Linotype"/>
          <w:color w:val="000000" w:themeColor="text1"/>
        </w:rPr>
        <w:t xml:space="preserve"> </w:t>
      </w:r>
      <w:r w:rsidRPr="00391600" w:rsidR="59A288F9">
        <w:rPr>
          <w:rFonts w:ascii="Palatino Linotype" w:hAnsi="Palatino Linotype"/>
          <w:color w:val="000000" w:themeColor="text1"/>
        </w:rPr>
        <w:t xml:space="preserve">prior </w:t>
      </w:r>
      <w:r w:rsidRPr="00391600" w:rsidR="5961185D">
        <w:rPr>
          <w:rFonts w:ascii="Palatino Linotype" w:hAnsi="Palatino Linotype"/>
          <w:color w:val="000000" w:themeColor="text1"/>
        </w:rPr>
        <w:t>Resolution</w:t>
      </w:r>
      <w:r w:rsidRPr="00391600" w:rsidR="687DEF6E">
        <w:rPr>
          <w:rFonts w:ascii="Palatino Linotype" w:hAnsi="Palatino Linotype"/>
          <w:color w:val="000000" w:themeColor="text1"/>
        </w:rPr>
        <w:t>s. Th</w:t>
      </w:r>
      <w:r w:rsidRPr="00391600" w:rsidR="008E7E69">
        <w:rPr>
          <w:rFonts w:ascii="Palatino Linotype" w:hAnsi="Palatino Linotype"/>
          <w:color w:val="000000" w:themeColor="text1"/>
        </w:rPr>
        <w:t>is</w:t>
      </w:r>
      <w:r w:rsidRPr="00391600" w:rsidR="687DEF6E">
        <w:rPr>
          <w:rFonts w:ascii="Palatino Linotype" w:hAnsi="Palatino Linotype"/>
          <w:color w:val="000000" w:themeColor="text1"/>
        </w:rPr>
        <w:t xml:space="preserve"> Resolution </w:t>
      </w:r>
      <w:r w:rsidRPr="00391600" w:rsidR="00CD01CE">
        <w:rPr>
          <w:rFonts w:ascii="Palatino Linotype" w:hAnsi="Palatino Linotype"/>
          <w:color w:val="000000" w:themeColor="text1"/>
        </w:rPr>
        <w:t>was</w:t>
      </w:r>
      <w:r w:rsidRPr="00391600" w:rsidR="687DEF6E">
        <w:rPr>
          <w:rFonts w:ascii="Palatino Linotype" w:hAnsi="Palatino Linotype"/>
          <w:color w:val="000000" w:themeColor="text1"/>
        </w:rPr>
        <w:t xml:space="preserve"> </w:t>
      </w:r>
      <w:r w:rsidRPr="00391600" w:rsidR="1EE3CA69">
        <w:rPr>
          <w:rFonts w:ascii="Palatino Linotype" w:hAnsi="Palatino Linotype"/>
          <w:color w:val="000000" w:themeColor="text1"/>
        </w:rPr>
        <w:t xml:space="preserve">revised </w:t>
      </w:r>
      <w:r w:rsidRPr="00391600" w:rsidR="008E2BC5">
        <w:rPr>
          <w:rFonts w:ascii="Palatino Linotype" w:hAnsi="Palatino Linotype"/>
          <w:color w:val="000000" w:themeColor="text1"/>
        </w:rPr>
        <w:t xml:space="preserve">to provide </w:t>
      </w:r>
      <w:r w:rsidRPr="00391600" w:rsidR="687DEF6E">
        <w:rPr>
          <w:rFonts w:ascii="Palatino Linotype" w:hAnsi="Palatino Linotype"/>
          <w:color w:val="000000" w:themeColor="text1"/>
        </w:rPr>
        <w:t>additional justification for why it is appropriate</w:t>
      </w:r>
      <w:r w:rsidRPr="00391600" w:rsidR="5961185D">
        <w:rPr>
          <w:rFonts w:ascii="Palatino Linotype" w:hAnsi="Palatino Linotype"/>
          <w:color w:val="000000" w:themeColor="text1"/>
        </w:rPr>
        <w:t xml:space="preserve"> </w:t>
      </w:r>
      <w:r w:rsidRPr="00391600" w:rsidR="00DB2BCE">
        <w:rPr>
          <w:rFonts w:ascii="Palatino Linotype" w:hAnsi="Palatino Linotype"/>
          <w:color w:val="000000" w:themeColor="text1"/>
        </w:rPr>
        <w:t>and mo</w:t>
      </w:r>
      <w:r w:rsidRPr="00391600" w:rsidR="00AD2B67">
        <w:rPr>
          <w:rFonts w:ascii="Palatino Linotype" w:hAnsi="Palatino Linotype"/>
          <w:color w:val="000000" w:themeColor="text1"/>
        </w:rPr>
        <w:t>st</w:t>
      </w:r>
      <w:r w:rsidRPr="00391600" w:rsidR="00DB2BCE">
        <w:rPr>
          <w:rFonts w:ascii="Palatino Linotype" w:hAnsi="Palatino Linotype"/>
          <w:color w:val="000000" w:themeColor="text1"/>
        </w:rPr>
        <w:t xml:space="preserve"> prudent</w:t>
      </w:r>
      <w:r w:rsidRPr="00391600" w:rsidR="7E2843E9">
        <w:rPr>
          <w:rFonts w:ascii="Palatino Linotype" w:hAnsi="Palatino Linotype"/>
          <w:color w:val="000000" w:themeColor="text1"/>
        </w:rPr>
        <w:t xml:space="preserve"> to utilize </w:t>
      </w:r>
      <w:r w:rsidRPr="00391600" w:rsidR="000C0FC2">
        <w:rPr>
          <w:rFonts w:ascii="Palatino Linotype" w:hAnsi="Palatino Linotype"/>
          <w:color w:val="000000" w:themeColor="text1"/>
        </w:rPr>
        <w:t xml:space="preserve">unencumbered or unspent </w:t>
      </w:r>
      <w:r w:rsidRPr="00391600" w:rsidR="6DC3A586">
        <w:rPr>
          <w:rFonts w:ascii="Palatino Linotype" w:hAnsi="Palatino Linotype"/>
          <w:color w:val="000000" w:themeColor="text1"/>
        </w:rPr>
        <w:t>funds</w:t>
      </w:r>
      <w:r w:rsidRPr="00391600" w:rsidR="4900114B">
        <w:rPr>
          <w:rFonts w:ascii="Palatino Linotype" w:hAnsi="Palatino Linotype"/>
          <w:color w:val="000000" w:themeColor="text1"/>
        </w:rPr>
        <w:t xml:space="preserve"> prior to new ratepayer collections</w:t>
      </w:r>
      <w:r w:rsidRPr="00391600" w:rsidR="00E22F36">
        <w:rPr>
          <w:rFonts w:ascii="Palatino Linotype" w:hAnsi="Palatino Linotype"/>
          <w:color w:val="000000" w:themeColor="text1"/>
        </w:rPr>
        <w:t xml:space="preserve"> as required</w:t>
      </w:r>
      <w:r w:rsidRPr="00391600" w:rsidR="00821737">
        <w:rPr>
          <w:rFonts w:ascii="Palatino Linotype" w:hAnsi="Palatino Linotype"/>
          <w:color w:val="000000" w:themeColor="text1"/>
        </w:rPr>
        <w:t xml:space="preserve">, particularly as </w:t>
      </w:r>
      <w:r w:rsidRPr="00391600" w:rsidR="00C32C81">
        <w:rPr>
          <w:rFonts w:ascii="Palatino Linotype" w:hAnsi="Palatino Linotype"/>
          <w:color w:val="000000" w:themeColor="text1"/>
        </w:rPr>
        <w:t>they include funds approved as long ago a</w:t>
      </w:r>
      <w:r w:rsidRPr="00391600" w:rsidR="00DB2BCE">
        <w:rPr>
          <w:rFonts w:ascii="Palatino Linotype" w:hAnsi="Palatino Linotype"/>
          <w:color w:val="000000" w:themeColor="text1"/>
        </w:rPr>
        <w:t>s</w:t>
      </w:r>
      <w:r w:rsidRPr="00391600" w:rsidR="00C32C81">
        <w:rPr>
          <w:rFonts w:ascii="Palatino Linotype" w:hAnsi="Palatino Linotype"/>
          <w:color w:val="000000" w:themeColor="text1"/>
        </w:rPr>
        <w:t xml:space="preserve"> 2015</w:t>
      </w:r>
      <w:r w:rsidRPr="00391600" w:rsidR="4900114B">
        <w:rPr>
          <w:rFonts w:ascii="Palatino Linotype" w:hAnsi="Palatino Linotype"/>
          <w:color w:val="000000" w:themeColor="text1"/>
        </w:rPr>
        <w:t xml:space="preserve">. </w:t>
      </w:r>
    </w:p>
    <w:p w:rsidRPr="00391600" w:rsidR="00A93086" w:rsidP="281B4A3F" w:rsidRDefault="17B97544" w14:paraId="49D510DD" w14:textId="65057AD9">
      <w:pPr>
        <w:spacing w:before="240" w:after="0"/>
        <w:rPr>
          <w:rFonts w:ascii="Palatino Linotype" w:hAnsi="Palatino Linotype"/>
          <w:color w:val="000000" w:themeColor="text1"/>
        </w:rPr>
      </w:pPr>
      <w:r w:rsidRPr="00391600">
        <w:rPr>
          <w:rFonts w:ascii="Palatino Linotype" w:hAnsi="Palatino Linotype"/>
          <w:color w:val="000000" w:themeColor="text1"/>
        </w:rPr>
        <w:t xml:space="preserve">This Resolution </w:t>
      </w:r>
      <w:r w:rsidRPr="00391600" w:rsidR="7D2E8180">
        <w:rPr>
          <w:rFonts w:ascii="Palatino Linotype" w:hAnsi="Palatino Linotype"/>
          <w:color w:val="000000" w:themeColor="text1"/>
        </w:rPr>
        <w:t xml:space="preserve">relies on and </w:t>
      </w:r>
      <w:r w:rsidRPr="00391600">
        <w:rPr>
          <w:rFonts w:ascii="Palatino Linotype" w:hAnsi="Palatino Linotype"/>
          <w:color w:val="000000" w:themeColor="text1"/>
        </w:rPr>
        <w:t xml:space="preserve">cites AB 1002 </w:t>
      </w:r>
      <w:r w:rsidRPr="00391600" w:rsidR="0D9262A5">
        <w:rPr>
          <w:rFonts w:ascii="Palatino Linotype" w:hAnsi="Palatino Linotype"/>
          <w:color w:val="000000" w:themeColor="text1"/>
        </w:rPr>
        <w:t xml:space="preserve">(Wright, 2002) </w:t>
      </w:r>
      <w:r w:rsidRPr="00391600">
        <w:rPr>
          <w:rFonts w:ascii="Palatino Linotype" w:hAnsi="Palatino Linotype"/>
          <w:color w:val="000000" w:themeColor="text1"/>
        </w:rPr>
        <w:t xml:space="preserve">which added Sections 890-900 to the </w:t>
      </w:r>
      <w:r w:rsidRPr="00391600" w:rsidR="00500BCF">
        <w:rPr>
          <w:rFonts w:ascii="Palatino Linotype" w:hAnsi="Palatino Linotype"/>
          <w:color w:val="000000" w:themeColor="text1"/>
        </w:rPr>
        <w:t>PU Code,</w:t>
      </w:r>
      <w:r w:rsidRPr="00391600">
        <w:rPr>
          <w:rFonts w:ascii="Palatino Linotype" w:hAnsi="Palatino Linotype"/>
          <w:color w:val="000000" w:themeColor="text1"/>
        </w:rPr>
        <w:t xml:space="preserve"> including Section 895 which provides that “funds in the [CPUC’s] Gas Consumption Surcharge Fund are continuously appropriated.”</w:t>
      </w:r>
      <w:r w:rsidRPr="00391600" w:rsidR="00A93086">
        <w:rPr>
          <w:rStyle w:val="FootnoteReference"/>
          <w:rFonts w:ascii="Palatino Linotype" w:hAnsi="Palatino Linotype"/>
          <w:color w:val="000000" w:themeColor="text1"/>
        </w:rPr>
        <w:footnoteReference w:id="126"/>
      </w:r>
      <w:r w:rsidRPr="00391600">
        <w:rPr>
          <w:rFonts w:ascii="Palatino Linotype" w:hAnsi="Palatino Linotype"/>
          <w:color w:val="000000" w:themeColor="text1"/>
        </w:rPr>
        <w:t xml:space="preserve"> </w:t>
      </w:r>
      <w:r w:rsidRPr="00391600" w:rsidR="00474C3F">
        <w:rPr>
          <w:rFonts w:ascii="Palatino Linotype" w:hAnsi="Palatino Linotype"/>
          <w:color w:val="000000" w:themeColor="text1"/>
        </w:rPr>
        <w:t>However</w:t>
      </w:r>
      <w:r w:rsidRPr="00391600" w:rsidR="68F9C8AE">
        <w:rPr>
          <w:rFonts w:ascii="Palatino Linotype" w:hAnsi="Palatino Linotype"/>
          <w:color w:val="000000" w:themeColor="text1"/>
        </w:rPr>
        <w:t xml:space="preserve">, </w:t>
      </w:r>
      <w:r w:rsidRPr="00391600" w:rsidR="1323E620">
        <w:rPr>
          <w:rFonts w:ascii="Palatino Linotype" w:hAnsi="Palatino Linotype"/>
          <w:color w:val="000000" w:themeColor="text1"/>
        </w:rPr>
        <w:t>i</w:t>
      </w:r>
      <w:r w:rsidRPr="00391600">
        <w:rPr>
          <w:rFonts w:ascii="Palatino Linotype" w:hAnsi="Palatino Linotype"/>
          <w:color w:val="000000" w:themeColor="text1"/>
        </w:rPr>
        <w:t>n 2021, PU</w:t>
      </w:r>
      <w:r w:rsidRPr="00391600" w:rsidR="00E22F36">
        <w:rPr>
          <w:rFonts w:ascii="Palatino Linotype" w:hAnsi="Palatino Linotype"/>
          <w:color w:val="000000" w:themeColor="text1"/>
        </w:rPr>
        <w:t xml:space="preserve"> Code</w:t>
      </w:r>
      <w:r w:rsidRPr="00391600">
        <w:rPr>
          <w:rFonts w:ascii="Palatino Linotype" w:hAnsi="Palatino Linotype"/>
          <w:color w:val="000000" w:themeColor="text1"/>
        </w:rPr>
        <w:t xml:space="preserve"> Section 895 was amended to include: “Notwithstanding Section 384 of this code and Section 13340 of the Government Code, moneys in [CEC’s Public Interest Research, Development, and Demonstration] subaccount are continuously appropriated, without regard to fiscal year, to pay the Energy Commission for its costs in carrying out its duties and responsibilities under this article.” PU</w:t>
      </w:r>
      <w:r w:rsidRPr="00391600" w:rsidR="00500BCF">
        <w:rPr>
          <w:rFonts w:ascii="Palatino Linotype" w:hAnsi="Palatino Linotype"/>
          <w:color w:val="000000" w:themeColor="text1"/>
        </w:rPr>
        <w:t xml:space="preserve"> Code </w:t>
      </w:r>
      <w:r w:rsidRPr="00391600">
        <w:rPr>
          <w:rFonts w:ascii="Palatino Linotype" w:hAnsi="Palatino Linotype"/>
          <w:color w:val="000000" w:themeColor="text1"/>
        </w:rPr>
        <w:t>Section 384 requires that “[a]</w:t>
      </w:r>
      <w:proofErr w:type="spellStart"/>
      <w:r w:rsidRPr="00391600">
        <w:rPr>
          <w:rFonts w:ascii="Palatino Linotype" w:hAnsi="Palatino Linotype"/>
          <w:color w:val="000000" w:themeColor="text1"/>
        </w:rPr>
        <w:t>ny</w:t>
      </w:r>
      <w:proofErr w:type="spellEnd"/>
      <w:r w:rsidRPr="00391600">
        <w:rPr>
          <w:rFonts w:ascii="Palatino Linotype" w:hAnsi="Palatino Linotype"/>
          <w:color w:val="000000" w:themeColor="text1"/>
        </w:rPr>
        <w:t xml:space="preserve"> appropriations that are made from the [CEC’s Public Interest Research, Development, and Demonstration] fund shall have an encumbrance period of </w:t>
      </w:r>
      <w:proofErr w:type="spellStart"/>
      <w:r w:rsidRPr="00391600">
        <w:rPr>
          <w:rFonts w:ascii="Palatino Linotype" w:hAnsi="Palatino Linotype"/>
          <w:color w:val="000000" w:themeColor="text1"/>
        </w:rPr>
        <w:t>not longer</w:t>
      </w:r>
      <w:proofErr w:type="spellEnd"/>
      <w:r w:rsidRPr="00391600">
        <w:rPr>
          <w:rFonts w:ascii="Palatino Linotype" w:hAnsi="Palatino Linotype"/>
          <w:color w:val="000000" w:themeColor="text1"/>
        </w:rPr>
        <w:t xml:space="preserve"> than two years, and a liquidation period of </w:t>
      </w:r>
      <w:proofErr w:type="spellStart"/>
      <w:r w:rsidRPr="00391600">
        <w:rPr>
          <w:rFonts w:ascii="Palatino Linotype" w:hAnsi="Palatino Linotype"/>
          <w:color w:val="000000" w:themeColor="text1"/>
        </w:rPr>
        <w:t>not longer</w:t>
      </w:r>
      <w:proofErr w:type="spellEnd"/>
      <w:r w:rsidRPr="00391600">
        <w:rPr>
          <w:rFonts w:ascii="Palatino Linotype" w:hAnsi="Palatino Linotype"/>
          <w:color w:val="000000" w:themeColor="text1"/>
        </w:rPr>
        <w:t xml:space="preserve"> than four years.”</w:t>
      </w:r>
      <w:r w:rsidRPr="00391600" w:rsidR="00AA195D">
        <w:rPr>
          <w:rFonts w:ascii="Palatino Linotype" w:hAnsi="Palatino Linotype"/>
          <w:color w:val="000000" w:themeColor="text1"/>
        </w:rPr>
        <w:t xml:space="preserve"> It appears this amendment may have been in response to temporary extenuating circumstances created by the COVID-19 pandemic, which created myriad obstacles to timely encumbrances and spending</w:t>
      </w:r>
      <w:r w:rsidRPr="00391600" w:rsidR="004C5166">
        <w:rPr>
          <w:rFonts w:ascii="Palatino Linotype" w:hAnsi="Palatino Linotype"/>
          <w:color w:val="000000" w:themeColor="text1"/>
        </w:rPr>
        <w:t>.</w:t>
      </w:r>
      <w:r w:rsidRPr="00391600" w:rsidR="00AA195D">
        <w:rPr>
          <w:rFonts w:ascii="Palatino Linotype" w:hAnsi="Palatino Linotype"/>
          <w:color w:val="000000" w:themeColor="text1"/>
        </w:rPr>
        <w:t xml:space="preserve"> </w:t>
      </w:r>
    </w:p>
    <w:p w:rsidRPr="00391600" w:rsidR="00A93086" w:rsidP="281B4A3F" w:rsidRDefault="005A19C2" w14:paraId="21F322CA" w14:textId="32EB9448">
      <w:pPr>
        <w:spacing w:before="240" w:after="0"/>
        <w:rPr>
          <w:rFonts w:ascii="Palatino Linotype" w:hAnsi="Palatino Linotype"/>
          <w:color w:val="000000" w:themeColor="text1"/>
        </w:rPr>
      </w:pPr>
      <w:r w:rsidRPr="00391600">
        <w:rPr>
          <w:rFonts w:ascii="Palatino Linotype" w:hAnsi="Palatino Linotype"/>
          <w:color w:val="000000" w:themeColor="text1"/>
        </w:rPr>
        <w:t>However, i</w:t>
      </w:r>
      <w:r w:rsidRPr="00391600" w:rsidR="17B97544">
        <w:rPr>
          <w:rFonts w:ascii="Palatino Linotype" w:hAnsi="Palatino Linotype"/>
          <w:color w:val="000000" w:themeColor="text1"/>
        </w:rPr>
        <w:t>t is evident in CPUC’s Resolution G-3484 (2013) through Resolution G-3592 (2023)</w:t>
      </w:r>
      <w:r w:rsidRPr="00391600" w:rsidR="00A93086">
        <w:rPr>
          <w:rStyle w:val="FootnoteReference"/>
          <w:rFonts w:ascii="Palatino Linotype" w:hAnsi="Palatino Linotype"/>
          <w:color w:val="000000" w:themeColor="text1"/>
        </w:rPr>
        <w:footnoteReference w:id="127"/>
      </w:r>
      <w:r w:rsidRPr="00391600" w:rsidR="17B97544">
        <w:rPr>
          <w:rFonts w:ascii="Palatino Linotype" w:hAnsi="Palatino Linotype"/>
          <w:color w:val="000000" w:themeColor="text1"/>
        </w:rPr>
        <w:t xml:space="preserve"> that PU</w:t>
      </w:r>
      <w:r w:rsidRPr="00391600" w:rsidR="00057A15">
        <w:rPr>
          <w:rFonts w:ascii="Palatino Linotype" w:hAnsi="Palatino Linotype"/>
          <w:color w:val="000000" w:themeColor="text1"/>
        </w:rPr>
        <w:t xml:space="preserve"> Code</w:t>
      </w:r>
      <w:r w:rsidRPr="00391600" w:rsidR="17B97544">
        <w:rPr>
          <w:rFonts w:ascii="Palatino Linotype" w:hAnsi="Palatino Linotype"/>
          <w:color w:val="000000" w:themeColor="text1"/>
        </w:rPr>
        <w:t xml:space="preserve"> Section 384 </w:t>
      </w:r>
      <w:r w:rsidRPr="00391600" w:rsidR="7D22837A">
        <w:rPr>
          <w:rFonts w:ascii="Palatino Linotype" w:hAnsi="Palatino Linotype"/>
          <w:color w:val="000000" w:themeColor="text1"/>
        </w:rPr>
        <w:t xml:space="preserve">guidelines were </w:t>
      </w:r>
      <w:r w:rsidRPr="00391600" w:rsidR="17B97544">
        <w:rPr>
          <w:rFonts w:ascii="Palatino Linotype" w:hAnsi="Palatino Linotype"/>
          <w:color w:val="000000" w:themeColor="text1"/>
        </w:rPr>
        <w:t>historically</w:t>
      </w:r>
      <w:r w:rsidRPr="00391600" w:rsidR="7D22837A">
        <w:rPr>
          <w:rFonts w:ascii="Palatino Linotype" w:hAnsi="Palatino Linotype"/>
          <w:color w:val="000000" w:themeColor="text1"/>
        </w:rPr>
        <w:t xml:space="preserve"> in practice for</w:t>
      </w:r>
      <w:r w:rsidRPr="00391600" w:rsidR="17B97544">
        <w:rPr>
          <w:rFonts w:ascii="Palatino Linotype" w:hAnsi="Palatino Linotype"/>
          <w:color w:val="000000" w:themeColor="text1"/>
        </w:rPr>
        <w:t xml:space="preserve"> the CEC’s Gas RD&amp;D Program/Initiative funding.</w:t>
      </w:r>
      <w:r w:rsidRPr="00391600" w:rsidR="17B97544">
        <w:rPr>
          <w:rFonts w:ascii="Palatino Linotype" w:hAnsi="Palatino Linotype"/>
          <w:b/>
          <w:bCs/>
          <w:color w:val="000000" w:themeColor="text1"/>
        </w:rPr>
        <w:t xml:space="preserve"> </w:t>
      </w:r>
      <w:r w:rsidRPr="00391600" w:rsidR="17B97544">
        <w:rPr>
          <w:rFonts w:ascii="Palatino Linotype" w:hAnsi="Palatino Linotype"/>
          <w:color w:val="000000" w:themeColor="text1"/>
        </w:rPr>
        <w:t>In Resolution G-3546 (2019), the Commission states that the “CEC has two years to encumber Gas R&amp;D funds with projects, and an additional four years before such funds expire. After those six years, remaining funds must be approved for re-investment by the Commission.”</w:t>
      </w:r>
      <w:r w:rsidRPr="00391600" w:rsidR="00A93086">
        <w:rPr>
          <w:rStyle w:val="FootnoteReference"/>
          <w:rFonts w:ascii="Palatino Linotype" w:hAnsi="Palatino Linotype"/>
          <w:color w:val="000000" w:themeColor="text1"/>
        </w:rPr>
        <w:footnoteReference w:id="128"/>
      </w:r>
      <w:r w:rsidRPr="00391600" w:rsidR="17B97544">
        <w:rPr>
          <w:rFonts w:ascii="Palatino Linotype" w:hAnsi="Palatino Linotype"/>
          <w:color w:val="000000" w:themeColor="text1"/>
        </w:rPr>
        <w:t xml:space="preserve"> Accordingly, the Commission</w:t>
      </w:r>
      <w:r w:rsidRPr="00391600" w:rsidR="00057A15">
        <w:rPr>
          <w:rFonts w:ascii="Palatino Linotype" w:hAnsi="Palatino Linotype"/>
          <w:color w:val="000000" w:themeColor="text1"/>
        </w:rPr>
        <w:t>, on occasion,</w:t>
      </w:r>
      <w:r w:rsidRPr="00391600" w:rsidR="17B97544">
        <w:rPr>
          <w:rFonts w:ascii="Palatino Linotype" w:hAnsi="Palatino Linotype"/>
          <w:color w:val="000000" w:themeColor="text1"/>
        </w:rPr>
        <w:t xml:space="preserve"> has approved supplemental </w:t>
      </w:r>
      <w:r w:rsidRPr="00391600" w:rsidR="00BE2056">
        <w:rPr>
          <w:rFonts w:ascii="Palatino Linotype" w:hAnsi="Palatino Linotype"/>
          <w:color w:val="000000" w:themeColor="text1"/>
        </w:rPr>
        <w:t>Plan</w:t>
      </w:r>
      <w:r w:rsidRPr="00391600" w:rsidR="00F416A7">
        <w:rPr>
          <w:rFonts w:ascii="Palatino Linotype" w:hAnsi="Palatino Linotype"/>
          <w:color w:val="000000" w:themeColor="text1"/>
        </w:rPr>
        <w:t>s</w:t>
      </w:r>
      <w:r w:rsidRPr="00391600" w:rsidR="000C50F0">
        <w:rPr>
          <w:rFonts w:ascii="Palatino Linotype" w:hAnsi="Palatino Linotype"/>
          <w:color w:val="000000" w:themeColor="text1"/>
        </w:rPr>
        <w:t>, as noted by the CEC,</w:t>
      </w:r>
      <w:r w:rsidRPr="00391600" w:rsidR="000C50F0">
        <w:rPr>
          <w:rStyle w:val="FootnoteReference"/>
          <w:rFonts w:ascii="Palatino Linotype" w:hAnsi="Palatino Linotype"/>
          <w:color w:val="000000" w:themeColor="text1"/>
        </w:rPr>
        <w:footnoteReference w:id="129"/>
      </w:r>
      <w:r w:rsidRPr="00391600" w:rsidR="00F416A7">
        <w:rPr>
          <w:rFonts w:ascii="Palatino Linotype" w:hAnsi="Palatino Linotype"/>
          <w:color w:val="000000" w:themeColor="text1"/>
        </w:rPr>
        <w:t xml:space="preserve"> </w:t>
      </w:r>
      <w:r w:rsidRPr="00391600" w:rsidR="17B97544">
        <w:rPr>
          <w:rFonts w:ascii="Palatino Linotype" w:hAnsi="Palatino Linotype"/>
          <w:color w:val="000000" w:themeColor="text1"/>
        </w:rPr>
        <w:t>for the CEC to repurpose unspent funds upon request</w:t>
      </w:r>
      <w:r w:rsidRPr="00391600" w:rsidR="00EF79A8">
        <w:rPr>
          <w:rFonts w:ascii="Palatino Linotype" w:hAnsi="Palatino Linotype"/>
          <w:color w:val="000000" w:themeColor="text1"/>
        </w:rPr>
        <w:t xml:space="preserve">. </w:t>
      </w:r>
      <w:r w:rsidRPr="00391600" w:rsidR="17B97544">
        <w:rPr>
          <w:rFonts w:ascii="Palatino Linotype" w:hAnsi="Palatino Linotype"/>
          <w:color w:val="000000" w:themeColor="text1"/>
        </w:rPr>
        <w:t xml:space="preserve">Alternatively, the Commission has </w:t>
      </w:r>
      <w:r w:rsidRPr="00391600" w:rsidR="17B97544">
        <w:rPr>
          <w:rFonts w:ascii="Palatino Linotype" w:hAnsi="Palatino Linotype"/>
          <w:color w:val="000000" w:themeColor="text1"/>
        </w:rPr>
        <w:lastRenderedPageBreak/>
        <w:t>directed the CEC to utilize unspent funds to offset new/additional ratepayer funds</w:t>
      </w:r>
      <w:r w:rsidRPr="00391600" w:rsidR="00ED5B41">
        <w:rPr>
          <w:rFonts w:ascii="Palatino Linotype" w:hAnsi="Palatino Linotype"/>
          <w:color w:val="000000" w:themeColor="text1"/>
        </w:rPr>
        <w:t xml:space="preserve"> by reducing the amount the CEC has transferred from </w:t>
      </w:r>
      <w:proofErr w:type="gramStart"/>
      <w:r w:rsidRPr="00391600" w:rsidR="00ED5B41">
        <w:rPr>
          <w:rFonts w:ascii="Palatino Linotype" w:hAnsi="Palatino Linotype"/>
          <w:color w:val="000000" w:themeColor="text1"/>
        </w:rPr>
        <w:t>the CPUC’s</w:t>
      </w:r>
      <w:proofErr w:type="gramEnd"/>
      <w:r w:rsidRPr="00391600" w:rsidR="00ED5B41">
        <w:rPr>
          <w:rFonts w:ascii="Palatino Linotype" w:hAnsi="Palatino Linotype"/>
          <w:color w:val="000000" w:themeColor="text1"/>
        </w:rPr>
        <w:t xml:space="preserve"> Gas Consumption Surcharge Fund</w:t>
      </w:r>
      <w:r w:rsidRPr="00391600" w:rsidR="17B97544">
        <w:rPr>
          <w:rFonts w:ascii="Palatino Linotype" w:hAnsi="Palatino Linotype"/>
          <w:color w:val="000000" w:themeColor="text1"/>
        </w:rPr>
        <w:t>.</w:t>
      </w:r>
      <w:r w:rsidRPr="00391600" w:rsidR="00A93086">
        <w:rPr>
          <w:rStyle w:val="FootnoteReference"/>
          <w:rFonts w:ascii="Palatino Linotype" w:hAnsi="Palatino Linotype"/>
          <w:color w:val="000000" w:themeColor="text1"/>
        </w:rPr>
        <w:footnoteReference w:id="130"/>
      </w:r>
      <w:r w:rsidRPr="00391600" w:rsidR="17B97544">
        <w:rPr>
          <w:rFonts w:ascii="Palatino Linotype" w:hAnsi="Palatino Linotype"/>
          <w:color w:val="000000" w:themeColor="text1"/>
        </w:rPr>
        <w:t xml:space="preserve"> </w:t>
      </w:r>
      <w:r w:rsidRPr="00391600" w:rsidR="60434172">
        <w:rPr>
          <w:rFonts w:ascii="Palatino Linotype" w:hAnsi="Palatino Linotype"/>
          <w:color w:val="000000" w:themeColor="text1"/>
        </w:rPr>
        <w:t xml:space="preserve">In either case, the funding from old </w:t>
      </w:r>
      <w:r w:rsidRPr="00391600" w:rsidR="00B37351">
        <w:rPr>
          <w:rFonts w:ascii="Palatino Linotype" w:hAnsi="Palatino Linotype"/>
          <w:color w:val="000000" w:themeColor="text1"/>
        </w:rPr>
        <w:t>P</w:t>
      </w:r>
      <w:r w:rsidRPr="00391600" w:rsidR="60434172">
        <w:rPr>
          <w:rFonts w:ascii="Palatino Linotype" w:hAnsi="Palatino Linotype"/>
          <w:color w:val="000000" w:themeColor="text1"/>
        </w:rPr>
        <w:t xml:space="preserve">lans is repurposed for more current </w:t>
      </w:r>
      <w:r w:rsidRPr="00391600" w:rsidR="00D45294">
        <w:rPr>
          <w:rFonts w:ascii="Palatino Linotype" w:hAnsi="Palatino Linotype"/>
          <w:color w:val="000000" w:themeColor="text1"/>
        </w:rPr>
        <w:t>P</w:t>
      </w:r>
      <w:r w:rsidRPr="00391600" w:rsidR="60434172">
        <w:rPr>
          <w:rFonts w:ascii="Palatino Linotype" w:hAnsi="Palatino Linotype"/>
          <w:color w:val="000000" w:themeColor="text1"/>
        </w:rPr>
        <w:t xml:space="preserve">lan </w:t>
      </w:r>
      <w:r w:rsidRPr="00391600" w:rsidR="00D45294">
        <w:rPr>
          <w:rFonts w:ascii="Palatino Linotype" w:hAnsi="Palatino Linotype"/>
          <w:color w:val="000000" w:themeColor="text1"/>
        </w:rPr>
        <w:t>I</w:t>
      </w:r>
      <w:r w:rsidRPr="00391600" w:rsidR="60434172">
        <w:rPr>
          <w:rFonts w:ascii="Palatino Linotype" w:hAnsi="Palatino Linotype"/>
          <w:color w:val="000000" w:themeColor="text1"/>
        </w:rPr>
        <w:t>nitiatives.</w:t>
      </w:r>
    </w:p>
    <w:p w:rsidRPr="00391600" w:rsidR="00A93086" w:rsidRDefault="0047176C" w14:paraId="4852E78E" w14:textId="4ECEDE01">
      <w:pPr>
        <w:spacing w:before="240"/>
        <w:rPr>
          <w:rFonts w:ascii="Palatino Linotype" w:hAnsi="Palatino Linotype"/>
          <w:color w:val="000000" w:themeColor="text1"/>
        </w:rPr>
      </w:pPr>
      <w:r w:rsidRPr="00391600">
        <w:rPr>
          <w:rFonts w:ascii="Palatino Linotype" w:hAnsi="Palatino Linotype"/>
          <w:color w:val="000000" w:themeColor="text1"/>
        </w:rPr>
        <w:t>Though, i</w:t>
      </w:r>
      <w:r w:rsidRPr="00391600" w:rsidR="17B97544">
        <w:rPr>
          <w:rFonts w:ascii="Palatino Linotype" w:hAnsi="Palatino Linotype"/>
          <w:color w:val="000000" w:themeColor="text1"/>
        </w:rPr>
        <w:t xml:space="preserve">n the CEC’s proposed FY 2023-2024 Plan submitted via AL 5-G, as </w:t>
      </w:r>
      <w:r w:rsidRPr="00391600" w:rsidDel="17B97544" w:rsidR="00217826">
        <w:rPr>
          <w:rFonts w:ascii="Palatino Linotype" w:hAnsi="Palatino Linotype"/>
          <w:color w:val="000000" w:themeColor="text1"/>
        </w:rPr>
        <w:t xml:space="preserve">referenced </w:t>
      </w:r>
      <w:r w:rsidRPr="00391600" w:rsidR="17B97544">
        <w:rPr>
          <w:rFonts w:ascii="Palatino Linotype" w:hAnsi="Palatino Linotype"/>
          <w:color w:val="000000" w:themeColor="text1"/>
        </w:rPr>
        <w:t>in CPUC’s Resolution G-3603 (2024),</w:t>
      </w:r>
      <w:r w:rsidRPr="00391600" w:rsidR="00217826">
        <w:rPr>
          <w:rStyle w:val="FootnoteReference"/>
          <w:rFonts w:ascii="Palatino Linotype" w:hAnsi="Palatino Linotype"/>
          <w:color w:val="000000" w:themeColor="text1"/>
        </w:rPr>
        <w:footnoteReference w:id="131"/>
      </w:r>
      <w:r w:rsidRPr="00391600" w:rsidR="17B97544">
        <w:rPr>
          <w:rFonts w:ascii="Palatino Linotype" w:hAnsi="Palatino Linotype"/>
          <w:color w:val="000000" w:themeColor="text1"/>
        </w:rPr>
        <w:t xml:space="preserve"> the CEC </w:t>
      </w:r>
      <w:r w:rsidRPr="00391600" w:rsidR="005F6B25">
        <w:rPr>
          <w:rFonts w:ascii="Palatino Linotype" w:hAnsi="Palatino Linotype"/>
          <w:color w:val="000000" w:themeColor="text1"/>
        </w:rPr>
        <w:t>indicate</w:t>
      </w:r>
      <w:r w:rsidRPr="00391600" w:rsidR="00284B49">
        <w:rPr>
          <w:rFonts w:ascii="Palatino Linotype" w:hAnsi="Palatino Linotype"/>
          <w:color w:val="000000" w:themeColor="text1"/>
        </w:rPr>
        <w:t>d</w:t>
      </w:r>
      <w:r w:rsidRPr="00391600" w:rsidR="005F6B25">
        <w:rPr>
          <w:rFonts w:ascii="Palatino Linotype" w:hAnsi="Palatino Linotype"/>
          <w:color w:val="000000" w:themeColor="text1"/>
        </w:rPr>
        <w:t xml:space="preserve"> that AB 148</w:t>
      </w:r>
      <w:r w:rsidRPr="00391600" w:rsidR="00284B49">
        <w:rPr>
          <w:rFonts w:ascii="Palatino Linotype" w:hAnsi="Palatino Linotype"/>
          <w:color w:val="000000" w:themeColor="text1"/>
        </w:rPr>
        <w:t xml:space="preserve"> resulted in Gas RD&amp;D funds no longer being subject to encumbrance and liquidation deadlines</w:t>
      </w:r>
      <w:r w:rsidRPr="00391600" w:rsidR="009A60AF">
        <w:rPr>
          <w:rFonts w:ascii="Palatino Linotype" w:hAnsi="Palatino Linotype"/>
          <w:color w:val="000000" w:themeColor="text1"/>
        </w:rPr>
        <w:t xml:space="preserve"> in statute</w:t>
      </w:r>
      <w:r w:rsidRPr="00391600" w:rsidR="00284B49">
        <w:rPr>
          <w:rFonts w:ascii="Palatino Linotype" w:hAnsi="Palatino Linotype"/>
          <w:color w:val="000000" w:themeColor="text1"/>
        </w:rPr>
        <w:t xml:space="preserve">, it committed to endeavoring to </w:t>
      </w:r>
      <w:r w:rsidRPr="00391600" w:rsidR="009A60AF">
        <w:rPr>
          <w:rFonts w:ascii="Palatino Linotype" w:hAnsi="Palatino Linotype"/>
          <w:color w:val="000000" w:themeColor="text1"/>
        </w:rPr>
        <w:t>abide by the timelines.</w:t>
      </w:r>
      <w:r w:rsidRPr="00391600" w:rsidR="009A60AF">
        <w:rPr>
          <w:rStyle w:val="FootnoteReference"/>
          <w:rFonts w:ascii="Palatino Linotype" w:hAnsi="Palatino Linotype"/>
          <w:color w:val="000000" w:themeColor="text1"/>
        </w:rPr>
        <w:footnoteReference w:id="132"/>
      </w:r>
      <w:r w:rsidRPr="00391600" w:rsidR="17B97544">
        <w:rPr>
          <w:rFonts w:ascii="Palatino Linotype" w:hAnsi="Palatino Linotype"/>
          <w:color w:val="000000" w:themeColor="text1"/>
        </w:rPr>
        <w:t xml:space="preserve"> </w:t>
      </w:r>
    </w:p>
    <w:p w:rsidRPr="00391600" w:rsidR="00A93086" w:rsidP="281B4A3F" w:rsidRDefault="00AF51D7" w14:paraId="49DC7B0A" w14:textId="6D54CFC3">
      <w:pPr>
        <w:spacing w:after="0"/>
        <w:rPr>
          <w:rFonts w:ascii="Palatino Linotype" w:hAnsi="Palatino Linotype"/>
        </w:rPr>
      </w:pPr>
      <w:r w:rsidRPr="00391600">
        <w:rPr>
          <w:rFonts w:ascii="Palatino Linotype" w:hAnsi="Palatino Linotype"/>
          <w:color w:val="000000" w:themeColor="text1"/>
        </w:rPr>
        <w:t xml:space="preserve">However, </w:t>
      </w:r>
      <w:r w:rsidRPr="00391600" w:rsidR="00527422">
        <w:rPr>
          <w:rFonts w:ascii="Palatino Linotype" w:hAnsi="Palatino Linotype"/>
          <w:color w:val="000000" w:themeColor="text1"/>
        </w:rPr>
        <w:t xml:space="preserve">the CEC’s </w:t>
      </w:r>
      <w:r w:rsidRPr="00391600" w:rsidR="7D26F12F">
        <w:rPr>
          <w:rFonts w:ascii="Palatino Linotype" w:hAnsi="Palatino Linotype"/>
          <w:color w:val="000000" w:themeColor="text1"/>
        </w:rPr>
        <w:t>adherence to</w:t>
      </w:r>
      <w:r w:rsidRPr="00391600" w:rsidR="003B2704">
        <w:rPr>
          <w:rFonts w:ascii="Palatino Linotype" w:hAnsi="Palatino Linotype"/>
          <w:color w:val="000000" w:themeColor="text1"/>
        </w:rPr>
        <w:t xml:space="preserve"> these timelines has not been</w:t>
      </w:r>
      <w:r w:rsidRPr="00391600" w:rsidR="10D09B52">
        <w:rPr>
          <w:rFonts w:ascii="Palatino Linotype" w:hAnsi="Palatino Linotype"/>
          <w:color w:val="000000" w:themeColor="text1"/>
        </w:rPr>
        <w:t xml:space="preserve"> consistently</w:t>
      </w:r>
      <w:r w:rsidRPr="00391600" w:rsidR="003B2704">
        <w:rPr>
          <w:rFonts w:ascii="Palatino Linotype" w:hAnsi="Palatino Linotype"/>
          <w:color w:val="000000" w:themeColor="text1"/>
        </w:rPr>
        <w:t xml:space="preserve"> demonstrated, </w:t>
      </w:r>
      <w:r w:rsidRPr="00391600" w:rsidR="002706A4">
        <w:rPr>
          <w:rFonts w:ascii="Palatino Linotype" w:hAnsi="Palatino Linotype"/>
          <w:color w:val="000000" w:themeColor="text1"/>
        </w:rPr>
        <w:t xml:space="preserve">nor has compliance with </w:t>
      </w:r>
      <w:r w:rsidRPr="00391600" w:rsidR="17B97544">
        <w:rPr>
          <w:rFonts w:ascii="Palatino Linotype" w:hAnsi="Palatino Linotype"/>
          <w:color w:val="000000" w:themeColor="text1"/>
        </w:rPr>
        <w:t>Resolutions G-3584 (2021)</w:t>
      </w:r>
      <w:r w:rsidRPr="00391600" w:rsidR="00217826">
        <w:rPr>
          <w:rStyle w:val="FootnoteReference"/>
          <w:rFonts w:ascii="Palatino Linotype" w:hAnsi="Palatino Linotype"/>
          <w:color w:val="000000" w:themeColor="text1"/>
        </w:rPr>
        <w:footnoteReference w:id="133"/>
      </w:r>
      <w:r w:rsidRPr="00391600" w:rsidR="17B97544">
        <w:rPr>
          <w:rFonts w:ascii="Palatino Linotype" w:hAnsi="Palatino Linotype"/>
          <w:color w:val="000000" w:themeColor="text1"/>
        </w:rPr>
        <w:t xml:space="preserve"> and G-3592 (2023)</w:t>
      </w:r>
      <w:r w:rsidRPr="00391600" w:rsidR="000B1FB1">
        <w:rPr>
          <w:rFonts w:ascii="Palatino Linotype" w:hAnsi="Palatino Linotype"/>
          <w:color w:val="000000" w:themeColor="text1"/>
        </w:rPr>
        <w:t>,</w:t>
      </w:r>
      <w:r w:rsidRPr="00391600" w:rsidR="00217826">
        <w:rPr>
          <w:rStyle w:val="FootnoteReference"/>
          <w:rFonts w:ascii="Palatino Linotype" w:hAnsi="Palatino Linotype"/>
          <w:color w:val="000000" w:themeColor="text1"/>
        </w:rPr>
        <w:footnoteReference w:id="134"/>
      </w:r>
      <w:r w:rsidRPr="00391600" w:rsidR="17B97544">
        <w:rPr>
          <w:rFonts w:ascii="Palatino Linotype" w:hAnsi="Palatino Linotype"/>
          <w:color w:val="000000" w:themeColor="text1"/>
        </w:rPr>
        <w:t xml:space="preserve"> </w:t>
      </w:r>
      <w:r w:rsidRPr="00391600" w:rsidR="002706A4">
        <w:rPr>
          <w:rFonts w:ascii="Palatino Linotype" w:hAnsi="Palatino Linotype"/>
          <w:color w:val="000000" w:themeColor="text1"/>
        </w:rPr>
        <w:t xml:space="preserve">which </w:t>
      </w:r>
      <w:r w:rsidRPr="00391600" w:rsidR="00310CBF">
        <w:rPr>
          <w:rFonts w:ascii="Palatino Linotype" w:hAnsi="Palatino Linotype"/>
          <w:color w:val="000000" w:themeColor="text1"/>
        </w:rPr>
        <w:t>direct</w:t>
      </w:r>
      <w:r w:rsidRPr="00391600" w:rsidR="002706A4">
        <w:rPr>
          <w:rFonts w:ascii="Palatino Linotype" w:hAnsi="Palatino Linotype"/>
          <w:color w:val="000000" w:themeColor="text1"/>
        </w:rPr>
        <w:t xml:space="preserve"> that </w:t>
      </w:r>
      <w:r w:rsidRPr="00391600" w:rsidR="17B97544">
        <w:rPr>
          <w:rFonts w:ascii="Palatino Linotype" w:hAnsi="Palatino Linotype"/>
          <w:color w:val="000000" w:themeColor="text1"/>
        </w:rPr>
        <w:t xml:space="preserve">“unencumbered and unspent funds </w:t>
      </w:r>
      <w:r w:rsidRPr="00391600">
        <w:rPr>
          <w:rFonts w:ascii="Palatino Linotype" w:hAnsi="Palatino Linotype"/>
          <w:color w:val="000000" w:themeColor="text1"/>
        </w:rPr>
        <w:t xml:space="preserve">should </w:t>
      </w:r>
      <w:r w:rsidRPr="00391600" w:rsidR="17B97544">
        <w:rPr>
          <w:rFonts w:ascii="Palatino Linotype" w:hAnsi="Palatino Linotype"/>
          <w:color w:val="000000" w:themeColor="text1"/>
        </w:rPr>
        <w:t>be utilized prior to the utilization of new and/or additional ratepayer funds</w:t>
      </w:r>
      <w:r w:rsidRPr="00391600" w:rsidR="003F6250">
        <w:rPr>
          <w:rFonts w:ascii="Palatino Linotype" w:hAnsi="Palatino Linotype"/>
          <w:color w:val="000000" w:themeColor="text1"/>
        </w:rPr>
        <w:t>.</w:t>
      </w:r>
      <w:r w:rsidRPr="00391600" w:rsidR="17B97544">
        <w:rPr>
          <w:rFonts w:ascii="Palatino Linotype" w:hAnsi="Palatino Linotype"/>
          <w:color w:val="000000" w:themeColor="text1"/>
        </w:rPr>
        <w:t>”</w:t>
      </w:r>
      <w:r w:rsidRPr="00391600" w:rsidR="00064637">
        <w:rPr>
          <w:rFonts w:ascii="Palatino Linotype" w:hAnsi="Palatino Linotype"/>
          <w:color w:val="000000" w:themeColor="text1"/>
        </w:rPr>
        <w:t xml:space="preserve"> </w:t>
      </w:r>
      <w:r w:rsidRPr="00391600" w:rsidR="00904813">
        <w:rPr>
          <w:rFonts w:ascii="Palatino Linotype" w:hAnsi="Palatino Linotype"/>
          <w:color w:val="000000" w:themeColor="text1"/>
        </w:rPr>
        <w:t xml:space="preserve">Furthermore, the </w:t>
      </w:r>
      <w:r w:rsidRPr="00391600" w:rsidR="17B97544">
        <w:rPr>
          <w:rFonts w:ascii="Palatino Linotype" w:hAnsi="Palatino Linotype"/>
          <w:color w:val="000000" w:themeColor="text1"/>
        </w:rPr>
        <w:t xml:space="preserve">CEC </w:t>
      </w:r>
      <w:r w:rsidRPr="00391600" w:rsidR="00904813">
        <w:rPr>
          <w:rFonts w:ascii="Palatino Linotype" w:hAnsi="Palatino Linotype"/>
          <w:color w:val="000000" w:themeColor="text1"/>
        </w:rPr>
        <w:t xml:space="preserve">has not proposed </w:t>
      </w:r>
      <w:r w:rsidRPr="00391600" w:rsidR="17B97544">
        <w:rPr>
          <w:rFonts w:ascii="Palatino Linotype" w:hAnsi="Palatino Linotype"/>
          <w:color w:val="000000" w:themeColor="text1"/>
        </w:rPr>
        <w:t xml:space="preserve">an alternative mechanism to determine the portion of its approved unspent funds that will offset new/ratepayer funds to comply with Commission requirements to do so. </w:t>
      </w:r>
    </w:p>
    <w:p w:rsidRPr="00391600" w:rsidR="00A93086" w:rsidP="000B1FB1" w:rsidRDefault="17B97544" w14:paraId="1528624F" w14:textId="70574663">
      <w:pPr>
        <w:spacing w:before="240" w:after="0"/>
        <w:rPr>
          <w:rFonts w:ascii="Palatino Linotype" w:hAnsi="Palatino Linotype"/>
        </w:rPr>
      </w:pPr>
      <w:r w:rsidRPr="00391600">
        <w:rPr>
          <w:rFonts w:ascii="Palatino Linotype" w:hAnsi="Palatino Linotype"/>
          <w:color w:val="000000" w:themeColor="text1"/>
        </w:rPr>
        <w:t xml:space="preserve">Timeframes identifying milestones for reauthorization utilized as best practices are </w:t>
      </w:r>
      <w:r w:rsidRPr="00391600" w:rsidR="03C0C552">
        <w:rPr>
          <w:rFonts w:ascii="Palatino Linotype" w:hAnsi="Palatino Linotype"/>
          <w:color w:val="000000" w:themeColor="text1"/>
        </w:rPr>
        <w:t>reasonable to apply</w:t>
      </w:r>
      <w:r w:rsidRPr="00391600">
        <w:rPr>
          <w:rFonts w:ascii="Palatino Linotype" w:hAnsi="Palatino Linotype"/>
          <w:color w:val="000000" w:themeColor="text1"/>
        </w:rPr>
        <w:t xml:space="preserve"> for the prudent oversight and accountability of ratepayer dollars</w:t>
      </w:r>
      <w:r w:rsidRPr="00391600" w:rsidR="003F24E4">
        <w:rPr>
          <w:rFonts w:ascii="Palatino Linotype" w:hAnsi="Palatino Linotype"/>
          <w:color w:val="000000" w:themeColor="text1"/>
        </w:rPr>
        <w:t xml:space="preserve">, particularly as the CEC appears to have been relieved of deadlines in statute per temporary extenuating circumstances and associated </w:t>
      </w:r>
      <w:r w:rsidRPr="00391600" w:rsidR="00792F64">
        <w:rPr>
          <w:rFonts w:ascii="Palatino Linotype" w:hAnsi="Palatino Linotype"/>
          <w:color w:val="000000" w:themeColor="text1"/>
        </w:rPr>
        <w:t xml:space="preserve">delays </w:t>
      </w:r>
      <w:r w:rsidRPr="00391600" w:rsidR="003F24E4">
        <w:rPr>
          <w:rFonts w:ascii="Palatino Linotype" w:hAnsi="Palatino Linotype"/>
          <w:color w:val="000000" w:themeColor="text1"/>
        </w:rPr>
        <w:t>created by the COVID-19 pandemic</w:t>
      </w:r>
      <w:r w:rsidRPr="00391600" w:rsidR="006551CC">
        <w:rPr>
          <w:rFonts w:ascii="Palatino Linotype" w:hAnsi="Palatino Linotype"/>
          <w:color w:val="000000" w:themeColor="text1"/>
        </w:rPr>
        <w:t xml:space="preserve"> which have since </w:t>
      </w:r>
      <w:r w:rsidRPr="00391600" w:rsidR="000B3687">
        <w:rPr>
          <w:rFonts w:ascii="Palatino Linotype" w:hAnsi="Palatino Linotype"/>
          <w:color w:val="000000" w:themeColor="text1"/>
        </w:rPr>
        <w:t>largely been resolved</w:t>
      </w:r>
      <w:r w:rsidRPr="00391600" w:rsidR="00792F64">
        <w:rPr>
          <w:rFonts w:ascii="Palatino Linotype" w:hAnsi="Palatino Linotype"/>
          <w:color w:val="000000" w:themeColor="text1"/>
        </w:rPr>
        <w:t>.</w:t>
      </w:r>
      <w:r w:rsidRPr="00391600">
        <w:rPr>
          <w:rFonts w:ascii="Palatino Linotype" w:hAnsi="Palatino Linotype"/>
          <w:color w:val="000000" w:themeColor="text1"/>
        </w:rPr>
        <w:t xml:space="preserve"> Therefore, the Commission provides the clear mechanism for determining the approved unspent funds which shall be used to offset new/additional ratepayer costs for the CEC’s Plans </w:t>
      </w:r>
      <w:r w:rsidRPr="00391600" w:rsidR="15E43825">
        <w:rPr>
          <w:rFonts w:ascii="Palatino Linotype" w:hAnsi="Palatino Linotype"/>
          <w:color w:val="000000" w:themeColor="text1"/>
        </w:rPr>
        <w:t>approved herein</w:t>
      </w:r>
      <w:r w:rsidRPr="00391600">
        <w:rPr>
          <w:rFonts w:ascii="Palatino Linotype" w:hAnsi="Palatino Linotype"/>
          <w:color w:val="000000" w:themeColor="text1"/>
        </w:rPr>
        <w:t xml:space="preserve">, in order to both </w:t>
      </w:r>
      <w:r w:rsidRPr="00391600" w:rsidR="3814486D">
        <w:rPr>
          <w:rFonts w:ascii="Palatino Linotype" w:hAnsi="Palatino Linotype"/>
          <w:color w:val="000000" w:themeColor="text1"/>
        </w:rPr>
        <w:t xml:space="preserve">(1) </w:t>
      </w:r>
      <w:r w:rsidRPr="00391600">
        <w:rPr>
          <w:rFonts w:ascii="Palatino Linotype" w:hAnsi="Palatino Linotype"/>
          <w:color w:val="000000" w:themeColor="text1"/>
        </w:rPr>
        <w:t>utilize the significant accumulation of unspent ratepayer funds since FY 2015-2016</w:t>
      </w:r>
      <w:r w:rsidRPr="00391600" w:rsidR="6648C6B3">
        <w:rPr>
          <w:rFonts w:ascii="Palatino Linotype" w:hAnsi="Palatino Linotype"/>
          <w:color w:val="000000" w:themeColor="text1"/>
        </w:rPr>
        <w:t>,</w:t>
      </w:r>
      <w:r w:rsidRPr="00391600">
        <w:rPr>
          <w:rFonts w:ascii="Palatino Linotype" w:hAnsi="Palatino Linotype"/>
          <w:color w:val="000000" w:themeColor="text1"/>
        </w:rPr>
        <w:t xml:space="preserve"> and </w:t>
      </w:r>
      <w:r w:rsidRPr="00391600" w:rsidR="1DD19A13">
        <w:rPr>
          <w:rFonts w:ascii="Palatino Linotype" w:hAnsi="Palatino Linotype"/>
          <w:color w:val="000000" w:themeColor="text1"/>
        </w:rPr>
        <w:t xml:space="preserve">(2) ensure that the funding already collected from ratepayers is used to </w:t>
      </w:r>
      <w:r w:rsidRPr="00391600" w:rsidR="006768F9">
        <w:rPr>
          <w:rFonts w:ascii="Palatino Linotype" w:hAnsi="Palatino Linotype"/>
          <w:color w:val="000000" w:themeColor="text1"/>
        </w:rPr>
        <w:t xml:space="preserve">support contemporary </w:t>
      </w:r>
      <w:r w:rsidRPr="00391600" w:rsidR="6F1E7EC9">
        <w:rPr>
          <w:rFonts w:ascii="Palatino Linotype" w:hAnsi="Palatino Linotype"/>
          <w:color w:val="000000" w:themeColor="text1"/>
        </w:rPr>
        <w:t xml:space="preserve">State </w:t>
      </w:r>
      <w:r w:rsidRPr="00391600">
        <w:rPr>
          <w:rFonts w:ascii="Palatino Linotype" w:hAnsi="Palatino Linotype"/>
          <w:color w:val="000000" w:themeColor="text1"/>
        </w:rPr>
        <w:t>energy policy pertaining to climate and affordability goals.</w:t>
      </w:r>
      <w:r w:rsidRPr="00391600" w:rsidR="504273B4">
        <w:rPr>
          <w:rFonts w:ascii="Palatino Linotype" w:hAnsi="Palatino Linotype"/>
          <w:color w:val="000000" w:themeColor="text1"/>
        </w:rPr>
        <w:t xml:space="preserve"> </w:t>
      </w:r>
    </w:p>
    <w:p w:rsidRPr="00391600" w:rsidR="00A93086" w:rsidP="00A93086" w:rsidRDefault="00A93086" w14:paraId="5BF4DB53" w14:textId="77777777">
      <w:pPr>
        <w:spacing w:after="0"/>
        <w:rPr>
          <w:rFonts w:ascii="Palatino Linotype" w:hAnsi="Palatino Linotype"/>
          <w:color w:val="000000" w:themeColor="text1"/>
        </w:rPr>
      </w:pPr>
    </w:p>
    <w:p w:rsidRPr="00391600" w:rsidR="00A93086" w:rsidP="281B4A3F" w:rsidRDefault="00373CFD" w14:paraId="5B8ED7CB" w14:textId="43CF144D">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B32A8B">
        <w:rPr>
          <w:rFonts w:ascii="Palatino Linotype" w:hAnsi="Palatino Linotype"/>
          <w:b/>
          <w:bCs/>
          <w:color w:val="000000" w:themeColor="text1"/>
        </w:rPr>
        <w:t>the Use of Unencumbered and Unspent Funds.</w:t>
      </w:r>
    </w:p>
    <w:p w:rsidRPr="00391600" w:rsidR="00EC6092" w:rsidP="00BC7673" w:rsidRDefault="00E3696C" w14:paraId="69B6B6BC" w14:textId="4DCEF5FD">
      <w:pPr>
        <w:rPr>
          <w:rFonts w:ascii="Palatino Linotype" w:hAnsi="Palatino Linotype"/>
          <w:color w:val="000000" w:themeColor="text1"/>
        </w:rPr>
      </w:pPr>
      <w:r w:rsidRPr="00391600">
        <w:rPr>
          <w:rFonts w:ascii="Palatino Linotype" w:hAnsi="Palatino Linotype"/>
          <w:color w:val="000000" w:themeColor="text1"/>
        </w:rPr>
        <w:t>In the CEC’s comments, it</w:t>
      </w:r>
      <w:r w:rsidRPr="00391600" w:rsidR="0082144E">
        <w:rPr>
          <w:rFonts w:ascii="Palatino Linotype" w:hAnsi="Palatino Linotype"/>
          <w:color w:val="000000" w:themeColor="text1"/>
        </w:rPr>
        <w:t xml:space="preserve"> states that </w:t>
      </w:r>
      <w:r w:rsidRPr="00391600" w:rsidR="00DB1364">
        <w:rPr>
          <w:rFonts w:ascii="Palatino Linotype" w:hAnsi="Palatino Linotype"/>
          <w:color w:val="000000" w:themeColor="text1"/>
        </w:rPr>
        <w:t xml:space="preserve">it </w:t>
      </w:r>
      <w:r w:rsidRPr="00391600" w:rsidR="003B0231">
        <w:rPr>
          <w:rFonts w:ascii="Palatino Linotype" w:hAnsi="Palatino Linotype"/>
          <w:color w:val="000000" w:themeColor="text1"/>
        </w:rPr>
        <w:t>“may be legally liable to pay for any legally incurred costs prior to the terminations”</w:t>
      </w:r>
      <w:r w:rsidRPr="00391600" w:rsidR="00193ABE">
        <w:rPr>
          <w:rStyle w:val="FootnoteReference"/>
          <w:rFonts w:ascii="Palatino Linotype" w:hAnsi="Palatino Linotype"/>
          <w:color w:val="000000" w:themeColor="text1"/>
        </w:rPr>
        <w:t xml:space="preserve"> </w:t>
      </w:r>
      <w:r w:rsidRPr="00391600" w:rsidR="00193ABE">
        <w:rPr>
          <w:rStyle w:val="FootnoteReference"/>
          <w:rFonts w:ascii="Palatino Linotype" w:hAnsi="Palatino Linotype"/>
          <w:color w:val="000000" w:themeColor="text1"/>
        </w:rPr>
        <w:footnoteReference w:id="135"/>
      </w:r>
      <w:r w:rsidRPr="00391600" w:rsidR="003B0231">
        <w:rPr>
          <w:rFonts w:ascii="Palatino Linotype" w:hAnsi="Palatino Linotype"/>
          <w:color w:val="000000" w:themeColor="text1"/>
        </w:rPr>
        <w:t xml:space="preserve"> </w:t>
      </w:r>
      <w:r w:rsidRPr="00391600" w:rsidR="00DB1364">
        <w:rPr>
          <w:rFonts w:ascii="Palatino Linotype" w:hAnsi="Palatino Linotype"/>
          <w:color w:val="000000" w:themeColor="text1"/>
        </w:rPr>
        <w:t>for</w:t>
      </w:r>
      <w:r w:rsidRPr="00391600" w:rsidR="003B0231">
        <w:rPr>
          <w:rFonts w:ascii="Palatino Linotype" w:hAnsi="Palatino Linotype"/>
          <w:color w:val="000000" w:themeColor="text1"/>
        </w:rPr>
        <w:t xml:space="preserve"> contracts</w:t>
      </w:r>
      <w:r w:rsidRPr="00391600" w:rsidR="00DB1364">
        <w:rPr>
          <w:rFonts w:ascii="Palatino Linotype" w:hAnsi="Palatino Linotype"/>
          <w:color w:val="000000" w:themeColor="text1"/>
        </w:rPr>
        <w:t xml:space="preserve"> </w:t>
      </w:r>
      <w:r w:rsidRPr="00391600" w:rsidR="009B4E98">
        <w:rPr>
          <w:rFonts w:ascii="Palatino Linotype" w:hAnsi="Palatino Linotype"/>
          <w:color w:val="000000" w:themeColor="text1"/>
        </w:rPr>
        <w:t>pertaining to</w:t>
      </w:r>
      <w:r w:rsidRPr="00391600" w:rsidR="00C6479C">
        <w:rPr>
          <w:rFonts w:ascii="Palatino Linotype" w:hAnsi="Palatino Linotype"/>
          <w:color w:val="000000" w:themeColor="text1"/>
        </w:rPr>
        <w:t xml:space="preserve"> </w:t>
      </w:r>
      <w:r w:rsidRPr="00391600" w:rsidR="009B4E98">
        <w:rPr>
          <w:rFonts w:ascii="Palatino Linotype" w:hAnsi="Palatino Linotype"/>
          <w:color w:val="000000" w:themeColor="text1"/>
        </w:rPr>
        <w:t xml:space="preserve">$4M of </w:t>
      </w:r>
      <w:r w:rsidRPr="00391600" w:rsidR="00C6479C">
        <w:rPr>
          <w:rFonts w:ascii="Palatino Linotype" w:hAnsi="Palatino Linotype"/>
          <w:color w:val="000000" w:themeColor="text1"/>
        </w:rPr>
        <w:t>the identified unspent encumbered funds</w:t>
      </w:r>
      <w:r w:rsidRPr="00391600" w:rsidR="00B7681F">
        <w:rPr>
          <w:rFonts w:ascii="Palatino Linotype" w:hAnsi="Palatino Linotype"/>
          <w:color w:val="000000" w:themeColor="text1"/>
        </w:rPr>
        <w:t xml:space="preserve">. </w:t>
      </w:r>
      <w:r w:rsidRPr="00391600" w:rsidR="00845150">
        <w:rPr>
          <w:rFonts w:ascii="Palatino Linotype" w:hAnsi="Palatino Linotype"/>
          <w:color w:val="000000" w:themeColor="text1"/>
        </w:rPr>
        <w:t xml:space="preserve">The CEC asserts </w:t>
      </w:r>
      <w:r w:rsidRPr="00391600" w:rsidR="00BC4EEC">
        <w:rPr>
          <w:rFonts w:ascii="Palatino Linotype" w:hAnsi="Palatino Linotype"/>
          <w:color w:val="000000" w:themeColor="text1"/>
        </w:rPr>
        <w:t xml:space="preserve">that it has encumbered a portion of the identified unencumbered funds since reporting fund balances in April 2026 and that the </w:t>
      </w:r>
      <w:r w:rsidRPr="00391600" w:rsidR="00CD495B">
        <w:rPr>
          <w:rFonts w:ascii="Palatino Linotype" w:hAnsi="Palatino Linotype"/>
          <w:color w:val="000000" w:themeColor="text1"/>
        </w:rPr>
        <w:t xml:space="preserve">funds </w:t>
      </w:r>
      <w:r w:rsidRPr="00391600" w:rsidR="00E43EFF">
        <w:rPr>
          <w:rFonts w:ascii="Palatino Linotype" w:hAnsi="Palatino Linotype"/>
          <w:color w:val="000000" w:themeColor="text1"/>
        </w:rPr>
        <w:t xml:space="preserve">identified in the Draft Resolution </w:t>
      </w:r>
      <w:r w:rsidRPr="00391600" w:rsidR="00CD495B">
        <w:rPr>
          <w:rFonts w:ascii="Palatino Linotype" w:hAnsi="Palatino Linotype"/>
          <w:color w:val="000000" w:themeColor="text1"/>
        </w:rPr>
        <w:t xml:space="preserve">also </w:t>
      </w:r>
      <w:r w:rsidRPr="00391600" w:rsidR="00845150">
        <w:rPr>
          <w:rFonts w:ascii="Palatino Linotype" w:hAnsi="Palatino Linotype"/>
          <w:color w:val="000000" w:themeColor="text1"/>
        </w:rPr>
        <w:t>include “more than $17 million that CEC has allocated for upcoming GFOs aligned with CPUC-approved Gas R&amp;D Budget Plans</w:t>
      </w:r>
      <w:r w:rsidRPr="00391600" w:rsidR="00CD495B">
        <w:rPr>
          <w:rFonts w:ascii="Palatino Linotype" w:hAnsi="Palatino Linotype"/>
          <w:color w:val="000000" w:themeColor="text1"/>
        </w:rPr>
        <w:t>.</w:t>
      </w:r>
      <w:r w:rsidRPr="00391600" w:rsidR="00845150">
        <w:rPr>
          <w:rFonts w:ascii="Palatino Linotype" w:hAnsi="Palatino Linotype"/>
          <w:color w:val="000000" w:themeColor="text1"/>
        </w:rPr>
        <w:t>”</w:t>
      </w:r>
      <w:r w:rsidRPr="00391600" w:rsidR="00CD495B">
        <w:rPr>
          <w:rStyle w:val="FootnoteReference"/>
          <w:rFonts w:ascii="Palatino Linotype" w:hAnsi="Palatino Linotype"/>
          <w:color w:val="000000" w:themeColor="text1"/>
        </w:rPr>
        <w:footnoteReference w:id="136"/>
      </w:r>
      <w:r w:rsidRPr="00391600" w:rsidR="00CD495B">
        <w:rPr>
          <w:rFonts w:ascii="Palatino Linotype" w:hAnsi="Palatino Linotype"/>
          <w:color w:val="000000" w:themeColor="text1"/>
        </w:rPr>
        <w:t xml:space="preserve"> The CEC claims that </w:t>
      </w:r>
      <w:r w:rsidRPr="00391600" w:rsidR="17B97544">
        <w:rPr>
          <w:rFonts w:ascii="Palatino Linotype" w:hAnsi="Palatino Linotype"/>
          <w:color w:val="000000" w:themeColor="text1"/>
        </w:rPr>
        <w:t>it “may continue to use funds from approved Budget Plans in accordance with those plans as long as CEC determines that it is in the best interests of the state and gas ratepayers”</w:t>
      </w:r>
      <w:r w:rsidRPr="00391600" w:rsidR="00BC7673">
        <w:rPr>
          <w:rStyle w:val="FootnoteReference"/>
          <w:rFonts w:ascii="Palatino Linotype" w:hAnsi="Palatino Linotype"/>
          <w:color w:val="000000" w:themeColor="text1"/>
        </w:rPr>
        <w:footnoteReference w:id="137"/>
      </w:r>
      <w:r w:rsidRPr="00391600" w:rsidR="00F630EE">
        <w:rPr>
          <w:rFonts w:ascii="Palatino Linotype" w:hAnsi="Palatino Linotype"/>
          <w:color w:val="000000" w:themeColor="text1"/>
        </w:rPr>
        <w:t xml:space="preserve"> and </w:t>
      </w:r>
      <w:r w:rsidRPr="00391600" w:rsidR="00E741E2">
        <w:rPr>
          <w:rFonts w:ascii="Palatino Linotype" w:hAnsi="Palatino Linotype"/>
          <w:color w:val="000000" w:themeColor="text1"/>
        </w:rPr>
        <w:t>has</w:t>
      </w:r>
      <w:r w:rsidRPr="00391600" w:rsidR="00F630EE">
        <w:rPr>
          <w:rFonts w:ascii="Palatino Linotype" w:hAnsi="Palatino Linotype"/>
          <w:color w:val="000000" w:themeColor="text1"/>
        </w:rPr>
        <w:t xml:space="preserve"> not propose</w:t>
      </w:r>
      <w:r w:rsidRPr="00391600" w:rsidR="00E741E2">
        <w:rPr>
          <w:rFonts w:ascii="Palatino Linotype" w:hAnsi="Palatino Linotype"/>
          <w:color w:val="000000" w:themeColor="text1"/>
        </w:rPr>
        <w:t>d</w:t>
      </w:r>
      <w:r w:rsidRPr="00391600" w:rsidR="00F630EE">
        <w:rPr>
          <w:rFonts w:ascii="Palatino Linotype" w:hAnsi="Palatino Linotype"/>
          <w:color w:val="000000" w:themeColor="text1"/>
        </w:rPr>
        <w:t xml:space="preserve"> an alternative mechanism to determine the portion of its approved </w:t>
      </w:r>
      <w:r w:rsidRPr="00391600" w:rsidR="006E0BE1">
        <w:rPr>
          <w:rFonts w:ascii="Palatino Linotype" w:hAnsi="Palatino Linotype"/>
          <w:color w:val="000000" w:themeColor="text1"/>
        </w:rPr>
        <w:t xml:space="preserve">unencumbered and </w:t>
      </w:r>
      <w:r w:rsidRPr="00391600" w:rsidR="00F630EE">
        <w:rPr>
          <w:rFonts w:ascii="Palatino Linotype" w:hAnsi="Palatino Linotype"/>
          <w:color w:val="000000" w:themeColor="text1"/>
        </w:rPr>
        <w:t>unspent funds that will offset new</w:t>
      </w:r>
      <w:r w:rsidRPr="00391600" w:rsidR="006E0BE1">
        <w:rPr>
          <w:rFonts w:ascii="Palatino Linotype" w:hAnsi="Palatino Linotype"/>
          <w:color w:val="000000" w:themeColor="text1"/>
        </w:rPr>
        <w:t xml:space="preserve"> and/or additional </w:t>
      </w:r>
      <w:r w:rsidRPr="00391600" w:rsidR="00F630EE">
        <w:rPr>
          <w:rFonts w:ascii="Palatino Linotype" w:hAnsi="Palatino Linotype"/>
          <w:color w:val="000000" w:themeColor="text1"/>
        </w:rPr>
        <w:t>ratepayer funds to comply with Commission requirements to do so as stated above.</w:t>
      </w:r>
    </w:p>
    <w:p w:rsidRPr="00391600" w:rsidR="00A93086" w:rsidP="00BC7673" w:rsidRDefault="377299BA" w14:paraId="4612E551" w14:textId="653E90DE">
      <w:pPr>
        <w:rPr>
          <w:rFonts w:ascii="Palatino Linotype" w:hAnsi="Palatino Linotype"/>
          <w:color w:val="000000" w:themeColor="text1"/>
        </w:rPr>
      </w:pPr>
      <w:r w:rsidRPr="00391600">
        <w:rPr>
          <w:rFonts w:ascii="Palatino Linotype" w:hAnsi="Palatino Linotype"/>
          <w:color w:val="000000" w:themeColor="text1"/>
        </w:rPr>
        <w:t>T</w:t>
      </w:r>
      <w:r w:rsidRPr="00391600" w:rsidR="4105DC1B">
        <w:rPr>
          <w:rFonts w:ascii="Palatino Linotype" w:hAnsi="Palatino Linotype"/>
          <w:color w:val="000000" w:themeColor="text1"/>
        </w:rPr>
        <w:t>his</w:t>
      </w:r>
      <w:r w:rsidRPr="00391600" w:rsidR="17B97544">
        <w:rPr>
          <w:rFonts w:ascii="Palatino Linotype" w:hAnsi="Palatino Linotype"/>
          <w:color w:val="000000" w:themeColor="text1"/>
        </w:rPr>
        <w:t xml:space="preserve"> Resolution </w:t>
      </w:r>
      <w:r w:rsidRPr="00391600" w:rsidR="00A26CCA">
        <w:rPr>
          <w:rFonts w:ascii="Palatino Linotype" w:hAnsi="Palatino Linotype"/>
          <w:color w:val="000000" w:themeColor="text1"/>
        </w:rPr>
        <w:t>was</w:t>
      </w:r>
      <w:r w:rsidRPr="00391600" w:rsidR="17B97544">
        <w:rPr>
          <w:rFonts w:ascii="Palatino Linotype" w:hAnsi="Palatino Linotype"/>
          <w:color w:val="000000" w:themeColor="text1"/>
        </w:rPr>
        <w:t xml:space="preserve"> modified </w:t>
      </w:r>
      <w:r w:rsidRPr="00391600" w:rsidR="351414D9">
        <w:rPr>
          <w:rFonts w:ascii="Palatino Linotype" w:hAnsi="Palatino Linotype"/>
          <w:color w:val="000000" w:themeColor="text1"/>
        </w:rPr>
        <w:t xml:space="preserve">in response to comments </w:t>
      </w:r>
      <w:r w:rsidRPr="00391600" w:rsidR="17B97544">
        <w:rPr>
          <w:rFonts w:ascii="Palatino Linotype" w:hAnsi="Palatino Linotype"/>
          <w:color w:val="000000" w:themeColor="text1"/>
        </w:rPr>
        <w:t xml:space="preserve">to provide further </w:t>
      </w:r>
      <w:proofErr w:type="gramStart"/>
      <w:r w:rsidRPr="00391600" w:rsidR="17B97544">
        <w:rPr>
          <w:rFonts w:ascii="Palatino Linotype" w:hAnsi="Palatino Linotype"/>
          <w:color w:val="000000" w:themeColor="text1"/>
        </w:rPr>
        <w:t>detail</w:t>
      </w:r>
      <w:proofErr w:type="gramEnd"/>
      <w:r w:rsidRPr="00391600" w:rsidR="006C659D">
        <w:rPr>
          <w:rFonts w:ascii="Palatino Linotype" w:hAnsi="Palatino Linotype"/>
          <w:color w:val="000000" w:themeColor="text1"/>
        </w:rPr>
        <w:t xml:space="preserve"> </w:t>
      </w:r>
      <w:r w:rsidRPr="00391600" w:rsidR="17B97544">
        <w:rPr>
          <w:rFonts w:ascii="Palatino Linotype" w:hAnsi="Palatino Linotype"/>
          <w:color w:val="000000" w:themeColor="text1"/>
        </w:rPr>
        <w:t xml:space="preserve">on the Commission’s mechanism for determining the approved unspent funds which shall be used to offset new/additional ratepayer costs for the CEC’s Plans. According to the data provided by the CEC in April 2026, as reflected in the Draft Resolution, Staff identified $31,076,690 in unspent funds for which up to 11+ years have passed since encumbrance or up to 9+ years have passed since funds were authorized without being encumbered as follows: </w:t>
      </w:r>
    </w:p>
    <w:p w:rsidRPr="00391600" w:rsidR="00A93086" w:rsidP="00B63842" w:rsidRDefault="00A93086" w14:paraId="5DF43229" w14:textId="77777777">
      <w:pPr>
        <w:pStyle w:val="ListParagraph"/>
        <w:numPr>
          <w:ilvl w:val="0"/>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Unspent Encumbered Funds which the CEC indicated are “allocated to currently active projects or were left over from projects that completed underbudget. These funds have not been reallocated.”</w:t>
      </w:r>
    </w:p>
    <w:p w:rsidRPr="00391600" w:rsidR="00A93086" w:rsidP="00B63842" w:rsidRDefault="00A93086" w14:paraId="7C3531A6"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2015-2016 Plan (Approved June 2015): $474,051</w:t>
      </w:r>
    </w:p>
    <w:p w:rsidRPr="00391600" w:rsidR="00A93086" w:rsidP="00B63842" w:rsidRDefault="00A93086" w14:paraId="1FBE9695"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2015-2016 Supplemental Plan (Approved December 2015): $188,333</w:t>
      </w:r>
    </w:p>
    <w:p w:rsidRPr="00391600" w:rsidR="00A93086" w:rsidP="00B63842" w:rsidRDefault="00A93086" w14:paraId="6DA38D8B"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lastRenderedPageBreak/>
        <w:t>FY 2016-2017 Plan (Approved September 2016): $671,581</w:t>
      </w:r>
    </w:p>
    <w:p w:rsidRPr="00391600" w:rsidR="00A93086" w:rsidP="00B63842" w:rsidRDefault="00A93086" w14:paraId="367A0F46"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2016-2017 Supplemental Plan (Approved April 2017): $44,546</w:t>
      </w:r>
    </w:p>
    <w:p w:rsidRPr="00391600" w:rsidR="00A93086" w:rsidP="00B63842" w:rsidRDefault="00A93086" w14:paraId="03A8BAFD"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2017-2018 Plan (Approved September 2017): $287,576</w:t>
      </w:r>
    </w:p>
    <w:p w:rsidRPr="00391600" w:rsidR="00A93086" w:rsidP="00B63842" w:rsidRDefault="00A93086" w14:paraId="7B1A251E"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2018-2019 Plan (Approved January 2019): $2,310,486</w:t>
      </w:r>
    </w:p>
    <w:p w:rsidRPr="00391600" w:rsidR="00A93086" w:rsidP="00B63842" w:rsidRDefault="00A93086" w14:paraId="350EEC5B"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2019-2020 Supplemental Plan (Approved August 2019): $2,282,735</w:t>
      </w:r>
    </w:p>
    <w:p w:rsidRPr="00391600" w:rsidR="00A93086" w:rsidP="00B63842" w:rsidRDefault="00A93086" w14:paraId="188E2DA9"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2019-2020 Supplemental (Approved August 2019): $1,473,857</w:t>
      </w:r>
    </w:p>
    <w:p w:rsidRPr="00391600" w:rsidR="00A93086" w:rsidP="00B63842" w:rsidRDefault="00A93086" w14:paraId="217A74A1" w14:textId="77777777">
      <w:pPr>
        <w:pStyle w:val="ListParagraph"/>
        <w:numPr>
          <w:ilvl w:val="1"/>
          <w:numId w:val="44"/>
        </w:numPr>
        <w:spacing w:line="279" w:lineRule="auto"/>
        <w:rPr>
          <w:rFonts w:ascii="Palatino Linotype" w:hAnsi="Palatino Linotype"/>
          <w:b/>
          <w:color w:val="000000" w:themeColor="text1"/>
        </w:rPr>
      </w:pPr>
      <w:r w:rsidRPr="00391600">
        <w:rPr>
          <w:rFonts w:ascii="Palatino Linotype" w:hAnsi="Palatino Linotype"/>
          <w:b/>
          <w:color w:val="000000" w:themeColor="text1"/>
        </w:rPr>
        <w:t>TOTAL: $7,733,165</w:t>
      </w:r>
    </w:p>
    <w:p w:rsidRPr="00391600" w:rsidR="00A93086" w:rsidP="00B63842" w:rsidRDefault="00A93086" w14:paraId="71D8FBDC" w14:textId="77777777">
      <w:pPr>
        <w:pStyle w:val="ListParagraph"/>
        <w:numPr>
          <w:ilvl w:val="0"/>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Unencumbered Funds (including from terminated/cancelled projects) which the CEC indicated “have not been reallocated and do not currently have an anticipated solicitation release.”</w:t>
      </w:r>
    </w:p>
    <w:p w:rsidRPr="00391600" w:rsidR="00A93086" w:rsidP="00B63842" w:rsidRDefault="00A93086" w14:paraId="2C4309AE"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FY 2016-2017 Supplemental Plan (Approved April 2017): $22 </w:t>
      </w:r>
    </w:p>
    <w:p w:rsidRPr="00391600" w:rsidR="00A93086" w:rsidP="00B63842" w:rsidRDefault="00A93086" w14:paraId="22D71B46"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2016-2017 Plan (Approved September 2016): $543,673</w:t>
      </w:r>
    </w:p>
    <w:p w:rsidRPr="00391600" w:rsidR="00A93086" w:rsidP="00B63842" w:rsidRDefault="00A93086" w14:paraId="313E15B6"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2017-2018 Plan (Approved September 2017): $865,947</w:t>
      </w:r>
    </w:p>
    <w:p w:rsidRPr="00391600" w:rsidR="00A93086" w:rsidP="00B63842" w:rsidRDefault="00A93086" w14:paraId="35D3B352"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2018-2019 Plan (Approved January 2019): $880,430</w:t>
      </w:r>
    </w:p>
    <w:p w:rsidRPr="00391600" w:rsidR="00A93086" w:rsidP="00B63842" w:rsidRDefault="00A93086" w14:paraId="15932037"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2019-2020 Plan (Approved August 2019): $6,477,711</w:t>
      </w:r>
    </w:p>
    <w:p w:rsidRPr="00391600" w:rsidR="00A93086" w:rsidP="00B63842" w:rsidRDefault="00A93086" w14:paraId="4847A623"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2019-2020 Supplemental Plan (Approved August 2019): $2,290,000</w:t>
      </w:r>
    </w:p>
    <w:p w:rsidRPr="00391600" w:rsidR="00A93086" w:rsidP="00B63842" w:rsidRDefault="00A93086" w14:paraId="7FBD637A"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2020-2021 Plan (Approved November 2020): $1,130</w:t>
      </w:r>
    </w:p>
    <w:p w:rsidRPr="00391600" w:rsidR="00A93086" w:rsidP="00B63842" w:rsidRDefault="00A93086" w14:paraId="1F9E4C90"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2023-2024 Plan (Approved May 2024): $5,000,016</w:t>
      </w:r>
    </w:p>
    <w:p w:rsidRPr="00391600" w:rsidR="00A93086" w:rsidP="00B63842" w:rsidRDefault="00A93086" w14:paraId="16EBF2ED"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TOTAL: </w:t>
      </w:r>
      <w:r w:rsidRPr="00391600">
        <w:rPr>
          <w:rFonts w:ascii="Palatino Linotype" w:hAnsi="Palatino Linotype"/>
          <w:b/>
          <w:color w:val="000000" w:themeColor="text1"/>
        </w:rPr>
        <w:t>$16,058,929</w:t>
      </w:r>
    </w:p>
    <w:p w:rsidRPr="00391600" w:rsidR="00A93086" w:rsidP="00B63842" w:rsidRDefault="00A93086" w14:paraId="74D333EE" w14:textId="77777777">
      <w:pPr>
        <w:pStyle w:val="ListParagraph"/>
        <w:numPr>
          <w:ilvl w:val="0"/>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Unencumbered Funds which the CEC indicated “have not been reallocated, will be applied to an anticipated solicitation release TBD.”</w:t>
      </w:r>
    </w:p>
    <w:p w:rsidRPr="00391600" w:rsidR="00A93086" w:rsidP="00B63842" w:rsidRDefault="00A93086" w14:paraId="657C1663"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FY 2021-2022 Plan (Approved September 2021): $600,864 </w:t>
      </w:r>
    </w:p>
    <w:p w:rsidRPr="00391600" w:rsidR="00A93086" w:rsidP="00B63842" w:rsidRDefault="00A93086" w14:paraId="6473C794"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FY 2022-2023 Plan (Approved March – June 2023): $6,683,732</w:t>
      </w:r>
    </w:p>
    <w:p w:rsidRPr="00391600" w:rsidR="00A93086" w:rsidP="00B63842" w:rsidRDefault="00A93086" w14:paraId="48BC5D05" w14:textId="77777777">
      <w:pPr>
        <w:pStyle w:val="ListParagraph"/>
        <w:numPr>
          <w:ilvl w:val="1"/>
          <w:numId w:val="44"/>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TOTAL: </w:t>
      </w:r>
      <w:r w:rsidRPr="00391600">
        <w:rPr>
          <w:rFonts w:ascii="Palatino Linotype" w:hAnsi="Palatino Linotype"/>
          <w:b/>
          <w:color w:val="000000" w:themeColor="text1"/>
        </w:rPr>
        <w:t>$7,284,596</w:t>
      </w:r>
    </w:p>
    <w:p w:rsidRPr="00391600" w:rsidR="00A93086" w:rsidP="00B63842" w:rsidRDefault="00A93086" w14:paraId="7D496400" w14:textId="2021881D">
      <w:pPr>
        <w:pStyle w:val="ListParagraph"/>
        <w:numPr>
          <w:ilvl w:val="0"/>
          <w:numId w:val="44"/>
        </w:numPr>
        <w:spacing w:line="279" w:lineRule="auto"/>
        <w:rPr>
          <w:rFonts w:ascii="Palatino Linotype" w:hAnsi="Palatino Linotype"/>
          <w:b/>
          <w:color w:val="000000" w:themeColor="text1"/>
        </w:rPr>
      </w:pPr>
      <w:r w:rsidRPr="00391600">
        <w:rPr>
          <w:rFonts w:ascii="Palatino Linotype" w:hAnsi="Palatino Linotype"/>
          <w:b/>
          <w:bCs/>
          <w:color w:val="000000" w:themeColor="text1"/>
        </w:rPr>
        <w:t>TOTAL UNSPENT:</w:t>
      </w:r>
      <w:r w:rsidRPr="00391600">
        <w:rPr>
          <w:rStyle w:val="FootnoteReference"/>
          <w:rFonts w:ascii="Palatino Linotype" w:hAnsi="Palatino Linotype"/>
          <w:b/>
          <w:bCs/>
          <w:color w:val="000000" w:themeColor="text1"/>
        </w:rPr>
        <w:t xml:space="preserve"> </w:t>
      </w:r>
      <w:r w:rsidRPr="00391600">
        <w:rPr>
          <w:rFonts w:ascii="Palatino Linotype" w:hAnsi="Palatino Linotype"/>
          <w:b/>
          <w:bCs/>
          <w:color w:val="000000" w:themeColor="text1"/>
        </w:rPr>
        <w:t>$31,076,690</w:t>
      </w:r>
      <w:r w:rsidRPr="00391600" w:rsidR="00757A89">
        <w:rPr>
          <w:rStyle w:val="FootnoteReference"/>
          <w:rFonts w:ascii="Palatino Linotype" w:hAnsi="Palatino Linotype"/>
          <w:b/>
          <w:bCs/>
          <w:color w:val="000000" w:themeColor="text1"/>
        </w:rPr>
        <w:footnoteReference w:id="138"/>
      </w:r>
    </w:p>
    <w:p w:rsidRPr="00391600" w:rsidR="00A93086" w:rsidP="00A93086" w:rsidRDefault="00A93086" w14:paraId="038E5661" w14:textId="074C649B">
      <w:pPr>
        <w:rPr>
          <w:rFonts w:ascii="Palatino Linotype" w:hAnsi="Palatino Linotype"/>
          <w:color w:val="000000" w:themeColor="text1"/>
        </w:rPr>
      </w:pPr>
      <w:r w:rsidRPr="00391600">
        <w:rPr>
          <w:rFonts w:ascii="Palatino Linotype" w:hAnsi="Palatino Linotype"/>
          <w:color w:val="000000" w:themeColor="text1"/>
        </w:rPr>
        <w:t>Upon consideration of the CEC’s comments:</w:t>
      </w:r>
    </w:p>
    <w:p w:rsidRPr="00391600" w:rsidR="00A93086" w:rsidRDefault="17B97544" w14:paraId="06947CD1" w14:textId="07D01DBB">
      <w:pPr>
        <w:pStyle w:val="ListParagraph"/>
        <w:numPr>
          <w:ilvl w:val="0"/>
          <w:numId w:val="45"/>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This Resolution </w:t>
      </w:r>
      <w:r w:rsidRPr="00391600" w:rsidR="004C46EE">
        <w:rPr>
          <w:rFonts w:ascii="Palatino Linotype" w:hAnsi="Palatino Linotype"/>
          <w:color w:val="000000" w:themeColor="text1"/>
        </w:rPr>
        <w:t xml:space="preserve">was </w:t>
      </w:r>
      <w:r w:rsidRPr="00391600">
        <w:rPr>
          <w:rFonts w:ascii="Palatino Linotype" w:hAnsi="Palatino Linotype"/>
          <w:color w:val="000000" w:themeColor="text1"/>
        </w:rPr>
        <w:t xml:space="preserve">modified to require the CEC </w:t>
      </w:r>
      <w:r w:rsidRPr="00391600" w:rsidR="004A4381">
        <w:rPr>
          <w:rFonts w:ascii="Palatino Linotype" w:hAnsi="Palatino Linotype"/>
          <w:color w:val="000000" w:themeColor="text1"/>
        </w:rPr>
        <w:t xml:space="preserve">in its revised Plans </w:t>
      </w:r>
      <w:r w:rsidRPr="00391600" w:rsidR="7E091315">
        <w:rPr>
          <w:rFonts w:ascii="Palatino Linotype" w:hAnsi="Palatino Linotype"/>
          <w:color w:val="000000" w:themeColor="text1"/>
        </w:rPr>
        <w:t xml:space="preserve">to provide </w:t>
      </w:r>
      <w:r w:rsidRPr="00391600">
        <w:rPr>
          <w:rFonts w:ascii="Palatino Linotype" w:hAnsi="Palatino Linotype"/>
          <w:color w:val="000000" w:themeColor="text1"/>
        </w:rPr>
        <w:t xml:space="preserve">updated fund balances to denote which of the </w:t>
      </w:r>
      <w:r w:rsidRPr="00391600" w:rsidR="3AE8F8DD">
        <w:rPr>
          <w:rFonts w:ascii="Palatino Linotype" w:hAnsi="Palatino Linotype"/>
          <w:color w:val="000000" w:themeColor="text1"/>
        </w:rPr>
        <w:t xml:space="preserve">identified </w:t>
      </w:r>
      <w:r w:rsidRPr="00391600">
        <w:rPr>
          <w:rFonts w:ascii="Palatino Linotype" w:hAnsi="Palatino Linotype"/>
          <w:color w:val="000000" w:themeColor="text1"/>
        </w:rPr>
        <w:t>Unspent Encumbered Funds (amounting to $7,733,165 as of April 2026) are either:</w:t>
      </w:r>
    </w:p>
    <w:p w:rsidRPr="00391600" w:rsidR="00C25DD6" w:rsidP="00C25DD6" w:rsidRDefault="55BAB697" w14:paraId="177B14AC" w14:textId="45FCA61F">
      <w:pPr>
        <w:pStyle w:val="ListParagraph"/>
        <w:numPr>
          <w:ilvl w:val="1"/>
          <w:numId w:val="45"/>
        </w:numPr>
        <w:spacing w:line="279" w:lineRule="auto"/>
        <w:rPr>
          <w:rFonts w:ascii="Palatino Linotype" w:hAnsi="Palatino Linotype"/>
          <w:color w:val="000000" w:themeColor="text1"/>
        </w:rPr>
      </w:pPr>
      <w:r w:rsidRPr="00391600">
        <w:rPr>
          <w:rFonts w:ascii="Palatino Linotype" w:hAnsi="Palatino Linotype"/>
          <w:color w:val="000000" w:themeColor="text1"/>
        </w:rPr>
        <w:lastRenderedPageBreak/>
        <w:t>1) Disencumbered funds, which shall be used in full to offset new/additional ratepayer costs for these Plans</w:t>
      </w:r>
      <w:r w:rsidRPr="00391600" w:rsidR="7421ECE3">
        <w:rPr>
          <w:rFonts w:ascii="Palatino Linotype" w:hAnsi="Palatino Linotype"/>
          <w:color w:val="000000" w:themeColor="text1"/>
        </w:rPr>
        <w:t xml:space="preserve"> as expected per this Resolution</w:t>
      </w:r>
      <w:r w:rsidRPr="00391600">
        <w:rPr>
          <w:rFonts w:ascii="Palatino Linotype" w:hAnsi="Palatino Linotype"/>
          <w:color w:val="000000" w:themeColor="text1"/>
        </w:rPr>
        <w:t>.</w:t>
      </w:r>
      <w:r w:rsidRPr="00391600" w:rsidR="742C3FAF">
        <w:rPr>
          <w:rFonts w:ascii="Palatino Linotype" w:hAnsi="Palatino Linotype"/>
          <w:color w:val="000000" w:themeColor="text1"/>
        </w:rPr>
        <w:t xml:space="preserve"> </w:t>
      </w:r>
    </w:p>
    <w:p w:rsidRPr="00391600" w:rsidR="00A93086" w:rsidP="00C14985" w:rsidRDefault="55BAB697" w14:paraId="09850C89" w14:textId="31D86528">
      <w:pPr>
        <w:pStyle w:val="ListParagraph"/>
        <w:numPr>
          <w:ilvl w:val="1"/>
          <w:numId w:val="45"/>
        </w:numPr>
        <w:spacing w:line="279" w:lineRule="auto"/>
        <w:rPr>
          <w:rFonts w:ascii="Palatino Linotype" w:hAnsi="Palatino Linotype"/>
        </w:rPr>
      </w:pPr>
      <w:r w:rsidRPr="00391600">
        <w:rPr>
          <w:rFonts w:ascii="Palatino Linotype" w:hAnsi="Palatino Linotype"/>
          <w:color w:val="000000" w:themeColor="text1"/>
        </w:rPr>
        <w:t>2</w:t>
      </w:r>
      <w:r w:rsidRPr="00391600" w:rsidR="17B97544">
        <w:rPr>
          <w:rFonts w:ascii="Palatino Linotype" w:hAnsi="Palatino Linotype"/>
          <w:color w:val="000000" w:themeColor="text1"/>
        </w:rPr>
        <w:t xml:space="preserve">) </w:t>
      </w:r>
      <w:r w:rsidRPr="00391600" w:rsidR="09E61CD1">
        <w:rPr>
          <w:rFonts w:ascii="Palatino Linotype" w:hAnsi="Palatino Linotype"/>
          <w:color w:val="000000" w:themeColor="text1"/>
        </w:rPr>
        <w:t xml:space="preserve">Encumbered funds </w:t>
      </w:r>
      <w:r w:rsidRPr="00391600" w:rsidR="01EC405C">
        <w:rPr>
          <w:rFonts w:ascii="Palatino Linotype" w:hAnsi="Palatino Linotype"/>
          <w:color w:val="000000" w:themeColor="text1"/>
        </w:rPr>
        <w:t>a</w:t>
      </w:r>
      <w:r w:rsidRPr="00391600" w:rsidR="156D15FE">
        <w:rPr>
          <w:rFonts w:ascii="Palatino Linotype" w:hAnsi="Palatino Linotype"/>
          <w:color w:val="000000" w:themeColor="text1"/>
        </w:rPr>
        <w:t>ssociated with</w:t>
      </w:r>
      <w:r w:rsidRPr="00391600" w:rsidR="17B97544">
        <w:rPr>
          <w:rFonts w:ascii="Palatino Linotype" w:hAnsi="Palatino Linotype"/>
          <w:color w:val="000000" w:themeColor="text1"/>
        </w:rPr>
        <w:t xml:space="preserve"> active projects</w:t>
      </w:r>
      <w:r w:rsidRPr="00391600" w:rsidR="0060474A">
        <w:rPr>
          <w:rFonts w:ascii="Palatino Linotype" w:hAnsi="Palatino Linotype"/>
          <w:color w:val="000000" w:themeColor="text1"/>
        </w:rPr>
        <w:t>.</w:t>
      </w:r>
      <w:r w:rsidRPr="00391600" w:rsidR="17B97544">
        <w:rPr>
          <w:rFonts w:ascii="Palatino Linotype" w:hAnsi="Palatino Linotype"/>
          <w:color w:val="000000" w:themeColor="text1"/>
        </w:rPr>
        <w:t xml:space="preserve"> </w:t>
      </w:r>
      <w:r w:rsidRPr="00391600" w:rsidR="0060474A">
        <w:rPr>
          <w:rFonts w:ascii="Palatino Linotype" w:hAnsi="Palatino Linotype" w:eastAsia="Palatino Linotype" w:cs="Palatino Linotype"/>
          <w:color w:val="000000" w:themeColor="text1"/>
        </w:rPr>
        <w:t xml:space="preserve">The CPUC recognizes that CEC practice has been to grant extensions for some projects beyond the four years past initial encumbrance, due to extenuating circumstances. </w:t>
      </w:r>
      <w:r w:rsidRPr="00391600" w:rsidR="00EE0F9E">
        <w:rPr>
          <w:rFonts w:ascii="Palatino Linotype" w:hAnsi="Palatino Linotype" w:eastAsia="Palatino Linotype" w:cs="Palatino Linotype"/>
          <w:color w:val="000000" w:themeColor="text1"/>
        </w:rPr>
        <w:t>In order to maintain the integrity of the timeframes, the CEC shall request of Energy Division a limited extension of these timeframes, including justification for the additional time needed and</w:t>
      </w:r>
      <w:r w:rsidRPr="00391600" w:rsidR="00EE0F9E">
        <w:rPr>
          <w:rFonts w:ascii="Palatino Linotype" w:hAnsi="Palatino Linotype"/>
          <w:color w:val="000000" w:themeColor="text1"/>
        </w:rPr>
        <w:t xml:space="preserve"> </w:t>
      </w:r>
      <w:r w:rsidRPr="00391600" w:rsidR="6E5D5AF2">
        <w:rPr>
          <w:rFonts w:ascii="Palatino Linotype" w:hAnsi="Palatino Linotype"/>
          <w:color w:val="000000" w:themeColor="text1"/>
        </w:rPr>
        <w:t xml:space="preserve">an attestation that </w:t>
      </w:r>
      <w:r w:rsidRPr="00391600" w:rsidR="00CA5B27">
        <w:rPr>
          <w:rFonts w:ascii="Palatino Linotype" w:hAnsi="Palatino Linotype"/>
          <w:color w:val="000000" w:themeColor="text1"/>
        </w:rPr>
        <w:t xml:space="preserve">spending </w:t>
      </w:r>
      <w:r w:rsidRPr="00391600" w:rsidR="0060474A">
        <w:rPr>
          <w:rFonts w:ascii="Palatino Linotype" w:hAnsi="Palatino Linotype"/>
          <w:color w:val="000000" w:themeColor="text1"/>
        </w:rPr>
        <w:t xml:space="preserve">on </w:t>
      </w:r>
      <w:r w:rsidRPr="00391600" w:rsidR="004403A8">
        <w:rPr>
          <w:rFonts w:ascii="Palatino Linotype" w:hAnsi="Palatino Linotype"/>
          <w:color w:val="000000" w:themeColor="text1"/>
        </w:rPr>
        <w:t xml:space="preserve">these </w:t>
      </w:r>
      <w:r w:rsidRPr="00391600" w:rsidR="0060474A">
        <w:rPr>
          <w:rFonts w:ascii="Palatino Linotype" w:hAnsi="Palatino Linotype"/>
          <w:color w:val="000000" w:themeColor="text1"/>
        </w:rPr>
        <w:t>project</w:t>
      </w:r>
      <w:r w:rsidRPr="00391600" w:rsidR="004403A8">
        <w:rPr>
          <w:rFonts w:ascii="Palatino Linotype" w:hAnsi="Palatino Linotype"/>
          <w:color w:val="000000" w:themeColor="text1"/>
        </w:rPr>
        <w:t xml:space="preserve">s </w:t>
      </w:r>
      <w:r w:rsidRPr="00391600" w:rsidR="00CA5B27">
        <w:rPr>
          <w:rFonts w:ascii="Palatino Linotype" w:hAnsi="Palatino Linotype"/>
          <w:color w:val="000000" w:themeColor="text1"/>
        </w:rPr>
        <w:t>is anticipated to be completed within a specific requested reasonable timeframe</w:t>
      </w:r>
      <w:r w:rsidRPr="00391600" w:rsidR="00372E11">
        <w:rPr>
          <w:rFonts w:ascii="Palatino Linotype" w:hAnsi="Palatino Linotype"/>
          <w:color w:val="000000" w:themeColor="text1"/>
        </w:rPr>
        <w:t xml:space="preserve"> (e.g.</w:t>
      </w:r>
      <w:r w:rsidRPr="00391600" w:rsidR="0047237F">
        <w:rPr>
          <w:rFonts w:ascii="Palatino Linotype" w:hAnsi="Palatino Linotype"/>
          <w:color w:val="000000" w:themeColor="text1"/>
        </w:rPr>
        <w:t>,</w:t>
      </w:r>
      <w:r w:rsidRPr="00391600" w:rsidR="00372E11">
        <w:rPr>
          <w:rFonts w:ascii="Palatino Linotype" w:hAnsi="Palatino Linotype"/>
          <w:color w:val="000000" w:themeColor="text1"/>
        </w:rPr>
        <w:t xml:space="preserve"> within one additional year)</w:t>
      </w:r>
      <w:r w:rsidRPr="00391600" w:rsidR="4E3B6329">
        <w:rPr>
          <w:rFonts w:ascii="Palatino Linotype" w:hAnsi="Palatino Linotype"/>
          <w:color w:val="000000" w:themeColor="text1"/>
        </w:rPr>
        <w:t>.</w:t>
      </w:r>
      <w:r w:rsidRPr="00391600" w:rsidR="5D3C302A">
        <w:rPr>
          <w:rFonts w:ascii="Palatino Linotype" w:hAnsi="Palatino Linotype"/>
          <w:color w:val="000000" w:themeColor="text1"/>
        </w:rPr>
        <w:t xml:space="preserve"> </w:t>
      </w:r>
      <w:r w:rsidRPr="00391600" w:rsidR="00CF1A80">
        <w:rPr>
          <w:rFonts w:ascii="Palatino Linotype" w:hAnsi="Palatino Linotype" w:eastAsia="Palatino Linotype" w:cs="Palatino Linotype"/>
          <w:color w:val="000000" w:themeColor="text1"/>
        </w:rPr>
        <w:t xml:space="preserve">If funds are not anticipated to be </w:t>
      </w:r>
      <w:r w:rsidRPr="00391600" w:rsidR="00E26EC9">
        <w:rPr>
          <w:rFonts w:ascii="Palatino Linotype" w:hAnsi="Palatino Linotype" w:eastAsia="Palatino Linotype" w:cs="Palatino Linotype"/>
          <w:color w:val="000000" w:themeColor="text1"/>
        </w:rPr>
        <w:t>and/</w:t>
      </w:r>
      <w:r w:rsidRPr="00391600" w:rsidR="00CF1A80">
        <w:rPr>
          <w:rFonts w:ascii="Palatino Linotype" w:hAnsi="Palatino Linotype" w:eastAsia="Palatino Linotype" w:cs="Palatino Linotype"/>
          <w:color w:val="000000" w:themeColor="text1"/>
        </w:rPr>
        <w:t xml:space="preserve">or </w:t>
      </w:r>
      <w:r w:rsidRPr="00391600" w:rsidR="00363BA8">
        <w:rPr>
          <w:rFonts w:ascii="Palatino Linotype" w:hAnsi="Palatino Linotype" w:eastAsia="Palatino Linotype" w:cs="Palatino Linotype"/>
          <w:color w:val="000000" w:themeColor="text1"/>
        </w:rPr>
        <w:t xml:space="preserve">ultimately </w:t>
      </w:r>
      <w:r w:rsidRPr="00391600" w:rsidR="00E26EC9">
        <w:rPr>
          <w:rFonts w:ascii="Palatino Linotype" w:hAnsi="Palatino Linotype" w:eastAsia="Palatino Linotype" w:cs="Palatino Linotype"/>
          <w:color w:val="000000" w:themeColor="text1"/>
        </w:rPr>
        <w:t xml:space="preserve">are not </w:t>
      </w:r>
      <w:r w:rsidRPr="00391600" w:rsidR="00CF1A80">
        <w:rPr>
          <w:rFonts w:ascii="Palatino Linotype" w:hAnsi="Palatino Linotype" w:eastAsia="Palatino Linotype" w:cs="Palatino Linotype"/>
          <w:color w:val="000000" w:themeColor="text1"/>
        </w:rPr>
        <w:t xml:space="preserve">spent within </w:t>
      </w:r>
      <w:r w:rsidRPr="00391600" w:rsidR="00481E3C">
        <w:rPr>
          <w:rFonts w:ascii="Palatino Linotype" w:hAnsi="Palatino Linotype" w:eastAsia="Palatino Linotype" w:cs="Palatino Linotype"/>
          <w:color w:val="000000" w:themeColor="text1"/>
        </w:rPr>
        <w:t xml:space="preserve">the defined extended </w:t>
      </w:r>
      <w:r w:rsidRPr="00391600" w:rsidR="00CF1A80">
        <w:rPr>
          <w:rFonts w:ascii="Palatino Linotype" w:hAnsi="Palatino Linotype" w:eastAsia="Palatino Linotype" w:cs="Palatino Linotype"/>
          <w:color w:val="000000" w:themeColor="text1"/>
        </w:rPr>
        <w:t xml:space="preserve">timeframe, </w:t>
      </w:r>
      <w:r w:rsidRPr="00391600" w:rsidR="00EF4188">
        <w:rPr>
          <w:rFonts w:ascii="Palatino Linotype" w:hAnsi="Palatino Linotype" w:eastAsia="Palatino Linotype" w:cs="Palatino Linotype"/>
          <w:color w:val="000000" w:themeColor="text1"/>
        </w:rPr>
        <w:t>the Commission expect</w:t>
      </w:r>
      <w:r w:rsidRPr="00391600" w:rsidR="008D7CC6">
        <w:rPr>
          <w:rFonts w:ascii="Palatino Linotype" w:hAnsi="Palatino Linotype" w:eastAsia="Palatino Linotype" w:cs="Palatino Linotype"/>
          <w:color w:val="000000" w:themeColor="text1"/>
        </w:rPr>
        <w:t>s</w:t>
      </w:r>
      <w:r w:rsidRPr="00391600" w:rsidR="00363BA8">
        <w:rPr>
          <w:rFonts w:ascii="Palatino Linotype" w:hAnsi="Palatino Linotype" w:eastAsia="Palatino Linotype" w:cs="Palatino Linotype"/>
          <w:color w:val="000000" w:themeColor="text1"/>
        </w:rPr>
        <w:t xml:space="preserve"> these funds </w:t>
      </w:r>
      <w:r w:rsidRPr="00391600" w:rsidR="008D7CC6">
        <w:rPr>
          <w:rFonts w:ascii="Palatino Linotype" w:hAnsi="Palatino Linotype" w:eastAsia="Palatino Linotype" w:cs="Palatino Linotype"/>
          <w:color w:val="000000" w:themeColor="text1"/>
        </w:rPr>
        <w:t>will be</w:t>
      </w:r>
      <w:r w:rsidRPr="00391600" w:rsidR="00CF1A80">
        <w:rPr>
          <w:rFonts w:ascii="Palatino Linotype" w:hAnsi="Palatino Linotype" w:eastAsia="Palatino Linotype" w:cs="Palatino Linotype"/>
          <w:color w:val="000000" w:themeColor="text1"/>
        </w:rPr>
        <w:t xml:space="preserve"> used to offset ratepayer costs for</w:t>
      </w:r>
      <w:r w:rsidRPr="00391600" w:rsidR="003939A3">
        <w:rPr>
          <w:rFonts w:ascii="Palatino Linotype" w:hAnsi="Palatino Linotype" w:eastAsia="Palatino Linotype" w:cs="Palatino Linotype"/>
          <w:color w:val="000000" w:themeColor="text1"/>
        </w:rPr>
        <w:t xml:space="preserve"> subsequent Gas RD&amp;D Plans.</w:t>
      </w:r>
    </w:p>
    <w:p w:rsidRPr="00391600" w:rsidR="00A93086" w:rsidP="00B63842" w:rsidRDefault="17B97544" w14:paraId="0C205EDB" w14:textId="28D9D4AC">
      <w:pPr>
        <w:pStyle w:val="ListParagraph"/>
        <w:numPr>
          <w:ilvl w:val="0"/>
          <w:numId w:val="45"/>
        </w:num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The proposed outcome in the Draft Resolution for the CEC to offset new/additional ratepayer costs for its 2024 and 2025 Plans using the </w:t>
      </w:r>
      <w:r w:rsidRPr="00391600" w:rsidR="00B00C6D">
        <w:rPr>
          <w:rFonts w:ascii="Palatino Linotype" w:hAnsi="Palatino Linotype"/>
          <w:color w:val="000000" w:themeColor="text1"/>
        </w:rPr>
        <w:t xml:space="preserve">identified </w:t>
      </w:r>
      <w:r w:rsidRPr="00391600">
        <w:rPr>
          <w:rFonts w:ascii="Palatino Linotype" w:hAnsi="Palatino Linotype"/>
          <w:color w:val="000000" w:themeColor="text1"/>
        </w:rPr>
        <w:t xml:space="preserve">$23,343,525 balance of Unencumbered Funds in full has not been changed. These funds have not been encumbered or reallocated since being approved by the Commission between 2017 and 2023 and the CEC indicated </w:t>
      </w:r>
      <w:r w:rsidRPr="00391600" w:rsidR="3B387414">
        <w:rPr>
          <w:rFonts w:ascii="Palatino Linotype" w:hAnsi="Palatino Linotype"/>
          <w:color w:val="000000" w:themeColor="text1"/>
        </w:rPr>
        <w:t xml:space="preserve">in April 2026 </w:t>
      </w:r>
      <w:r w:rsidRPr="00391600">
        <w:rPr>
          <w:rFonts w:ascii="Palatino Linotype" w:hAnsi="Palatino Linotype"/>
          <w:color w:val="000000" w:themeColor="text1"/>
        </w:rPr>
        <w:t xml:space="preserve">these funds either 1) do not currently have an anticipated solicitation release (amounting to $16,058,929 as of April 2026) or 2) will be applied to an anticipated solicitation release to be determined (amounting to $7,284,596 as of April 2026). </w:t>
      </w:r>
    </w:p>
    <w:p w:rsidRPr="00391600" w:rsidR="00E741E2" w:rsidP="00AA2D4C" w:rsidRDefault="03BB19AA" w14:paraId="51F63550" w14:textId="55AD8A7E">
      <w:pPr>
        <w:spacing w:after="0" w:line="279" w:lineRule="auto"/>
        <w:rPr>
          <w:rFonts w:ascii="Palatino Linotype" w:hAnsi="Palatino Linotype"/>
          <w:color w:val="000000" w:themeColor="text1"/>
        </w:rPr>
      </w:pPr>
      <w:r w:rsidRPr="00391600">
        <w:rPr>
          <w:rFonts w:ascii="Palatino Linotype" w:hAnsi="Palatino Linotype"/>
          <w:color w:val="000000" w:themeColor="text1"/>
        </w:rPr>
        <w:t>Th</w:t>
      </w:r>
      <w:r w:rsidRPr="00391600" w:rsidR="1C36021F">
        <w:rPr>
          <w:rFonts w:ascii="Palatino Linotype" w:hAnsi="Palatino Linotype"/>
          <w:color w:val="000000" w:themeColor="text1"/>
        </w:rPr>
        <w:t>e</w:t>
      </w:r>
      <w:r w:rsidRPr="00391600" w:rsidR="00E741E2">
        <w:rPr>
          <w:rFonts w:ascii="Palatino Linotype" w:hAnsi="Palatino Linotype"/>
          <w:color w:val="000000" w:themeColor="text1"/>
        </w:rPr>
        <w:t xml:space="preserve"> Resolution maintains that Energy Division is authorized to modify the calculations of new ratepayer collections required to fund CEC’s 2024 and 2025 Plan budgets based on the CEC’s updated approved fund balances in its revised Plans to be submitted via Tier 2 ALs according to the modified methods described above.</w:t>
      </w:r>
    </w:p>
    <w:p w:rsidRPr="00391600" w:rsidR="00A93086" w:rsidP="00A93086" w:rsidRDefault="00A93086" w14:paraId="50E3AD6E" w14:textId="77777777">
      <w:pPr>
        <w:pStyle w:val="ListParagraph"/>
        <w:rPr>
          <w:rFonts w:ascii="Palatino Linotype" w:hAnsi="Palatino Linotype"/>
          <w:color w:val="000000" w:themeColor="text1"/>
        </w:rPr>
      </w:pPr>
    </w:p>
    <w:p w:rsidRPr="00391600" w:rsidR="00A93086" w:rsidP="281B4A3F" w:rsidRDefault="00760AFD" w14:paraId="498145CD" w14:textId="3034B3ED">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CEC Comment Regarding the Need for New Administrative Funds.</w:t>
      </w:r>
    </w:p>
    <w:p w:rsidRPr="00391600" w:rsidR="00A93086" w:rsidRDefault="00E3696C" w14:paraId="7F5FB870" w14:textId="0881BFD4">
      <w:pPr>
        <w:rPr>
          <w:rFonts w:ascii="Palatino Linotype" w:hAnsi="Palatino Linotype"/>
          <w:color w:val="000000" w:themeColor="text1"/>
        </w:rPr>
      </w:pPr>
      <w:r w:rsidRPr="00391600">
        <w:rPr>
          <w:rFonts w:ascii="Palatino Linotype" w:hAnsi="Palatino Linotype"/>
          <w:color w:val="000000" w:themeColor="text1"/>
        </w:rPr>
        <w:t xml:space="preserve">In the CEC’s comments, it states </w:t>
      </w:r>
      <w:r w:rsidRPr="00391600" w:rsidR="17B97544">
        <w:rPr>
          <w:rFonts w:ascii="Palatino Linotype" w:hAnsi="Palatino Linotype"/>
          <w:color w:val="000000" w:themeColor="text1"/>
        </w:rPr>
        <w:t>that “[p]</w:t>
      </w:r>
      <w:proofErr w:type="spellStart"/>
      <w:r w:rsidRPr="00391600" w:rsidR="17B97544">
        <w:rPr>
          <w:rFonts w:ascii="Palatino Linotype" w:hAnsi="Palatino Linotype"/>
          <w:color w:val="000000" w:themeColor="text1"/>
        </w:rPr>
        <w:t>rior</w:t>
      </w:r>
      <w:proofErr w:type="spellEnd"/>
      <w:r w:rsidRPr="00391600" w:rsidR="17B97544">
        <w:rPr>
          <w:rFonts w:ascii="Palatino Linotype" w:hAnsi="Palatino Linotype"/>
          <w:color w:val="000000" w:themeColor="text1"/>
        </w:rPr>
        <w:t xml:space="preserve"> to Resolution G-3592, there was no administrative cost cap identified in statute, D.04-08-010, or in CPUC resolutions.”</w:t>
      </w:r>
      <w:r w:rsidRPr="00391600" w:rsidR="40A02744">
        <w:rPr>
          <w:rFonts w:ascii="Palatino Linotype" w:hAnsi="Palatino Linotype"/>
          <w:color w:val="000000" w:themeColor="text1"/>
        </w:rPr>
        <w:t xml:space="preserve"> Further, it states</w:t>
      </w:r>
      <w:r w:rsidRPr="00391600" w:rsidR="00AD0A2F">
        <w:rPr>
          <w:rFonts w:ascii="Palatino Linotype" w:hAnsi="Palatino Linotype"/>
          <w:color w:val="000000" w:themeColor="text1"/>
        </w:rPr>
        <w:t xml:space="preserve"> that</w:t>
      </w:r>
      <w:r w:rsidRPr="00391600" w:rsidR="17B97544">
        <w:rPr>
          <w:rFonts w:ascii="Palatino Linotype" w:hAnsi="Palatino Linotype"/>
          <w:color w:val="000000" w:themeColor="text1"/>
        </w:rPr>
        <w:t xml:space="preserve"> “</w:t>
      </w:r>
      <w:r w:rsidRPr="00391600" w:rsidR="00AD0A2F">
        <w:rPr>
          <w:rFonts w:ascii="Palatino Linotype" w:hAnsi="Palatino Linotype"/>
          <w:color w:val="000000" w:themeColor="text1"/>
        </w:rPr>
        <w:t>[t]</w:t>
      </w:r>
      <w:r w:rsidRPr="00391600" w:rsidR="17B97544">
        <w:rPr>
          <w:rFonts w:ascii="Palatino Linotype" w:hAnsi="Palatino Linotype"/>
          <w:color w:val="000000" w:themeColor="text1"/>
        </w:rPr>
        <w:t xml:space="preserve">here are no unspent administrative funds from the FYs associated with [reported] unspent Initiative funds that CEC could apply to subsequent </w:t>
      </w:r>
      <w:r w:rsidRPr="00391600" w:rsidR="17B97544">
        <w:rPr>
          <w:rFonts w:ascii="Palatino Linotype" w:hAnsi="Palatino Linotype"/>
          <w:color w:val="000000" w:themeColor="text1"/>
        </w:rPr>
        <w:lastRenderedPageBreak/>
        <w:t xml:space="preserve">FYs. CEC spends its Gas R&amp;D administrative budget each year.” </w:t>
      </w:r>
      <w:r w:rsidRPr="00391600" w:rsidR="427452A7">
        <w:rPr>
          <w:rFonts w:ascii="Palatino Linotype" w:hAnsi="Palatino Linotype"/>
          <w:color w:val="000000" w:themeColor="text1"/>
        </w:rPr>
        <w:t xml:space="preserve">The CEC </w:t>
      </w:r>
      <w:r w:rsidRPr="00391600" w:rsidR="00B8375C">
        <w:rPr>
          <w:rFonts w:ascii="Palatino Linotype" w:hAnsi="Palatino Linotype"/>
          <w:color w:val="000000" w:themeColor="text1"/>
        </w:rPr>
        <w:t>asserts</w:t>
      </w:r>
      <w:r w:rsidRPr="00391600" w:rsidR="427452A7">
        <w:rPr>
          <w:rFonts w:ascii="Palatino Linotype" w:hAnsi="Palatino Linotype"/>
          <w:color w:val="000000" w:themeColor="text1"/>
        </w:rPr>
        <w:t xml:space="preserve"> that the Draft Resolution would leave the CEC without an alternative source to cover administrative costs and the </w:t>
      </w:r>
      <w:r w:rsidRPr="00391600" w:rsidR="2E992138">
        <w:rPr>
          <w:rFonts w:ascii="Palatino Linotype" w:hAnsi="Palatino Linotype"/>
          <w:color w:val="000000" w:themeColor="text1"/>
        </w:rPr>
        <w:t>"</w:t>
      </w:r>
      <w:r w:rsidRPr="00391600" w:rsidR="17B97544">
        <w:rPr>
          <w:rFonts w:ascii="Palatino Linotype" w:hAnsi="Palatino Linotype"/>
          <w:color w:val="000000" w:themeColor="text1"/>
        </w:rPr>
        <w:t>CEC would have to redirect Gas R&amp;D staff to work on other programs and halt all administration of the Gas R&amp;D Program, counter to CPUC and statutory direction.”</w:t>
      </w:r>
      <w:r w:rsidRPr="00391600" w:rsidR="00A93086">
        <w:rPr>
          <w:rStyle w:val="FootnoteReference"/>
          <w:rFonts w:ascii="Palatino Linotype" w:hAnsi="Palatino Linotype"/>
          <w:color w:val="000000" w:themeColor="text1"/>
        </w:rPr>
        <w:footnoteReference w:id="139"/>
      </w:r>
    </w:p>
    <w:p w:rsidRPr="00391600" w:rsidR="001666C9" w:rsidP="00FD7906" w:rsidRDefault="17B97544" w14:paraId="4EAD4501" w14:textId="0C134CCB">
      <w:pPr>
        <w:rPr>
          <w:rFonts w:ascii="Palatino Linotype" w:hAnsi="Palatino Linotype"/>
        </w:rPr>
      </w:pPr>
      <w:r w:rsidRPr="00391600">
        <w:rPr>
          <w:rFonts w:ascii="Palatino Linotype" w:hAnsi="Palatino Linotype"/>
          <w:color w:val="000000" w:themeColor="text1"/>
        </w:rPr>
        <w:t>This Resolution has been modified</w:t>
      </w:r>
      <w:r w:rsidRPr="00391600" w:rsidR="0EF4DC58">
        <w:rPr>
          <w:rFonts w:ascii="Palatino Linotype" w:hAnsi="Palatino Linotype"/>
          <w:color w:val="000000" w:themeColor="text1"/>
        </w:rPr>
        <w:t xml:space="preserve">, as described in </w:t>
      </w:r>
      <w:r w:rsidRPr="00391600" w:rsidR="631EDEF3">
        <w:rPr>
          <w:rFonts w:ascii="Palatino Linotype" w:hAnsi="Palatino Linotype"/>
          <w:i/>
          <w:iCs/>
          <w:color w:val="000000" w:themeColor="text1"/>
        </w:rPr>
        <w:t>Assessment of 2024 Plan</w:t>
      </w:r>
      <w:r w:rsidRPr="00391600" w:rsidR="631EDEF3">
        <w:rPr>
          <w:rFonts w:ascii="Palatino Linotype" w:hAnsi="Palatino Linotype"/>
          <w:color w:val="000000" w:themeColor="text1"/>
        </w:rPr>
        <w:t xml:space="preserve"> and </w:t>
      </w:r>
      <w:r w:rsidRPr="00391600" w:rsidR="631EDEF3">
        <w:rPr>
          <w:rFonts w:ascii="Palatino Linotype" w:hAnsi="Palatino Linotype"/>
          <w:i/>
          <w:iCs/>
          <w:color w:val="000000" w:themeColor="text1"/>
        </w:rPr>
        <w:t>Assessment of 2025 Plan</w:t>
      </w:r>
      <w:r w:rsidRPr="00391600" w:rsidR="631EDEF3">
        <w:rPr>
          <w:rFonts w:ascii="Palatino Linotype" w:hAnsi="Palatino Linotype"/>
          <w:color w:val="000000" w:themeColor="text1"/>
        </w:rPr>
        <w:t xml:space="preserve"> </w:t>
      </w:r>
      <w:r w:rsidRPr="00391600" w:rsidR="0EF4DC58">
        <w:rPr>
          <w:rFonts w:ascii="Palatino Linotype" w:hAnsi="Palatino Linotype"/>
          <w:color w:val="000000" w:themeColor="text1"/>
        </w:rPr>
        <w:t>section</w:t>
      </w:r>
      <w:r w:rsidRPr="00391600" w:rsidR="631EDEF3">
        <w:rPr>
          <w:rFonts w:ascii="Palatino Linotype" w:hAnsi="Palatino Linotype"/>
          <w:color w:val="000000" w:themeColor="text1"/>
        </w:rPr>
        <w:t>s</w:t>
      </w:r>
      <w:r w:rsidRPr="00391600" w:rsidR="75357ADA">
        <w:rPr>
          <w:rFonts w:ascii="Palatino Linotype" w:hAnsi="Palatino Linotype"/>
          <w:color w:val="000000" w:themeColor="text1"/>
        </w:rPr>
        <w:t>,</w:t>
      </w:r>
      <w:r w:rsidRPr="00391600">
        <w:rPr>
          <w:rFonts w:ascii="Palatino Linotype" w:hAnsi="Palatino Linotype"/>
          <w:color w:val="000000" w:themeColor="text1"/>
        </w:rPr>
        <w:t xml:space="preserve"> to allow the CEC to collect</w:t>
      </w:r>
      <w:r w:rsidRPr="00391600" w:rsidR="005F189B">
        <w:rPr>
          <w:rFonts w:ascii="Palatino Linotype" w:hAnsi="Palatino Linotype"/>
          <w:color w:val="000000" w:themeColor="text1"/>
        </w:rPr>
        <w:t xml:space="preserve"> $2.4M </w:t>
      </w:r>
      <w:r w:rsidRPr="00391600" w:rsidR="00B97569">
        <w:rPr>
          <w:rFonts w:ascii="Palatino Linotype" w:hAnsi="Palatino Linotype"/>
          <w:color w:val="000000" w:themeColor="text1"/>
        </w:rPr>
        <w:t>in</w:t>
      </w:r>
      <w:r w:rsidRPr="00391600">
        <w:rPr>
          <w:rFonts w:ascii="Palatino Linotype" w:hAnsi="Palatino Linotype"/>
          <w:color w:val="000000" w:themeColor="text1"/>
        </w:rPr>
        <w:t xml:space="preserve"> new ratepayer funds to support the administrative needs of implementing </w:t>
      </w:r>
      <w:r w:rsidRPr="00391600" w:rsidR="79E20260">
        <w:rPr>
          <w:rFonts w:ascii="Palatino Linotype" w:hAnsi="Palatino Linotype"/>
          <w:color w:val="000000" w:themeColor="text1"/>
        </w:rPr>
        <w:t xml:space="preserve">each of </w:t>
      </w:r>
      <w:r w:rsidRPr="00391600">
        <w:rPr>
          <w:rFonts w:ascii="Palatino Linotype" w:hAnsi="Palatino Linotype"/>
          <w:color w:val="000000" w:themeColor="text1"/>
        </w:rPr>
        <w:t>its Gas RD&amp;D Plans</w:t>
      </w:r>
      <w:r w:rsidRPr="00391600" w:rsidR="3C08C315">
        <w:rPr>
          <w:rFonts w:ascii="Palatino Linotype" w:hAnsi="Palatino Linotype"/>
          <w:color w:val="000000" w:themeColor="text1"/>
        </w:rPr>
        <w:t xml:space="preserve"> </w:t>
      </w:r>
      <w:r w:rsidRPr="00391600" w:rsidR="2903FFDC">
        <w:rPr>
          <w:rFonts w:ascii="Palatino Linotype" w:hAnsi="Palatino Linotype"/>
          <w:color w:val="000000" w:themeColor="text1"/>
        </w:rPr>
        <w:t xml:space="preserve">(both 2024 and 2025) </w:t>
      </w:r>
      <w:r w:rsidRPr="00391600" w:rsidR="3C08C315">
        <w:rPr>
          <w:rFonts w:ascii="Palatino Linotype" w:hAnsi="Palatino Linotype"/>
          <w:color w:val="000000" w:themeColor="text1"/>
        </w:rPr>
        <w:t>on a one-time basis</w:t>
      </w:r>
      <w:r w:rsidRPr="00391600" w:rsidR="73967B65">
        <w:rPr>
          <w:rFonts w:ascii="Palatino Linotype" w:hAnsi="Palatino Linotype"/>
          <w:color w:val="000000" w:themeColor="text1"/>
        </w:rPr>
        <w:t xml:space="preserve"> to respond to the CEC’s immediate need for program continuity</w:t>
      </w:r>
      <w:r w:rsidRPr="00391600">
        <w:rPr>
          <w:rFonts w:ascii="Palatino Linotype" w:hAnsi="Palatino Linotype"/>
          <w:color w:val="000000" w:themeColor="text1"/>
        </w:rPr>
        <w:t xml:space="preserve">. </w:t>
      </w:r>
      <w:r w:rsidRPr="00391600" w:rsidR="77BB1E9B">
        <w:rPr>
          <w:rFonts w:ascii="Palatino Linotype" w:hAnsi="Palatino Linotype"/>
          <w:color w:val="000000" w:themeColor="text1"/>
        </w:rPr>
        <w:t>However, this one-time provision does not serve as a precedent moving forward, nor does it alter requirements</w:t>
      </w:r>
      <w:r w:rsidRPr="00391600" w:rsidR="04E3378C">
        <w:rPr>
          <w:rFonts w:ascii="Palatino Linotype" w:hAnsi="Palatino Linotype"/>
          <w:color w:val="000000" w:themeColor="text1"/>
        </w:rPr>
        <w:t xml:space="preserve"> in place</w:t>
      </w:r>
      <w:r w:rsidRPr="00391600" w:rsidR="77BB1E9B">
        <w:rPr>
          <w:rFonts w:ascii="Palatino Linotype" w:hAnsi="Palatino Linotype"/>
          <w:color w:val="000000" w:themeColor="text1"/>
        </w:rPr>
        <w:t xml:space="preserve">. </w:t>
      </w:r>
      <w:r w:rsidRPr="00391600" w:rsidR="2861A02B">
        <w:rPr>
          <w:rFonts w:ascii="Palatino Linotype" w:hAnsi="Palatino Linotype"/>
          <w:color w:val="000000" w:themeColor="text1"/>
        </w:rPr>
        <w:t>T</w:t>
      </w:r>
      <w:r w:rsidRPr="00391600">
        <w:rPr>
          <w:rFonts w:ascii="Palatino Linotype" w:hAnsi="Palatino Linotype"/>
          <w:color w:val="000000" w:themeColor="text1"/>
        </w:rPr>
        <w:t xml:space="preserve">he Commission’s approval process for </w:t>
      </w:r>
      <w:r w:rsidRPr="00391600" w:rsidR="790A53DF">
        <w:rPr>
          <w:rFonts w:ascii="Palatino Linotype" w:hAnsi="Palatino Linotype"/>
          <w:color w:val="000000" w:themeColor="text1"/>
        </w:rPr>
        <w:t xml:space="preserve">the </w:t>
      </w:r>
      <w:r w:rsidRPr="00391600">
        <w:rPr>
          <w:rFonts w:ascii="Palatino Linotype" w:hAnsi="Palatino Linotype"/>
          <w:color w:val="000000" w:themeColor="text1"/>
        </w:rPr>
        <w:t>CEC’s Plans require</w:t>
      </w:r>
      <w:r w:rsidRPr="00391600" w:rsidR="27F2113E">
        <w:rPr>
          <w:rFonts w:ascii="Palatino Linotype" w:hAnsi="Palatino Linotype"/>
          <w:color w:val="000000" w:themeColor="text1"/>
        </w:rPr>
        <w:t>s</w:t>
      </w:r>
      <w:r w:rsidRPr="00391600">
        <w:rPr>
          <w:rFonts w:ascii="Palatino Linotype" w:hAnsi="Palatino Linotype"/>
          <w:color w:val="000000" w:themeColor="text1"/>
        </w:rPr>
        <w:t xml:space="preserve"> compliance with existing requirements and standard program practices, </w:t>
      </w:r>
      <w:r w:rsidRPr="00391600" w:rsidR="1FBCBED7">
        <w:rPr>
          <w:rFonts w:ascii="Palatino Linotype" w:hAnsi="Palatino Linotype"/>
          <w:color w:val="000000" w:themeColor="text1"/>
        </w:rPr>
        <w:t>therefore, t</w:t>
      </w:r>
      <w:r w:rsidRPr="00391600" w:rsidR="5B40CA07">
        <w:rPr>
          <w:rFonts w:ascii="Palatino Linotype" w:hAnsi="Palatino Linotype"/>
          <w:color w:val="000000" w:themeColor="text1"/>
        </w:rPr>
        <w:t>he 10%</w:t>
      </w:r>
      <w:r w:rsidRPr="00391600">
        <w:rPr>
          <w:rFonts w:ascii="Palatino Linotype" w:hAnsi="Palatino Linotype"/>
          <w:color w:val="000000" w:themeColor="text1"/>
        </w:rPr>
        <w:t xml:space="preserve"> administrative budget cap</w:t>
      </w:r>
      <w:r w:rsidRPr="00391600" w:rsidR="7CE83344">
        <w:rPr>
          <w:rFonts w:ascii="Palatino Linotype" w:hAnsi="Palatino Linotype"/>
          <w:color w:val="000000" w:themeColor="text1"/>
        </w:rPr>
        <w:t>, adopted in Resolution G-3546 (2019)</w:t>
      </w:r>
      <w:r w:rsidRPr="00391600" w:rsidR="00A93086">
        <w:rPr>
          <w:rStyle w:val="FootnoteReference"/>
          <w:rFonts w:ascii="Palatino Linotype" w:hAnsi="Palatino Linotype"/>
          <w:color w:val="000000" w:themeColor="text1"/>
        </w:rPr>
        <w:footnoteReference w:id="140"/>
      </w:r>
      <w:r w:rsidRPr="00391600" w:rsidR="7CE83344">
        <w:rPr>
          <w:rFonts w:ascii="Palatino Linotype" w:hAnsi="Palatino Linotype"/>
          <w:color w:val="000000" w:themeColor="text1"/>
        </w:rPr>
        <w:t xml:space="preserve"> and underscored in Resolution G-3592 (2023), </w:t>
      </w:r>
      <w:r w:rsidRPr="00391600" w:rsidR="081A0554">
        <w:rPr>
          <w:rFonts w:ascii="Palatino Linotype" w:hAnsi="Palatino Linotype"/>
          <w:color w:val="000000" w:themeColor="text1"/>
        </w:rPr>
        <w:t xml:space="preserve">which </w:t>
      </w:r>
      <w:r w:rsidRPr="00391600" w:rsidR="2965BE37">
        <w:rPr>
          <w:rFonts w:ascii="Palatino Linotype" w:hAnsi="Palatino Linotype"/>
          <w:color w:val="000000" w:themeColor="text1"/>
        </w:rPr>
        <w:t xml:space="preserve">is </w:t>
      </w:r>
      <w:r w:rsidRPr="00391600" w:rsidR="3A5E4246">
        <w:rPr>
          <w:rFonts w:ascii="Palatino Linotype" w:hAnsi="Palatino Linotype"/>
          <w:color w:val="000000" w:themeColor="text1"/>
        </w:rPr>
        <w:t>associated with</w:t>
      </w:r>
      <w:r w:rsidRPr="00391600" w:rsidR="26C0515D">
        <w:rPr>
          <w:rFonts w:ascii="Palatino Linotype" w:hAnsi="Palatino Linotype"/>
          <w:color w:val="000000" w:themeColor="text1"/>
        </w:rPr>
        <w:t xml:space="preserve"> </w:t>
      </w:r>
      <w:r w:rsidRPr="00391600" w:rsidR="7CE83344">
        <w:rPr>
          <w:rFonts w:ascii="Palatino Linotype" w:hAnsi="Palatino Linotype"/>
          <w:color w:val="000000" w:themeColor="text1"/>
        </w:rPr>
        <w:t xml:space="preserve">the budget levels of </w:t>
      </w:r>
      <w:r w:rsidRPr="00391600" w:rsidR="40DFE4F1">
        <w:rPr>
          <w:rFonts w:ascii="Palatino Linotype" w:hAnsi="Palatino Linotype"/>
          <w:color w:val="000000" w:themeColor="text1"/>
        </w:rPr>
        <w:t xml:space="preserve">both </w:t>
      </w:r>
      <w:r w:rsidRPr="00391600" w:rsidR="600E8593">
        <w:rPr>
          <w:rFonts w:ascii="Palatino Linotype" w:hAnsi="Palatino Linotype"/>
          <w:color w:val="000000" w:themeColor="text1"/>
        </w:rPr>
        <w:t xml:space="preserve">previously and newly </w:t>
      </w:r>
      <w:r w:rsidRPr="00391600" w:rsidR="26C0515D">
        <w:rPr>
          <w:rFonts w:ascii="Palatino Linotype" w:hAnsi="Palatino Linotype"/>
          <w:color w:val="000000" w:themeColor="text1"/>
        </w:rPr>
        <w:t>approved</w:t>
      </w:r>
      <w:r w:rsidRPr="00391600" w:rsidR="4F46CDBE">
        <w:rPr>
          <w:rFonts w:ascii="Palatino Linotype" w:hAnsi="Palatino Linotype"/>
          <w:color w:val="000000" w:themeColor="text1"/>
        </w:rPr>
        <w:t xml:space="preserve"> funds</w:t>
      </w:r>
      <w:r w:rsidRPr="00391600" w:rsidR="081A0554">
        <w:rPr>
          <w:rFonts w:ascii="Palatino Linotype" w:hAnsi="Palatino Linotype"/>
          <w:color w:val="000000" w:themeColor="text1"/>
        </w:rPr>
        <w:t>,</w:t>
      </w:r>
      <w:r w:rsidRPr="00391600" w:rsidR="4F46CDBE">
        <w:rPr>
          <w:rFonts w:ascii="Palatino Linotype" w:hAnsi="Palatino Linotype"/>
          <w:color w:val="000000" w:themeColor="text1"/>
        </w:rPr>
        <w:t xml:space="preserve"> </w:t>
      </w:r>
      <w:r w:rsidRPr="00391600" w:rsidR="5B40CA07">
        <w:rPr>
          <w:rFonts w:ascii="Palatino Linotype" w:hAnsi="Palatino Linotype"/>
          <w:color w:val="000000" w:themeColor="text1"/>
        </w:rPr>
        <w:t>continues to be in f</w:t>
      </w:r>
      <w:r w:rsidRPr="00391600" w:rsidR="2B2CCB7F">
        <w:rPr>
          <w:rFonts w:ascii="Palatino Linotype" w:hAnsi="Palatino Linotype"/>
          <w:color w:val="000000" w:themeColor="text1"/>
        </w:rPr>
        <w:t>orce</w:t>
      </w:r>
      <w:r w:rsidRPr="00391600" w:rsidR="60C98CCC">
        <w:rPr>
          <w:rFonts w:ascii="Palatino Linotype" w:hAnsi="Palatino Linotype"/>
          <w:color w:val="000000" w:themeColor="text1"/>
        </w:rPr>
        <w:t xml:space="preserve">. </w:t>
      </w:r>
    </w:p>
    <w:p w:rsidRPr="00391600" w:rsidR="001666C9" w:rsidP="008613CF" w:rsidRDefault="1B7E1CE9" w14:paraId="429F8545" w14:textId="4C7D517C">
      <w:pPr>
        <w:spacing w:after="0"/>
        <w:rPr>
          <w:rFonts w:ascii="Palatino Linotype" w:hAnsi="Palatino Linotype"/>
          <w:color w:val="000000" w:themeColor="text1"/>
        </w:rPr>
      </w:pPr>
      <w:r w:rsidRPr="00391600">
        <w:rPr>
          <w:rFonts w:ascii="Palatino Linotype" w:hAnsi="Palatino Linotype"/>
          <w:color w:val="000000" w:themeColor="text1"/>
        </w:rPr>
        <w:t xml:space="preserve">It is implicit in this requirement that </w:t>
      </w:r>
      <w:r w:rsidRPr="00391600" w:rsidR="5171CE49">
        <w:rPr>
          <w:rFonts w:ascii="Palatino Linotype" w:hAnsi="Palatino Linotype"/>
          <w:color w:val="000000" w:themeColor="text1"/>
        </w:rPr>
        <w:t>administrative funds sh</w:t>
      </w:r>
      <w:r w:rsidRPr="00391600" w:rsidR="081A0554">
        <w:rPr>
          <w:rFonts w:ascii="Palatino Linotype" w:hAnsi="Palatino Linotype"/>
          <w:color w:val="000000" w:themeColor="text1"/>
        </w:rPr>
        <w:t>all</w:t>
      </w:r>
      <w:r w:rsidRPr="00391600" w:rsidR="5171CE49">
        <w:rPr>
          <w:rFonts w:ascii="Palatino Linotype" w:hAnsi="Palatino Linotype"/>
          <w:color w:val="000000" w:themeColor="text1"/>
        </w:rPr>
        <w:t xml:space="preserve"> be spent commensurately with implemented Plan funds</w:t>
      </w:r>
      <w:r w:rsidRPr="00391600" w:rsidR="081A0554">
        <w:rPr>
          <w:rFonts w:ascii="Palatino Linotype" w:hAnsi="Palatino Linotype"/>
          <w:color w:val="000000" w:themeColor="text1"/>
        </w:rPr>
        <w:t xml:space="preserve"> </w:t>
      </w:r>
      <w:proofErr w:type="gramStart"/>
      <w:r w:rsidRPr="00391600" w:rsidR="081A0554">
        <w:rPr>
          <w:rFonts w:ascii="Palatino Linotype" w:hAnsi="Palatino Linotype"/>
          <w:color w:val="000000" w:themeColor="text1"/>
        </w:rPr>
        <w:t>in order to</w:t>
      </w:r>
      <w:proofErr w:type="gramEnd"/>
      <w:r w:rsidRPr="00391600" w:rsidR="081A0554">
        <w:rPr>
          <w:rFonts w:ascii="Palatino Linotype" w:hAnsi="Palatino Linotype"/>
          <w:color w:val="000000" w:themeColor="text1"/>
        </w:rPr>
        <w:t xml:space="preserve"> prevent duplicative administrative fund</w:t>
      </w:r>
      <w:r w:rsidRPr="00391600" w:rsidR="5640BC34">
        <w:rPr>
          <w:rFonts w:ascii="Palatino Linotype" w:hAnsi="Palatino Linotype"/>
          <w:color w:val="000000" w:themeColor="text1"/>
        </w:rPr>
        <w:t>ing</w:t>
      </w:r>
      <w:r w:rsidRPr="00391600" w:rsidR="081A0554">
        <w:rPr>
          <w:rFonts w:ascii="Palatino Linotype" w:hAnsi="Palatino Linotype"/>
          <w:color w:val="000000" w:themeColor="text1"/>
        </w:rPr>
        <w:t xml:space="preserve"> </w:t>
      </w:r>
      <w:r w:rsidRPr="00391600" w:rsidR="4EBBEB4B">
        <w:rPr>
          <w:rFonts w:ascii="Palatino Linotype" w:hAnsi="Palatino Linotype"/>
          <w:color w:val="000000" w:themeColor="text1"/>
        </w:rPr>
        <w:t>when previously approved funds are reauthorized</w:t>
      </w:r>
      <w:r w:rsidRPr="00391600" w:rsidR="088F29FC">
        <w:rPr>
          <w:rFonts w:ascii="Palatino Linotype" w:hAnsi="Palatino Linotype"/>
          <w:color w:val="000000" w:themeColor="text1"/>
        </w:rPr>
        <w:t xml:space="preserve"> for reuse in a future program</w:t>
      </w:r>
      <w:r w:rsidRPr="00391600" w:rsidR="00B97569">
        <w:rPr>
          <w:rFonts w:ascii="Palatino Linotype" w:hAnsi="Palatino Linotype"/>
          <w:color w:val="000000" w:themeColor="text1"/>
        </w:rPr>
        <w:t xml:space="preserve"> </w:t>
      </w:r>
      <w:r w:rsidRPr="00391600" w:rsidR="088F29FC">
        <w:rPr>
          <w:rFonts w:ascii="Palatino Linotype" w:hAnsi="Palatino Linotype"/>
          <w:color w:val="000000" w:themeColor="text1"/>
        </w:rPr>
        <w:t>year</w:t>
      </w:r>
      <w:r w:rsidRPr="00391600" w:rsidR="4EBBEB4B">
        <w:rPr>
          <w:rFonts w:ascii="Palatino Linotype" w:hAnsi="Palatino Linotype"/>
          <w:color w:val="000000" w:themeColor="text1"/>
        </w:rPr>
        <w:t xml:space="preserve">. </w:t>
      </w:r>
      <w:r w:rsidRPr="00391600" w:rsidR="77BB1E9B">
        <w:rPr>
          <w:rFonts w:ascii="Palatino Linotype" w:hAnsi="Palatino Linotype"/>
          <w:color w:val="000000" w:themeColor="text1"/>
        </w:rPr>
        <w:t>This requirement is consistent with the Commission’s long-standing policy that program administration be capped at no more than 10% to promote the prudent use of ratepayer dollars.</w:t>
      </w:r>
      <w:r w:rsidRPr="00391600" w:rsidR="00A93086">
        <w:rPr>
          <w:rStyle w:val="FootnoteReference"/>
          <w:rFonts w:ascii="Palatino Linotype" w:hAnsi="Palatino Linotype"/>
          <w:color w:val="000000" w:themeColor="text1"/>
        </w:rPr>
        <w:footnoteReference w:id="141"/>
      </w:r>
      <w:r w:rsidRPr="00391600">
        <w:rPr>
          <w:rFonts w:ascii="Palatino Linotype" w:hAnsi="Palatino Linotype"/>
          <w:color w:val="000000" w:themeColor="text1"/>
        </w:rPr>
        <w:t xml:space="preserve"> </w:t>
      </w:r>
    </w:p>
    <w:p w:rsidRPr="00391600" w:rsidR="008613CF" w:rsidP="008613CF" w:rsidRDefault="008613CF" w14:paraId="0E6E028B" w14:textId="77777777">
      <w:pPr>
        <w:spacing w:after="0"/>
        <w:rPr>
          <w:rFonts w:ascii="Palatino Linotype" w:hAnsi="Palatino Linotype"/>
          <w:color w:val="000000" w:themeColor="text1"/>
        </w:rPr>
      </w:pPr>
    </w:p>
    <w:p w:rsidRPr="00391600" w:rsidR="00760AFD" w:rsidRDefault="00760AFD" w14:paraId="4B445345" w14:textId="09589283">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CEC Comment Regarding Statute Requiring Alignment with State Goals.</w:t>
      </w:r>
    </w:p>
    <w:p w:rsidRPr="00391600" w:rsidR="00A93086" w:rsidP="00FD7906" w:rsidRDefault="00E3696C" w14:paraId="52707B39" w14:textId="51FAA495">
      <w:pPr>
        <w:spacing w:line="279" w:lineRule="auto"/>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that “[t]he draft resolution proposes narrowing the focus of the Gas R&amp;D Program to </w:t>
      </w:r>
      <w:r w:rsidRPr="00391600" w:rsidR="17B97544">
        <w:rPr>
          <w:rFonts w:ascii="Palatino Linotype" w:hAnsi="Palatino Linotype"/>
        </w:rPr>
        <w:t xml:space="preserve">CPUC policies and proceedings.” </w:t>
      </w:r>
      <w:r w:rsidRPr="00391600" w:rsidR="3EA94CCE">
        <w:rPr>
          <w:rFonts w:ascii="Palatino Linotype" w:hAnsi="Palatino Linotype"/>
        </w:rPr>
        <w:t>The CEC request</w:t>
      </w:r>
      <w:r w:rsidRPr="00391600" w:rsidR="00212B02">
        <w:rPr>
          <w:rFonts w:ascii="Palatino Linotype" w:hAnsi="Palatino Linotype"/>
        </w:rPr>
        <w:t>s</w:t>
      </w:r>
      <w:r w:rsidRPr="00391600" w:rsidR="3EA94CCE">
        <w:rPr>
          <w:rFonts w:ascii="Palatino Linotype" w:hAnsi="Palatino Linotype"/>
        </w:rPr>
        <w:t xml:space="preserve"> </w:t>
      </w:r>
      <w:r w:rsidRPr="00391600" w:rsidR="3EA94CCE">
        <w:rPr>
          <w:rFonts w:ascii="Palatino Linotype" w:hAnsi="Palatino Linotype"/>
        </w:rPr>
        <w:lastRenderedPageBreak/>
        <w:t xml:space="preserve">that the CPUC </w:t>
      </w:r>
      <w:r w:rsidRPr="00391600" w:rsidR="17B97544">
        <w:rPr>
          <w:rFonts w:ascii="Palatino Linotype" w:hAnsi="Palatino Linotype"/>
        </w:rPr>
        <w:t>“maintain the foundational standard in D.04-08-010</w:t>
      </w:r>
      <w:r w:rsidRPr="00391600" w:rsidR="00A93086">
        <w:rPr>
          <w:rStyle w:val="FootnoteReference"/>
          <w:rFonts w:ascii="Palatino Linotype" w:hAnsi="Palatino Linotype"/>
        </w:rPr>
        <w:footnoteReference w:id="142"/>
      </w:r>
      <w:r w:rsidRPr="00391600" w:rsidR="17B97544">
        <w:rPr>
          <w:rFonts w:ascii="Palatino Linotype" w:hAnsi="Palatino Linotype"/>
        </w:rPr>
        <w:t xml:space="preserve"> and Section 740.1 that Gas R&amp;D projects support state energy policy, consistent with the statutory criteria already governing this program.”</w:t>
      </w:r>
      <w:r w:rsidRPr="00391600" w:rsidR="00A93086">
        <w:rPr>
          <w:rStyle w:val="FootnoteReference"/>
          <w:rFonts w:ascii="Palatino Linotype" w:hAnsi="Palatino Linotype"/>
        </w:rPr>
        <w:footnoteReference w:id="143"/>
      </w:r>
    </w:p>
    <w:p w:rsidRPr="00391600" w:rsidR="00A93086" w:rsidP="281B4A3F" w:rsidRDefault="54E0D16A" w14:paraId="774B1110" w14:textId="63B64378">
      <w:pPr>
        <w:spacing w:after="0"/>
        <w:rPr>
          <w:rFonts w:ascii="Palatino Linotype" w:hAnsi="Palatino Linotype"/>
          <w:color w:val="000000" w:themeColor="text1"/>
        </w:rPr>
      </w:pPr>
      <w:r w:rsidRPr="00391600">
        <w:rPr>
          <w:rFonts w:ascii="Palatino Linotype" w:hAnsi="Palatino Linotype"/>
          <w:color w:val="000000" w:themeColor="text1"/>
        </w:rPr>
        <w:t xml:space="preserve">This Resolution does not </w:t>
      </w:r>
      <w:r w:rsidRPr="00391600" w:rsidR="00D71994">
        <w:rPr>
          <w:rFonts w:ascii="Palatino Linotype" w:hAnsi="Palatino Linotype"/>
          <w:color w:val="000000" w:themeColor="text1"/>
        </w:rPr>
        <w:t xml:space="preserve">make substantive changes </w:t>
      </w:r>
      <w:r w:rsidRPr="00391600" w:rsidR="00CC18F6">
        <w:rPr>
          <w:rFonts w:ascii="Palatino Linotype" w:hAnsi="Palatino Linotype"/>
          <w:color w:val="000000" w:themeColor="text1"/>
        </w:rPr>
        <w:t>or</w:t>
      </w:r>
      <w:r w:rsidRPr="00391600" w:rsidR="00D71994">
        <w:rPr>
          <w:rFonts w:ascii="Palatino Linotype" w:hAnsi="Palatino Linotype"/>
          <w:color w:val="000000" w:themeColor="text1"/>
        </w:rPr>
        <w:t xml:space="preserve"> </w:t>
      </w:r>
      <w:r w:rsidRPr="00391600">
        <w:rPr>
          <w:rFonts w:ascii="Palatino Linotype" w:hAnsi="Palatino Linotype"/>
          <w:color w:val="000000" w:themeColor="text1"/>
        </w:rPr>
        <w:t>seek to supersede statut</w:t>
      </w:r>
      <w:r w:rsidRPr="00391600" w:rsidR="004D50BC">
        <w:rPr>
          <w:rFonts w:ascii="Palatino Linotype" w:hAnsi="Palatino Linotype"/>
          <w:color w:val="000000" w:themeColor="text1"/>
        </w:rPr>
        <w:t>ory</w:t>
      </w:r>
      <w:r w:rsidRPr="00391600">
        <w:rPr>
          <w:rFonts w:ascii="Palatino Linotype" w:hAnsi="Palatino Linotype"/>
          <w:color w:val="000000" w:themeColor="text1"/>
        </w:rPr>
        <w:t xml:space="preserve"> nor D.04-08-010 </w:t>
      </w:r>
      <w:r w:rsidRPr="00391600" w:rsidR="4842C967">
        <w:rPr>
          <w:rFonts w:ascii="Palatino Linotype" w:hAnsi="Palatino Linotype"/>
          <w:color w:val="000000" w:themeColor="text1"/>
        </w:rPr>
        <w:t>standards</w:t>
      </w:r>
      <w:r w:rsidRPr="00391600" w:rsidR="38A64C6B">
        <w:rPr>
          <w:rFonts w:ascii="Palatino Linotype" w:hAnsi="Palatino Linotype"/>
          <w:color w:val="000000" w:themeColor="text1"/>
        </w:rPr>
        <w:t xml:space="preserve"> to align with State goals</w:t>
      </w:r>
      <w:r w:rsidRPr="00391600">
        <w:rPr>
          <w:rFonts w:ascii="Palatino Linotype" w:hAnsi="Palatino Linotype"/>
          <w:color w:val="000000" w:themeColor="text1"/>
        </w:rPr>
        <w:t xml:space="preserve">. </w:t>
      </w:r>
      <w:r w:rsidRPr="00391600" w:rsidR="2EAE30CA">
        <w:rPr>
          <w:rFonts w:ascii="Palatino Linotype" w:hAnsi="Palatino Linotype"/>
          <w:color w:val="000000" w:themeColor="text1"/>
        </w:rPr>
        <w:t xml:space="preserve">Rather, alignment with CPUC proceedings is a mechanism </w:t>
      </w:r>
      <w:r w:rsidRPr="00391600" w:rsidR="1F910E80">
        <w:rPr>
          <w:rFonts w:ascii="Palatino Linotype" w:hAnsi="Palatino Linotype"/>
          <w:color w:val="000000" w:themeColor="text1"/>
        </w:rPr>
        <w:t>by which the</w:t>
      </w:r>
      <w:r w:rsidRPr="00391600" w:rsidR="2EAE30CA">
        <w:rPr>
          <w:rFonts w:ascii="Palatino Linotype" w:hAnsi="Palatino Linotype"/>
          <w:color w:val="000000" w:themeColor="text1"/>
        </w:rPr>
        <w:t xml:space="preserve"> CPUC facilitat</w:t>
      </w:r>
      <w:r w:rsidRPr="00391600" w:rsidR="1F910E80">
        <w:rPr>
          <w:rFonts w:ascii="Palatino Linotype" w:hAnsi="Palatino Linotype"/>
          <w:color w:val="000000" w:themeColor="text1"/>
        </w:rPr>
        <w:t>es</w:t>
      </w:r>
      <w:r w:rsidRPr="00391600" w:rsidR="2EAE30CA">
        <w:rPr>
          <w:rFonts w:ascii="Palatino Linotype" w:hAnsi="Palatino Linotype"/>
          <w:color w:val="000000" w:themeColor="text1"/>
        </w:rPr>
        <w:t xml:space="preserve"> consistency </w:t>
      </w:r>
      <w:r w:rsidRPr="00391600" w:rsidR="3E6F53D3">
        <w:rPr>
          <w:rFonts w:ascii="Palatino Linotype" w:hAnsi="Palatino Linotype"/>
          <w:color w:val="000000" w:themeColor="text1"/>
        </w:rPr>
        <w:t xml:space="preserve">with </w:t>
      </w:r>
      <w:r w:rsidRPr="00391600" w:rsidR="2EAE30CA">
        <w:rPr>
          <w:rFonts w:ascii="Palatino Linotype" w:hAnsi="Palatino Linotype"/>
          <w:color w:val="000000" w:themeColor="text1"/>
        </w:rPr>
        <w:t xml:space="preserve">State </w:t>
      </w:r>
      <w:r w:rsidRPr="00391600" w:rsidR="11A224C0">
        <w:rPr>
          <w:rFonts w:ascii="Palatino Linotype" w:hAnsi="Palatino Linotype"/>
          <w:color w:val="000000" w:themeColor="text1"/>
        </w:rPr>
        <w:t>goals</w:t>
      </w:r>
      <w:r w:rsidRPr="00391600" w:rsidR="069B4AA6">
        <w:rPr>
          <w:rFonts w:ascii="Palatino Linotype" w:hAnsi="Palatino Linotype"/>
          <w:color w:val="000000" w:themeColor="text1"/>
        </w:rPr>
        <w:t>.  The intention is for CPUC proceedings to</w:t>
      </w:r>
      <w:r w:rsidRPr="00391600" w:rsidR="031826D2">
        <w:rPr>
          <w:rFonts w:ascii="Palatino Linotype" w:hAnsi="Palatino Linotype"/>
          <w:color w:val="000000" w:themeColor="text1"/>
        </w:rPr>
        <w:t xml:space="preserve"> inform</w:t>
      </w:r>
      <w:r w:rsidRPr="00391600" w:rsidR="07A323EE">
        <w:rPr>
          <w:rFonts w:ascii="Palatino Linotype" w:hAnsi="Palatino Linotype"/>
          <w:color w:val="000000" w:themeColor="text1"/>
        </w:rPr>
        <w:t xml:space="preserve"> </w:t>
      </w:r>
      <w:r w:rsidRPr="00391600" w:rsidR="00E35A3F">
        <w:rPr>
          <w:rFonts w:ascii="Palatino Linotype" w:hAnsi="Palatino Linotype"/>
          <w:color w:val="000000" w:themeColor="text1"/>
        </w:rPr>
        <w:t>G</w:t>
      </w:r>
      <w:r w:rsidRPr="00391600" w:rsidR="07A323EE">
        <w:rPr>
          <w:rFonts w:ascii="Palatino Linotype" w:hAnsi="Palatino Linotype"/>
          <w:color w:val="000000" w:themeColor="text1"/>
        </w:rPr>
        <w:t xml:space="preserve">as R&amp;D </w:t>
      </w:r>
      <w:r w:rsidRPr="00391600" w:rsidR="00AF0D4E">
        <w:rPr>
          <w:rFonts w:ascii="Palatino Linotype" w:hAnsi="Palatino Linotype"/>
          <w:color w:val="000000" w:themeColor="text1"/>
        </w:rPr>
        <w:t>P</w:t>
      </w:r>
      <w:r w:rsidRPr="00391600" w:rsidR="07A323EE">
        <w:rPr>
          <w:rFonts w:ascii="Palatino Linotype" w:hAnsi="Palatino Linotype"/>
          <w:color w:val="000000" w:themeColor="text1"/>
        </w:rPr>
        <w:t>rogram</w:t>
      </w:r>
      <w:r w:rsidRPr="00391600" w:rsidR="003B1235">
        <w:rPr>
          <w:rFonts w:ascii="Palatino Linotype" w:hAnsi="Palatino Linotype"/>
          <w:color w:val="000000" w:themeColor="text1"/>
        </w:rPr>
        <w:t xml:space="preserve"> </w:t>
      </w:r>
      <w:r w:rsidRPr="00391600" w:rsidR="031826D2">
        <w:rPr>
          <w:rFonts w:ascii="Palatino Linotype" w:hAnsi="Palatino Linotype"/>
          <w:color w:val="000000" w:themeColor="text1"/>
        </w:rPr>
        <w:t>priorities by</w:t>
      </w:r>
      <w:r w:rsidRPr="00391600" w:rsidR="57E3A4AD">
        <w:rPr>
          <w:rFonts w:ascii="Palatino Linotype" w:hAnsi="Palatino Linotype"/>
          <w:color w:val="000000" w:themeColor="text1"/>
        </w:rPr>
        <w:t xml:space="preserve"> </w:t>
      </w:r>
      <w:r w:rsidRPr="00391600" w:rsidR="2EAE30CA">
        <w:rPr>
          <w:rFonts w:ascii="Palatino Linotype" w:hAnsi="Palatino Linotype"/>
          <w:color w:val="000000" w:themeColor="text1"/>
        </w:rPr>
        <w:t xml:space="preserve">narrowing </w:t>
      </w:r>
      <w:r w:rsidRPr="00391600" w:rsidR="2D3C83C7">
        <w:rPr>
          <w:rFonts w:ascii="Palatino Linotype" w:hAnsi="Palatino Linotype"/>
          <w:color w:val="000000" w:themeColor="text1"/>
        </w:rPr>
        <w:t>to targeted</w:t>
      </w:r>
      <w:r w:rsidRPr="00391600" w:rsidR="248AED76">
        <w:rPr>
          <w:rFonts w:ascii="Palatino Linotype" w:hAnsi="Palatino Linotype"/>
          <w:color w:val="000000" w:themeColor="text1"/>
        </w:rPr>
        <w:t xml:space="preserve"> </w:t>
      </w:r>
      <w:r w:rsidRPr="00391600" w:rsidR="72414315">
        <w:rPr>
          <w:rFonts w:ascii="Palatino Linotype" w:hAnsi="Palatino Linotype"/>
          <w:color w:val="000000" w:themeColor="text1"/>
        </w:rPr>
        <w:t>research areas</w:t>
      </w:r>
      <w:r w:rsidRPr="00391600" w:rsidR="248AED76">
        <w:rPr>
          <w:rFonts w:ascii="Palatino Linotype" w:hAnsi="Palatino Linotype"/>
          <w:color w:val="000000" w:themeColor="text1"/>
        </w:rPr>
        <w:t xml:space="preserve"> to support the</w:t>
      </w:r>
      <w:r w:rsidRPr="00391600" w:rsidR="2EAE30CA">
        <w:rPr>
          <w:rFonts w:ascii="Palatino Linotype" w:hAnsi="Palatino Linotype"/>
          <w:color w:val="000000" w:themeColor="text1"/>
        </w:rPr>
        <w:t xml:space="preserve"> prudent use of </w:t>
      </w:r>
      <w:r w:rsidRPr="00391600" w:rsidR="00950F39">
        <w:rPr>
          <w:rFonts w:ascii="Palatino Linotype" w:hAnsi="Palatino Linotype"/>
          <w:color w:val="000000" w:themeColor="text1"/>
        </w:rPr>
        <w:t xml:space="preserve">limited </w:t>
      </w:r>
      <w:r w:rsidRPr="00391600" w:rsidR="2EAE30CA">
        <w:rPr>
          <w:rFonts w:ascii="Palatino Linotype" w:hAnsi="Palatino Linotype"/>
          <w:color w:val="000000" w:themeColor="text1"/>
        </w:rPr>
        <w:t>ratepayer funds</w:t>
      </w:r>
      <w:r w:rsidRPr="00391600" w:rsidR="499F681F">
        <w:rPr>
          <w:rFonts w:ascii="Palatino Linotype" w:hAnsi="Palatino Linotype"/>
          <w:color w:val="000000" w:themeColor="text1"/>
        </w:rPr>
        <w:t>,</w:t>
      </w:r>
      <w:r w:rsidRPr="00391600" w:rsidR="0BA160E0">
        <w:rPr>
          <w:rFonts w:ascii="Palatino Linotype" w:hAnsi="Palatino Linotype"/>
          <w:color w:val="000000" w:themeColor="text1"/>
        </w:rPr>
        <w:t xml:space="preserve"> promot</w:t>
      </w:r>
      <w:r w:rsidRPr="00391600" w:rsidR="4759A733">
        <w:rPr>
          <w:rFonts w:ascii="Palatino Linotype" w:hAnsi="Palatino Linotype"/>
          <w:color w:val="000000" w:themeColor="text1"/>
        </w:rPr>
        <w:t>e</w:t>
      </w:r>
      <w:r w:rsidRPr="00391600" w:rsidR="00D71994">
        <w:rPr>
          <w:rFonts w:ascii="Palatino Linotype" w:hAnsi="Palatino Linotype"/>
          <w:color w:val="000000" w:themeColor="text1"/>
        </w:rPr>
        <w:t xml:space="preserve"> </w:t>
      </w:r>
      <w:r w:rsidRPr="00391600" w:rsidR="0BA160E0">
        <w:rPr>
          <w:rFonts w:ascii="Palatino Linotype" w:hAnsi="Palatino Linotype"/>
          <w:color w:val="000000" w:themeColor="text1"/>
        </w:rPr>
        <w:t>ratepayer benefit</w:t>
      </w:r>
      <w:r w:rsidRPr="00391600" w:rsidR="7B4E0963">
        <w:rPr>
          <w:rFonts w:ascii="Palatino Linotype" w:hAnsi="Palatino Linotype"/>
          <w:color w:val="000000" w:themeColor="text1"/>
        </w:rPr>
        <w:t>s</w:t>
      </w:r>
      <w:r w:rsidRPr="00391600" w:rsidR="00141C3E">
        <w:rPr>
          <w:rFonts w:ascii="Palatino Linotype" w:hAnsi="Palatino Linotype"/>
          <w:color w:val="000000" w:themeColor="text1"/>
        </w:rPr>
        <w:t>,</w:t>
      </w:r>
      <w:r w:rsidRPr="00391600" w:rsidR="0BA160E0">
        <w:rPr>
          <w:rFonts w:ascii="Palatino Linotype" w:hAnsi="Palatino Linotype"/>
          <w:color w:val="000000" w:themeColor="text1"/>
        </w:rPr>
        <w:t xml:space="preserve"> and avoid duplicative activities</w:t>
      </w:r>
      <w:r w:rsidRPr="00391600" w:rsidR="2EAE30CA">
        <w:rPr>
          <w:rFonts w:ascii="Palatino Linotype" w:hAnsi="Palatino Linotype"/>
          <w:color w:val="000000" w:themeColor="text1"/>
        </w:rPr>
        <w:t>.</w:t>
      </w:r>
      <w:r w:rsidRPr="00391600" w:rsidR="00141C3E">
        <w:rPr>
          <w:rFonts w:ascii="Palatino Linotype" w:hAnsi="Palatino Linotype"/>
          <w:color w:val="000000" w:themeColor="text1"/>
        </w:rPr>
        <w:t xml:space="preserve"> Further</w:t>
      </w:r>
      <w:r w:rsidRPr="00391600" w:rsidR="13F0E22F">
        <w:rPr>
          <w:rFonts w:ascii="Palatino Linotype" w:hAnsi="Palatino Linotype"/>
          <w:color w:val="000000" w:themeColor="text1"/>
        </w:rPr>
        <w:t xml:space="preserve">, </w:t>
      </w:r>
      <w:r w:rsidRPr="00391600" w:rsidR="17B97544">
        <w:rPr>
          <w:rFonts w:ascii="Palatino Linotype" w:hAnsi="Palatino Linotype"/>
          <w:color w:val="000000" w:themeColor="text1"/>
        </w:rPr>
        <w:t xml:space="preserve">Energy Division staff </w:t>
      </w:r>
      <w:r w:rsidRPr="00391600" w:rsidR="00AA7F95">
        <w:rPr>
          <w:rFonts w:ascii="Palatino Linotype" w:hAnsi="Palatino Linotype"/>
          <w:color w:val="000000" w:themeColor="text1"/>
        </w:rPr>
        <w:t xml:space="preserve">is authorized to </w:t>
      </w:r>
      <w:r w:rsidRPr="00391600" w:rsidR="17B97544">
        <w:rPr>
          <w:rFonts w:ascii="Palatino Linotype" w:hAnsi="Palatino Linotype"/>
          <w:color w:val="000000" w:themeColor="text1"/>
        </w:rPr>
        <w:t xml:space="preserve">commence a stakeholder process and facilitate collaborative strategic planning to </w:t>
      </w:r>
      <w:r w:rsidRPr="00391600" w:rsidR="2A52F441">
        <w:rPr>
          <w:rFonts w:ascii="Palatino Linotype" w:hAnsi="Palatino Linotype"/>
          <w:color w:val="000000" w:themeColor="text1"/>
        </w:rPr>
        <w:t xml:space="preserve">formally </w:t>
      </w:r>
      <w:r w:rsidRPr="00391600" w:rsidR="17B97544">
        <w:rPr>
          <w:rFonts w:ascii="Palatino Linotype" w:hAnsi="Palatino Linotype"/>
          <w:color w:val="000000" w:themeColor="text1"/>
        </w:rPr>
        <w:t>identify Strategic Goals</w:t>
      </w:r>
      <w:r w:rsidRPr="00391600" w:rsidR="00DC07CE">
        <w:rPr>
          <w:rStyle w:val="FootnoteReference"/>
          <w:rFonts w:ascii="Palatino Linotype" w:hAnsi="Palatino Linotype"/>
          <w:color w:val="000000" w:themeColor="text1"/>
        </w:rPr>
        <w:footnoteReference w:id="144"/>
      </w:r>
      <w:r w:rsidRPr="00391600" w:rsidR="17B97544">
        <w:rPr>
          <w:rFonts w:ascii="Palatino Linotype" w:hAnsi="Palatino Linotype"/>
          <w:color w:val="000000" w:themeColor="text1"/>
        </w:rPr>
        <w:t xml:space="preserve"> to broadly consider timely Gas RD&amp;D Program priorities and provide clear guidance in alignment with evolving State climate and energy policy.</w:t>
      </w:r>
      <w:r w:rsidRPr="00391600" w:rsidR="00DC07CE">
        <w:rPr>
          <w:rStyle w:val="FootnoteReference"/>
          <w:rFonts w:ascii="Palatino Linotype" w:hAnsi="Palatino Linotype"/>
          <w:color w:val="000000" w:themeColor="text1"/>
        </w:rPr>
        <w:footnoteReference w:id="145"/>
      </w:r>
      <w:r w:rsidRPr="00391600" w:rsidR="17B97544">
        <w:rPr>
          <w:rFonts w:ascii="Palatino Linotype" w:hAnsi="Palatino Linotype"/>
          <w:color w:val="000000" w:themeColor="text1"/>
        </w:rPr>
        <w:t xml:space="preserve"> </w:t>
      </w:r>
    </w:p>
    <w:p w:rsidRPr="00391600" w:rsidR="00A93086" w:rsidP="00A93086" w:rsidRDefault="00A93086" w14:paraId="15DA99B0" w14:textId="77777777">
      <w:pPr>
        <w:spacing w:after="0"/>
        <w:rPr>
          <w:rFonts w:ascii="Palatino Linotype" w:hAnsi="Palatino Linotype"/>
          <w:color w:val="000000" w:themeColor="text1"/>
        </w:rPr>
      </w:pPr>
    </w:p>
    <w:p w:rsidRPr="00391600" w:rsidR="00885D7F" w:rsidP="00B63842" w:rsidRDefault="00E03872" w14:paraId="314E098E" w14:textId="5AA342D0">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7315AB">
        <w:rPr>
          <w:rFonts w:ascii="Palatino Linotype" w:hAnsi="Palatino Linotype"/>
          <w:b/>
          <w:bCs/>
          <w:color w:val="000000" w:themeColor="text1"/>
        </w:rPr>
        <w:t>Reporting Requirement Processes</w:t>
      </w:r>
      <w:r w:rsidRPr="00391600" w:rsidR="00951047">
        <w:rPr>
          <w:rFonts w:ascii="Palatino Linotype" w:hAnsi="Palatino Linotype"/>
          <w:b/>
          <w:bCs/>
          <w:color w:val="000000" w:themeColor="text1"/>
        </w:rPr>
        <w:t>.</w:t>
      </w:r>
    </w:p>
    <w:p w:rsidRPr="00391600" w:rsidR="00A93086" w:rsidP="00A93086" w:rsidRDefault="00E3696C" w14:paraId="7772BF48" w14:textId="61FE9349">
      <w:pPr>
        <w:rPr>
          <w:rFonts w:ascii="Palatino Linotype" w:hAnsi="Palatino Linotype"/>
          <w:color w:val="000000" w:themeColor="text1"/>
        </w:rPr>
      </w:pPr>
      <w:r w:rsidRPr="00391600">
        <w:rPr>
          <w:rFonts w:ascii="Palatino Linotype" w:hAnsi="Palatino Linotype"/>
          <w:color w:val="000000" w:themeColor="text1"/>
        </w:rPr>
        <w:t xml:space="preserve">In the CEC’s comments, it states </w:t>
      </w:r>
      <w:r w:rsidRPr="00391600" w:rsidR="17B97544">
        <w:rPr>
          <w:rFonts w:ascii="Palatino Linotype" w:hAnsi="Palatino Linotype"/>
          <w:color w:val="000000" w:themeColor="text1"/>
        </w:rPr>
        <w:t xml:space="preserve">that this Resolution “would require the CEC to prepare and submit quarterly Tier 1 ALs on Budget Plan funding data; a Tier 1 AL on State Controller’s Office (SCO) correspondence to access Public Purpose Programs (PPP) funds; and a 60-day Tier 1 AL prior to three actions: shifting funds between Initiatives or Budget Plans, modifying research topics for Initiatives, and issuing Requests for Proposals (RFPs).” </w:t>
      </w:r>
      <w:r w:rsidRPr="00391600" w:rsidR="582BDF3E">
        <w:rPr>
          <w:rFonts w:ascii="Palatino Linotype" w:hAnsi="Palatino Linotype"/>
          <w:color w:val="000000" w:themeColor="text1"/>
        </w:rPr>
        <w:t xml:space="preserve">The CEC </w:t>
      </w:r>
      <w:r w:rsidRPr="00391600" w:rsidR="006774E1">
        <w:rPr>
          <w:rFonts w:ascii="Palatino Linotype" w:hAnsi="Palatino Linotype"/>
          <w:color w:val="000000" w:themeColor="text1"/>
        </w:rPr>
        <w:t>voices</w:t>
      </w:r>
      <w:r w:rsidRPr="00391600" w:rsidR="582BDF3E">
        <w:rPr>
          <w:rFonts w:ascii="Palatino Linotype" w:hAnsi="Palatino Linotype"/>
          <w:color w:val="000000" w:themeColor="text1"/>
        </w:rPr>
        <w:t xml:space="preserve"> concerns that this reporting would require administrative staff time and that the benefit of reporting on administrative matters is undemonstrated.</w:t>
      </w:r>
      <w:r w:rsidRPr="00391600" w:rsidR="00771701">
        <w:rPr>
          <w:rStyle w:val="FootnoteReference"/>
          <w:rFonts w:ascii="Palatino Linotype" w:hAnsi="Palatino Linotype"/>
          <w:color w:val="000000" w:themeColor="text1"/>
        </w:rPr>
        <w:t xml:space="preserve"> </w:t>
      </w:r>
      <w:r w:rsidRPr="00391600" w:rsidR="00771701">
        <w:rPr>
          <w:rStyle w:val="FootnoteReference"/>
          <w:rFonts w:ascii="Palatino Linotype" w:hAnsi="Palatino Linotype"/>
          <w:color w:val="000000" w:themeColor="text1"/>
        </w:rPr>
        <w:footnoteReference w:id="146"/>
      </w:r>
      <w:r w:rsidRPr="00391600" w:rsidR="582BDF3E">
        <w:rPr>
          <w:rFonts w:ascii="Palatino Linotype" w:hAnsi="Palatino Linotype"/>
          <w:color w:val="000000" w:themeColor="text1"/>
        </w:rPr>
        <w:t xml:space="preserve"> </w:t>
      </w:r>
    </w:p>
    <w:p w:rsidRPr="00391600" w:rsidR="00A93086" w:rsidRDefault="17B97544" w14:paraId="08211CE1" w14:textId="0BF25EC9">
      <w:pPr>
        <w:spacing w:after="0"/>
        <w:rPr>
          <w:rFonts w:ascii="Palatino Linotype" w:hAnsi="Palatino Linotype"/>
          <w:color w:val="000000" w:themeColor="text1"/>
        </w:rPr>
      </w:pPr>
      <w:r w:rsidRPr="00391600">
        <w:rPr>
          <w:rFonts w:ascii="Palatino Linotype" w:hAnsi="Palatino Linotype"/>
          <w:color w:val="000000" w:themeColor="text1"/>
        </w:rPr>
        <w:t xml:space="preserve">The simple, ministerial Tier 1 AL mechanism is commonly utilized by the Commission to support Commission oversight by promoting complete, reliable accounting </w:t>
      </w:r>
      <w:r w:rsidRPr="00391600" w:rsidR="431E8C0C">
        <w:rPr>
          <w:rFonts w:ascii="Palatino Linotype" w:hAnsi="Palatino Linotype"/>
          <w:color w:val="000000" w:themeColor="text1"/>
        </w:rPr>
        <w:t xml:space="preserve">and </w:t>
      </w:r>
      <w:r w:rsidRPr="00391600" w:rsidR="431E8C0C">
        <w:rPr>
          <w:rFonts w:ascii="Palatino Linotype" w:hAnsi="Palatino Linotype"/>
          <w:color w:val="000000" w:themeColor="text1"/>
        </w:rPr>
        <w:lastRenderedPageBreak/>
        <w:t xml:space="preserve">records </w:t>
      </w:r>
      <w:r w:rsidRPr="00391600">
        <w:rPr>
          <w:rFonts w:ascii="Palatino Linotype" w:hAnsi="Palatino Linotype"/>
          <w:color w:val="000000" w:themeColor="text1"/>
        </w:rPr>
        <w:t>practices</w:t>
      </w:r>
      <w:r w:rsidRPr="00391600" w:rsidR="2EE631FA">
        <w:rPr>
          <w:rFonts w:ascii="Palatino Linotype" w:hAnsi="Palatino Linotype"/>
          <w:color w:val="000000" w:themeColor="text1"/>
        </w:rPr>
        <w:t xml:space="preserve"> over time</w:t>
      </w:r>
      <w:r w:rsidRPr="00391600">
        <w:rPr>
          <w:rFonts w:ascii="Palatino Linotype" w:hAnsi="Palatino Linotype"/>
          <w:color w:val="000000" w:themeColor="text1"/>
        </w:rPr>
        <w:t xml:space="preserve">. The Commission </w:t>
      </w:r>
      <w:r w:rsidRPr="00391600" w:rsidR="65011603">
        <w:rPr>
          <w:rFonts w:ascii="Palatino Linotype" w:hAnsi="Palatino Linotype"/>
          <w:color w:val="000000" w:themeColor="text1"/>
        </w:rPr>
        <w:t xml:space="preserve">uses ALs </w:t>
      </w:r>
      <w:r w:rsidRPr="00391600">
        <w:rPr>
          <w:rFonts w:ascii="Palatino Linotype" w:hAnsi="Palatino Linotype"/>
          <w:color w:val="000000" w:themeColor="text1"/>
        </w:rPr>
        <w:t xml:space="preserve">to aid in creating a standardized, transparent </w:t>
      </w:r>
      <w:r w:rsidRPr="00391600" w:rsidR="758665E4">
        <w:rPr>
          <w:rFonts w:ascii="Palatino Linotype" w:hAnsi="Palatino Linotype"/>
          <w:color w:val="000000" w:themeColor="text1"/>
        </w:rPr>
        <w:t xml:space="preserve">communication </w:t>
      </w:r>
      <w:r w:rsidRPr="00391600">
        <w:rPr>
          <w:rFonts w:ascii="Palatino Linotype" w:hAnsi="Palatino Linotype"/>
          <w:color w:val="000000" w:themeColor="text1"/>
        </w:rPr>
        <w:t xml:space="preserve">process for the </w:t>
      </w:r>
      <w:r w:rsidRPr="00391600" w:rsidR="758665E4">
        <w:rPr>
          <w:rFonts w:ascii="Palatino Linotype" w:hAnsi="Palatino Linotype"/>
          <w:color w:val="000000" w:themeColor="text1"/>
        </w:rPr>
        <w:t xml:space="preserve">accountability </w:t>
      </w:r>
      <w:r w:rsidRPr="00391600">
        <w:rPr>
          <w:rFonts w:ascii="Palatino Linotype" w:hAnsi="Palatino Linotype"/>
          <w:color w:val="000000" w:themeColor="text1"/>
        </w:rPr>
        <w:t>of ratepayer funds</w:t>
      </w:r>
      <w:r w:rsidRPr="00391600" w:rsidR="1C1999E8">
        <w:rPr>
          <w:rFonts w:ascii="Palatino Linotype" w:hAnsi="Palatino Linotype"/>
          <w:color w:val="000000" w:themeColor="text1"/>
        </w:rPr>
        <w:t xml:space="preserve"> intended</w:t>
      </w:r>
      <w:r w:rsidRPr="00391600">
        <w:rPr>
          <w:rFonts w:ascii="Palatino Linotype" w:hAnsi="Palatino Linotype"/>
          <w:color w:val="000000" w:themeColor="text1"/>
        </w:rPr>
        <w:t xml:space="preserve"> to align with the CEC’s standard</w:t>
      </w:r>
      <w:r w:rsidRPr="00391600" w:rsidR="40489E9D">
        <w:rPr>
          <w:rFonts w:ascii="Palatino Linotype" w:hAnsi="Palatino Linotype"/>
          <w:color w:val="000000" w:themeColor="text1"/>
        </w:rPr>
        <w:t>, existing</w:t>
      </w:r>
      <w:r w:rsidRPr="00391600">
        <w:rPr>
          <w:rFonts w:ascii="Palatino Linotype" w:hAnsi="Palatino Linotype"/>
          <w:color w:val="000000" w:themeColor="text1"/>
        </w:rPr>
        <w:t xml:space="preserve"> administrative processes</w:t>
      </w:r>
      <w:r w:rsidRPr="00391600" w:rsidR="1D719644">
        <w:rPr>
          <w:rFonts w:ascii="Palatino Linotype" w:hAnsi="Palatino Linotype"/>
          <w:color w:val="000000" w:themeColor="text1"/>
        </w:rPr>
        <w:t xml:space="preserve"> </w:t>
      </w:r>
      <w:r w:rsidRPr="00391600" w:rsidR="40DB6FC5">
        <w:rPr>
          <w:rFonts w:ascii="Palatino Linotype" w:hAnsi="Palatino Linotype"/>
          <w:color w:val="000000" w:themeColor="text1"/>
        </w:rPr>
        <w:t>for</w:t>
      </w:r>
      <w:r w:rsidRPr="00391600" w:rsidR="1D719644">
        <w:rPr>
          <w:rFonts w:ascii="Palatino Linotype" w:hAnsi="Palatino Linotype"/>
          <w:color w:val="000000" w:themeColor="text1"/>
        </w:rPr>
        <w:t xml:space="preserve"> track</w:t>
      </w:r>
      <w:r w:rsidRPr="00391600" w:rsidR="40DB6FC5">
        <w:rPr>
          <w:rFonts w:ascii="Palatino Linotype" w:hAnsi="Palatino Linotype"/>
          <w:color w:val="000000" w:themeColor="text1"/>
        </w:rPr>
        <w:t>ing</w:t>
      </w:r>
      <w:r w:rsidRPr="00391600" w:rsidR="1D719644">
        <w:rPr>
          <w:rFonts w:ascii="Palatino Linotype" w:hAnsi="Palatino Linotype"/>
          <w:color w:val="000000" w:themeColor="text1"/>
        </w:rPr>
        <w:t xml:space="preserve"> ratepayer funds</w:t>
      </w:r>
      <w:r w:rsidRPr="00391600" w:rsidR="45F805C1">
        <w:rPr>
          <w:rFonts w:ascii="Palatino Linotype" w:hAnsi="Palatino Linotype"/>
          <w:color w:val="000000" w:themeColor="text1"/>
        </w:rPr>
        <w:t xml:space="preserve">. </w:t>
      </w:r>
      <w:r w:rsidRPr="00391600" w:rsidR="2F4FA775">
        <w:rPr>
          <w:rFonts w:ascii="Palatino Linotype" w:hAnsi="Palatino Linotype"/>
          <w:color w:val="000000" w:themeColor="text1"/>
        </w:rPr>
        <w:t>Because the Gas RD&amp;D administrator is expected to track this information</w:t>
      </w:r>
      <w:r w:rsidRPr="00391600" w:rsidR="06807C71">
        <w:rPr>
          <w:rFonts w:ascii="Palatino Linotype" w:hAnsi="Palatino Linotype"/>
          <w:color w:val="000000" w:themeColor="text1"/>
        </w:rPr>
        <w:t xml:space="preserve"> on an ongoing basis, such information-sharing </w:t>
      </w:r>
      <w:r w:rsidRPr="00391600" w:rsidR="6C7F5D8F">
        <w:rPr>
          <w:rFonts w:ascii="Palatino Linotype" w:hAnsi="Palatino Linotype"/>
          <w:color w:val="000000" w:themeColor="text1"/>
        </w:rPr>
        <w:t>to support the</w:t>
      </w:r>
      <w:r w:rsidRPr="00391600" w:rsidR="06807C71">
        <w:rPr>
          <w:rFonts w:ascii="Palatino Linotype" w:hAnsi="Palatino Linotype"/>
          <w:color w:val="000000" w:themeColor="text1"/>
        </w:rPr>
        <w:t xml:space="preserve"> </w:t>
      </w:r>
      <w:r w:rsidRPr="00391600" w:rsidR="478B2976">
        <w:rPr>
          <w:rFonts w:ascii="Palatino Linotype" w:hAnsi="Palatino Linotype"/>
          <w:color w:val="000000" w:themeColor="text1"/>
        </w:rPr>
        <w:t>Commission</w:t>
      </w:r>
      <w:r w:rsidRPr="00391600" w:rsidR="06807C71">
        <w:rPr>
          <w:rFonts w:ascii="Palatino Linotype" w:hAnsi="Palatino Linotype"/>
          <w:color w:val="000000" w:themeColor="text1"/>
        </w:rPr>
        <w:t xml:space="preserve"> </w:t>
      </w:r>
      <w:r w:rsidRPr="00391600" w:rsidR="6C7F5D8F">
        <w:rPr>
          <w:rFonts w:ascii="Palatino Linotype" w:hAnsi="Palatino Linotype"/>
          <w:color w:val="000000" w:themeColor="text1"/>
        </w:rPr>
        <w:t>in</w:t>
      </w:r>
      <w:r w:rsidRPr="00391600" w:rsidR="06807C71">
        <w:rPr>
          <w:rFonts w:ascii="Palatino Linotype" w:hAnsi="Palatino Linotype"/>
          <w:color w:val="000000" w:themeColor="text1"/>
        </w:rPr>
        <w:t xml:space="preserve"> its oversight role should </w:t>
      </w:r>
      <w:r w:rsidRPr="00391600" w:rsidR="01D8BFF7">
        <w:rPr>
          <w:rFonts w:ascii="Palatino Linotype" w:hAnsi="Palatino Linotype"/>
          <w:color w:val="000000" w:themeColor="text1"/>
        </w:rPr>
        <w:t xml:space="preserve">be readily available and, thus, </w:t>
      </w:r>
      <w:r w:rsidRPr="00391600" w:rsidR="06807C71">
        <w:rPr>
          <w:rFonts w:ascii="Palatino Linotype" w:hAnsi="Palatino Linotype"/>
          <w:color w:val="000000" w:themeColor="text1"/>
        </w:rPr>
        <w:t xml:space="preserve">not an </w:t>
      </w:r>
      <w:r w:rsidRPr="00391600" w:rsidR="478B2976">
        <w:rPr>
          <w:rFonts w:ascii="Palatino Linotype" w:hAnsi="Palatino Linotype"/>
          <w:color w:val="000000" w:themeColor="text1"/>
        </w:rPr>
        <w:t xml:space="preserve">administrative burden, but </w:t>
      </w:r>
      <w:r w:rsidRPr="00391600" w:rsidR="6C7F5D8F">
        <w:rPr>
          <w:rFonts w:ascii="Palatino Linotype" w:hAnsi="Palatino Linotype"/>
          <w:color w:val="000000" w:themeColor="text1"/>
        </w:rPr>
        <w:t xml:space="preserve">an </w:t>
      </w:r>
      <w:r w:rsidRPr="00391600" w:rsidR="478B2976">
        <w:rPr>
          <w:rFonts w:ascii="Palatino Linotype" w:hAnsi="Palatino Linotype"/>
          <w:color w:val="000000" w:themeColor="text1"/>
        </w:rPr>
        <w:t xml:space="preserve">inherent </w:t>
      </w:r>
      <w:r w:rsidRPr="00391600" w:rsidR="6C7F5D8F">
        <w:rPr>
          <w:rFonts w:ascii="Palatino Linotype" w:hAnsi="Palatino Linotype"/>
          <w:color w:val="000000" w:themeColor="text1"/>
        </w:rPr>
        <w:t>component of</w:t>
      </w:r>
      <w:r w:rsidRPr="00391600" w:rsidR="478B2976">
        <w:rPr>
          <w:rFonts w:ascii="Palatino Linotype" w:hAnsi="Palatino Linotype"/>
          <w:color w:val="000000" w:themeColor="text1"/>
        </w:rPr>
        <w:t xml:space="preserve"> the administrative process. </w:t>
      </w:r>
      <w:r w:rsidRPr="00391600">
        <w:rPr>
          <w:rFonts w:ascii="Palatino Linotype" w:hAnsi="Palatino Linotype"/>
          <w:color w:val="000000" w:themeColor="text1"/>
        </w:rPr>
        <w:t xml:space="preserve"> See further discussion below on Tier 1 AL requirements</w:t>
      </w:r>
      <w:r w:rsidRPr="00391600" w:rsidR="00C558A2">
        <w:rPr>
          <w:rFonts w:ascii="Palatino Linotype" w:hAnsi="Palatino Linotype"/>
          <w:color w:val="000000" w:themeColor="text1"/>
        </w:rPr>
        <w:t xml:space="preserve">, including how this Resolution was </w:t>
      </w:r>
      <w:r w:rsidRPr="00391600" w:rsidR="00936FF9">
        <w:rPr>
          <w:rFonts w:ascii="Palatino Linotype" w:hAnsi="Palatino Linotype"/>
          <w:color w:val="000000" w:themeColor="text1"/>
        </w:rPr>
        <w:t>modified</w:t>
      </w:r>
      <w:r w:rsidRPr="00391600" w:rsidR="00C558A2">
        <w:rPr>
          <w:rFonts w:ascii="Palatino Linotype" w:hAnsi="Palatino Linotype"/>
          <w:color w:val="000000" w:themeColor="text1"/>
        </w:rPr>
        <w:t xml:space="preserve"> to further justify th</w:t>
      </w:r>
      <w:r w:rsidRPr="00391600" w:rsidR="00B11DFA">
        <w:rPr>
          <w:rFonts w:ascii="Palatino Linotype" w:hAnsi="Palatino Linotype"/>
          <w:color w:val="000000" w:themeColor="text1"/>
        </w:rPr>
        <w:t xml:space="preserve">ese processes or </w:t>
      </w:r>
      <w:r w:rsidRPr="00391600" w:rsidR="000F5CDC">
        <w:rPr>
          <w:rFonts w:ascii="Palatino Linotype" w:hAnsi="Palatino Linotype"/>
          <w:color w:val="000000" w:themeColor="text1"/>
        </w:rPr>
        <w:t>re</w:t>
      </w:r>
      <w:r w:rsidRPr="00391600" w:rsidR="00936FF9">
        <w:rPr>
          <w:rFonts w:ascii="Palatino Linotype" w:hAnsi="Palatino Linotype"/>
          <w:color w:val="000000" w:themeColor="text1"/>
        </w:rPr>
        <w:t>vise requirements to address the CEC’s comments.</w:t>
      </w:r>
    </w:p>
    <w:p w:rsidRPr="00391600" w:rsidR="008613CF" w:rsidP="008613CF" w:rsidRDefault="008613CF" w14:paraId="5C310C17" w14:textId="77777777">
      <w:pPr>
        <w:spacing w:after="0"/>
        <w:rPr>
          <w:rFonts w:ascii="Palatino Linotype" w:hAnsi="Palatino Linotype"/>
          <w:color w:val="000000" w:themeColor="text1"/>
        </w:rPr>
      </w:pPr>
    </w:p>
    <w:p w:rsidRPr="00391600" w:rsidR="00A93086" w:rsidP="281B4A3F" w:rsidRDefault="00951047" w14:paraId="795D909E" w14:textId="751A9237">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7315AB">
        <w:rPr>
          <w:rFonts w:ascii="Palatino Linotype" w:hAnsi="Palatino Linotype"/>
          <w:b/>
          <w:bCs/>
          <w:color w:val="000000" w:themeColor="text1"/>
        </w:rPr>
        <w:t xml:space="preserve">Regular Reporting </w:t>
      </w:r>
      <w:r w:rsidRPr="00391600" w:rsidR="001F0BE5">
        <w:rPr>
          <w:rFonts w:ascii="Palatino Linotype" w:hAnsi="Palatino Linotype"/>
          <w:b/>
          <w:bCs/>
          <w:color w:val="000000" w:themeColor="text1"/>
        </w:rPr>
        <w:t>on Fund Balances.</w:t>
      </w:r>
    </w:p>
    <w:p w:rsidRPr="00391600" w:rsidR="00A93086" w:rsidP="00852C71" w:rsidRDefault="00E3696C" w14:paraId="2F1DBAF0" w14:textId="0EEE2498">
      <w:pPr>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recommend</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w:t>
      </w:r>
      <w:r w:rsidRPr="00391600" w:rsidR="17B97544">
        <w:rPr>
          <w:rFonts w:ascii="Palatino Linotype" w:hAnsi="Palatino Linotype"/>
        </w:rPr>
        <w:t>“[rejecting] quarterly funding data ALs; annual reporting already serves this function.</w:t>
      </w:r>
      <w:r w:rsidRPr="00391600" w:rsidR="7A882CDD">
        <w:rPr>
          <w:rFonts w:ascii="Palatino Linotype" w:hAnsi="Palatino Linotype"/>
        </w:rPr>
        <w:t xml:space="preserve">” The CEC argues that </w:t>
      </w:r>
      <w:r w:rsidRPr="00391600" w:rsidR="7BC83E7E">
        <w:rPr>
          <w:rFonts w:ascii="Palatino Linotype" w:hAnsi="Palatino Linotype"/>
        </w:rPr>
        <w:t>r</w:t>
      </w:r>
      <w:r w:rsidRPr="00391600" w:rsidR="17B97544">
        <w:rPr>
          <w:rFonts w:ascii="Palatino Linotype" w:hAnsi="Palatino Linotype"/>
        </w:rPr>
        <w:t>equiring this data to be submitted through</w:t>
      </w:r>
      <w:r w:rsidRPr="00391600" w:rsidR="7351C50C">
        <w:rPr>
          <w:rFonts w:ascii="Palatino Linotype" w:hAnsi="Palatino Linotype"/>
        </w:rPr>
        <w:t xml:space="preserve"> both a quarterly process and </w:t>
      </w:r>
      <w:r w:rsidRPr="00391600" w:rsidR="00BA0CEE">
        <w:rPr>
          <w:rFonts w:ascii="Palatino Linotype" w:hAnsi="Palatino Linotype"/>
        </w:rPr>
        <w:t xml:space="preserve">in </w:t>
      </w:r>
      <w:r w:rsidRPr="00391600" w:rsidR="00E87C6C">
        <w:rPr>
          <w:rFonts w:ascii="Palatino Linotype" w:hAnsi="Palatino Linotype"/>
        </w:rPr>
        <w:t>A</w:t>
      </w:r>
      <w:r w:rsidRPr="00391600" w:rsidR="7351C50C">
        <w:rPr>
          <w:rFonts w:ascii="Palatino Linotype" w:hAnsi="Palatino Linotype"/>
        </w:rPr>
        <w:t xml:space="preserve">nnual </w:t>
      </w:r>
      <w:r w:rsidRPr="00391600" w:rsidR="00E87C6C">
        <w:rPr>
          <w:rFonts w:ascii="Palatino Linotype" w:hAnsi="Palatino Linotype"/>
        </w:rPr>
        <w:t>R</w:t>
      </w:r>
      <w:r w:rsidRPr="00391600" w:rsidR="7351C50C">
        <w:rPr>
          <w:rFonts w:ascii="Palatino Linotype" w:hAnsi="Palatino Linotype"/>
        </w:rPr>
        <w:t>eport</w:t>
      </w:r>
      <w:r w:rsidRPr="00391600" w:rsidR="00BA0CEE">
        <w:rPr>
          <w:rFonts w:ascii="Palatino Linotype" w:hAnsi="Palatino Linotype"/>
        </w:rPr>
        <w:t>s</w:t>
      </w:r>
      <w:r w:rsidRPr="00391600" w:rsidR="17B97544">
        <w:rPr>
          <w:rFonts w:ascii="Palatino Linotype" w:hAnsi="Palatino Linotype"/>
        </w:rPr>
        <w:t xml:space="preserve"> is unnecessary and inefficient</w:t>
      </w:r>
      <w:r w:rsidRPr="00391600" w:rsidR="00A123E9">
        <w:rPr>
          <w:rFonts w:ascii="Palatino Linotype" w:hAnsi="Palatino Linotype"/>
        </w:rPr>
        <w:t xml:space="preserve"> and</w:t>
      </w:r>
      <w:r w:rsidRPr="00391600" w:rsidR="17B97544">
        <w:rPr>
          <w:rFonts w:ascii="Palatino Linotype" w:hAnsi="Palatino Linotype"/>
        </w:rPr>
        <w:t xml:space="preserve"> </w:t>
      </w:r>
      <w:r w:rsidRPr="00391600" w:rsidR="51D24A23">
        <w:rPr>
          <w:rFonts w:ascii="Palatino Linotype" w:hAnsi="Palatino Linotype"/>
        </w:rPr>
        <w:t xml:space="preserve">that the </w:t>
      </w:r>
      <w:r w:rsidRPr="00391600" w:rsidR="17B97544">
        <w:rPr>
          <w:rFonts w:ascii="Palatino Linotype" w:hAnsi="Palatino Linotype"/>
        </w:rPr>
        <w:t>CPUC has not provided a clear rationale</w:t>
      </w:r>
      <w:r w:rsidRPr="00391600" w:rsidR="0043544B">
        <w:rPr>
          <w:rFonts w:ascii="Palatino Linotype" w:hAnsi="Palatino Linotype"/>
        </w:rPr>
        <w:t>.</w:t>
      </w:r>
      <w:r w:rsidRPr="00391600" w:rsidR="0043544B">
        <w:rPr>
          <w:rStyle w:val="FootnoteReference"/>
          <w:rFonts w:ascii="Palatino Linotype" w:hAnsi="Palatino Linotype"/>
          <w:color w:val="000000" w:themeColor="text1"/>
        </w:rPr>
        <w:footnoteReference w:id="147"/>
      </w:r>
    </w:p>
    <w:p w:rsidRPr="00391600" w:rsidR="00A93086" w:rsidP="008613CF" w:rsidRDefault="17B97544" w14:paraId="35C87BD4" w14:textId="073C8518">
      <w:pPr>
        <w:spacing w:after="0"/>
        <w:rPr>
          <w:rFonts w:ascii="Palatino Linotype" w:hAnsi="Palatino Linotype"/>
          <w:color w:val="000000" w:themeColor="text1"/>
        </w:rPr>
      </w:pPr>
      <w:r w:rsidRPr="00391600">
        <w:rPr>
          <w:rFonts w:ascii="Palatino Linotype" w:hAnsi="Palatino Linotype"/>
          <w:color w:val="000000" w:themeColor="text1"/>
        </w:rPr>
        <w:t xml:space="preserve">The data </w:t>
      </w:r>
      <w:r w:rsidRPr="00391600" w:rsidR="008F6576">
        <w:rPr>
          <w:rFonts w:ascii="Palatino Linotype" w:hAnsi="Palatino Linotype"/>
          <w:color w:val="000000" w:themeColor="text1"/>
        </w:rPr>
        <w:t xml:space="preserve">currently </w:t>
      </w:r>
      <w:r w:rsidRPr="00391600">
        <w:rPr>
          <w:rFonts w:ascii="Palatino Linotype" w:hAnsi="Palatino Linotype"/>
          <w:color w:val="000000" w:themeColor="text1"/>
        </w:rPr>
        <w:t xml:space="preserve">provided by the CEC in its Annual Plans and Reports are several months out of date by the time they are submitted to the Commission due to </w:t>
      </w:r>
      <w:r w:rsidRPr="00391600" w:rsidR="6B328155">
        <w:rPr>
          <w:rFonts w:ascii="Palatino Linotype" w:hAnsi="Palatino Linotype"/>
          <w:color w:val="000000" w:themeColor="text1"/>
        </w:rPr>
        <w:t xml:space="preserve">various </w:t>
      </w:r>
      <w:r w:rsidRPr="00391600">
        <w:rPr>
          <w:rFonts w:ascii="Palatino Linotype" w:hAnsi="Palatino Linotype"/>
          <w:color w:val="000000" w:themeColor="text1"/>
        </w:rPr>
        <w:t>approval processes</w:t>
      </w:r>
      <w:r w:rsidRPr="00391600" w:rsidR="00D32588">
        <w:rPr>
          <w:rFonts w:ascii="Palatino Linotype" w:hAnsi="Palatino Linotype"/>
          <w:color w:val="000000" w:themeColor="text1"/>
        </w:rPr>
        <w:t xml:space="preserve">, which </w:t>
      </w:r>
      <w:proofErr w:type="gramStart"/>
      <w:r w:rsidRPr="00391600" w:rsidR="008F6576">
        <w:rPr>
          <w:rFonts w:ascii="Palatino Linotype" w:hAnsi="Palatino Linotype"/>
          <w:color w:val="000000" w:themeColor="text1"/>
        </w:rPr>
        <w:t>inhibits</w:t>
      </w:r>
      <w:proofErr w:type="gramEnd"/>
      <w:r w:rsidRPr="00391600" w:rsidR="008F6576">
        <w:rPr>
          <w:rFonts w:ascii="Palatino Linotype" w:hAnsi="Palatino Linotype"/>
          <w:color w:val="000000" w:themeColor="text1"/>
        </w:rPr>
        <w:t xml:space="preserve"> </w:t>
      </w:r>
      <w:r w:rsidRPr="00391600" w:rsidR="00D32588">
        <w:rPr>
          <w:rFonts w:ascii="Palatino Linotype" w:hAnsi="Palatino Linotype"/>
          <w:color w:val="000000" w:themeColor="text1"/>
        </w:rPr>
        <w:t xml:space="preserve">effective </w:t>
      </w:r>
      <w:r w:rsidRPr="00391600" w:rsidR="4499C117">
        <w:rPr>
          <w:rFonts w:ascii="Palatino Linotype" w:hAnsi="Palatino Linotype"/>
          <w:color w:val="000000" w:themeColor="text1"/>
        </w:rPr>
        <w:t xml:space="preserve">program </w:t>
      </w:r>
      <w:r w:rsidRPr="00391600" w:rsidR="7416A557">
        <w:rPr>
          <w:rFonts w:ascii="Palatino Linotype" w:hAnsi="Palatino Linotype"/>
          <w:color w:val="000000" w:themeColor="text1"/>
        </w:rPr>
        <w:t>tracking</w:t>
      </w:r>
      <w:r w:rsidRPr="00391600" w:rsidR="4499C117">
        <w:rPr>
          <w:rFonts w:ascii="Palatino Linotype" w:hAnsi="Palatino Linotype"/>
          <w:color w:val="000000" w:themeColor="text1"/>
        </w:rPr>
        <w:t>.</w:t>
      </w:r>
      <w:r w:rsidRPr="00391600">
        <w:rPr>
          <w:rFonts w:ascii="Palatino Linotype" w:hAnsi="Palatino Linotype"/>
          <w:color w:val="000000" w:themeColor="text1"/>
        </w:rPr>
        <w:t xml:space="preserve"> </w:t>
      </w:r>
      <w:r w:rsidRPr="00391600" w:rsidR="1B90A08D">
        <w:rPr>
          <w:rFonts w:ascii="Palatino Linotype" w:hAnsi="Palatino Linotype"/>
          <w:color w:val="000000" w:themeColor="text1"/>
        </w:rPr>
        <w:t>In response to comments,</w:t>
      </w:r>
      <w:r w:rsidRPr="00391600">
        <w:rPr>
          <w:rFonts w:ascii="Palatino Linotype" w:hAnsi="Palatino Linotype"/>
          <w:color w:val="000000" w:themeColor="text1"/>
        </w:rPr>
        <w:t xml:space="preserve"> </w:t>
      </w:r>
      <w:r w:rsidRPr="00391600" w:rsidR="790C8042">
        <w:rPr>
          <w:rFonts w:ascii="Palatino Linotype" w:hAnsi="Palatino Linotype"/>
          <w:color w:val="000000" w:themeColor="text1"/>
        </w:rPr>
        <w:t>t</w:t>
      </w:r>
      <w:r w:rsidRPr="00391600">
        <w:rPr>
          <w:rFonts w:ascii="Palatino Linotype" w:hAnsi="Palatino Linotype"/>
          <w:color w:val="000000" w:themeColor="text1"/>
        </w:rPr>
        <w:t>his Resolution</w:t>
      </w:r>
      <w:r w:rsidRPr="00391600" w:rsidR="7A4D3E2F">
        <w:rPr>
          <w:rFonts w:ascii="Palatino Linotype" w:hAnsi="Palatino Linotype"/>
          <w:color w:val="000000" w:themeColor="text1"/>
        </w:rPr>
        <w:t xml:space="preserve"> </w:t>
      </w:r>
      <w:r w:rsidRPr="00391600">
        <w:rPr>
          <w:rFonts w:ascii="Palatino Linotype" w:hAnsi="Palatino Linotype"/>
          <w:color w:val="000000" w:themeColor="text1"/>
        </w:rPr>
        <w:t xml:space="preserve">has been modified to require regular </w:t>
      </w:r>
      <w:r w:rsidRPr="00391600" w:rsidR="5188CADD">
        <w:rPr>
          <w:rFonts w:ascii="Palatino Linotype" w:hAnsi="Palatino Linotype"/>
          <w:color w:val="000000" w:themeColor="text1"/>
        </w:rPr>
        <w:t xml:space="preserve">budget </w:t>
      </w:r>
      <w:r w:rsidRPr="00391600">
        <w:rPr>
          <w:rFonts w:ascii="Palatino Linotype" w:hAnsi="Palatino Linotype"/>
          <w:color w:val="000000" w:themeColor="text1"/>
        </w:rPr>
        <w:t xml:space="preserve">reporting </w:t>
      </w:r>
      <w:r w:rsidRPr="00391600" w:rsidR="16354F12">
        <w:rPr>
          <w:rFonts w:ascii="Palatino Linotype" w:hAnsi="Palatino Linotype"/>
          <w:color w:val="000000" w:themeColor="text1"/>
        </w:rPr>
        <w:t xml:space="preserve">only </w:t>
      </w:r>
      <w:r w:rsidRPr="00391600">
        <w:rPr>
          <w:rFonts w:ascii="Palatino Linotype" w:hAnsi="Palatino Linotype"/>
          <w:color w:val="000000" w:themeColor="text1"/>
        </w:rPr>
        <w:t>semi-annually (by January 1</w:t>
      </w:r>
      <w:r w:rsidRPr="00391600" w:rsidR="00D32588">
        <w:rPr>
          <w:rFonts w:ascii="Palatino Linotype" w:hAnsi="Palatino Linotype"/>
          <w:color w:val="000000" w:themeColor="text1"/>
        </w:rPr>
        <w:t>5</w:t>
      </w:r>
      <w:r w:rsidRPr="00391600">
        <w:rPr>
          <w:rFonts w:ascii="Palatino Linotype" w:hAnsi="Palatino Linotype"/>
          <w:color w:val="000000" w:themeColor="text1"/>
        </w:rPr>
        <w:t xml:space="preserve"> and July 1</w:t>
      </w:r>
      <w:r w:rsidRPr="00391600" w:rsidR="00D32588">
        <w:rPr>
          <w:rFonts w:ascii="Palatino Linotype" w:hAnsi="Palatino Linotype"/>
          <w:color w:val="000000" w:themeColor="text1"/>
        </w:rPr>
        <w:t>5</w:t>
      </w:r>
      <w:r w:rsidRPr="00391600">
        <w:rPr>
          <w:rFonts w:ascii="Palatino Linotype" w:hAnsi="Palatino Linotype"/>
          <w:color w:val="000000" w:themeColor="text1"/>
        </w:rPr>
        <w:t>) as opposed to quarterly</w:t>
      </w:r>
      <w:r w:rsidRPr="00391600" w:rsidR="3AAD49DB">
        <w:rPr>
          <w:rFonts w:ascii="Palatino Linotype" w:hAnsi="Palatino Linotype"/>
          <w:color w:val="000000" w:themeColor="text1"/>
        </w:rPr>
        <w:t xml:space="preserve"> per the </w:t>
      </w:r>
      <w:r w:rsidRPr="00391600" w:rsidR="00DB01E6">
        <w:rPr>
          <w:rFonts w:ascii="Palatino Linotype" w:hAnsi="Palatino Linotype"/>
          <w:color w:val="000000" w:themeColor="text1"/>
        </w:rPr>
        <w:t>d</w:t>
      </w:r>
      <w:r w:rsidRPr="00391600" w:rsidR="3AAD49DB">
        <w:rPr>
          <w:rFonts w:ascii="Palatino Linotype" w:hAnsi="Palatino Linotype"/>
          <w:color w:val="000000" w:themeColor="text1"/>
        </w:rPr>
        <w:t>raft Resolution</w:t>
      </w:r>
      <w:r w:rsidRPr="00391600" w:rsidR="39AC68FE">
        <w:rPr>
          <w:rFonts w:ascii="Palatino Linotype" w:hAnsi="Palatino Linotype"/>
          <w:color w:val="000000" w:themeColor="text1"/>
        </w:rPr>
        <w:t>.</w:t>
      </w:r>
      <w:r w:rsidRPr="00391600">
        <w:rPr>
          <w:rFonts w:ascii="Palatino Linotype" w:hAnsi="Palatino Linotype"/>
          <w:color w:val="000000" w:themeColor="text1"/>
        </w:rPr>
        <w:t xml:space="preserve"> </w:t>
      </w:r>
      <w:r w:rsidRPr="00391600" w:rsidR="22BEEEB5">
        <w:rPr>
          <w:rFonts w:ascii="Palatino Linotype" w:hAnsi="Palatino Linotype"/>
          <w:color w:val="000000" w:themeColor="text1"/>
        </w:rPr>
        <w:t>Further, t</w:t>
      </w:r>
      <w:r w:rsidRPr="00391600" w:rsidR="39AC68FE">
        <w:rPr>
          <w:rFonts w:ascii="Palatino Linotype" w:hAnsi="Palatino Linotype"/>
          <w:color w:val="000000" w:themeColor="text1"/>
        </w:rPr>
        <w:t xml:space="preserve">his Resolution has been </w:t>
      </w:r>
      <w:r w:rsidRPr="00391600" w:rsidR="00494DE0">
        <w:rPr>
          <w:rFonts w:ascii="Palatino Linotype" w:hAnsi="Palatino Linotype"/>
          <w:color w:val="000000" w:themeColor="text1"/>
        </w:rPr>
        <w:t xml:space="preserve">revised </w:t>
      </w:r>
      <w:r w:rsidRPr="00391600" w:rsidR="39AC68FE">
        <w:rPr>
          <w:rFonts w:ascii="Palatino Linotype" w:hAnsi="Palatino Linotype"/>
          <w:color w:val="000000" w:themeColor="text1"/>
        </w:rPr>
        <w:t xml:space="preserve">to </w:t>
      </w:r>
      <w:r w:rsidRPr="00391600" w:rsidR="00494DE0">
        <w:rPr>
          <w:rFonts w:ascii="Palatino Linotype" w:hAnsi="Palatino Linotype"/>
          <w:color w:val="000000" w:themeColor="text1"/>
        </w:rPr>
        <w:t xml:space="preserve">modify </w:t>
      </w:r>
      <w:r w:rsidRPr="00391600" w:rsidR="00F909A4">
        <w:rPr>
          <w:rFonts w:ascii="Palatino Linotype" w:hAnsi="Palatino Linotype"/>
          <w:color w:val="000000" w:themeColor="text1"/>
        </w:rPr>
        <w:t xml:space="preserve">Commission orders </w:t>
      </w:r>
      <w:r w:rsidRPr="00391600" w:rsidR="003F2BCA">
        <w:rPr>
          <w:rFonts w:ascii="Palatino Linotype" w:hAnsi="Palatino Linotype"/>
          <w:color w:val="000000" w:themeColor="text1"/>
        </w:rPr>
        <w:t>from previous Resolutions</w:t>
      </w:r>
      <w:r w:rsidRPr="00391600" w:rsidR="39AC68FE">
        <w:rPr>
          <w:rFonts w:ascii="Palatino Linotype" w:hAnsi="Palatino Linotype"/>
          <w:color w:val="000000" w:themeColor="text1"/>
        </w:rPr>
        <w:t xml:space="preserve"> to </w:t>
      </w:r>
      <w:r w:rsidRPr="00391600" w:rsidR="0B41D33A">
        <w:rPr>
          <w:rFonts w:ascii="Palatino Linotype" w:hAnsi="Palatino Linotype"/>
          <w:color w:val="000000" w:themeColor="text1"/>
        </w:rPr>
        <w:t xml:space="preserve">no longer require the CEC to </w:t>
      </w:r>
      <w:r w:rsidRPr="00391600" w:rsidR="00B91A90">
        <w:rPr>
          <w:rFonts w:ascii="Palatino Linotype" w:hAnsi="Palatino Linotype"/>
          <w:color w:val="000000" w:themeColor="text1"/>
        </w:rPr>
        <w:t xml:space="preserve">provide budget reporting </w:t>
      </w:r>
      <w:r w:rsidRPr="00391600" w:rsidR="22BEEEB5">
        <w:rPr>
          <w:rFonts w:ascii="Palatino Linotype" w:hAnsi="Palatino Linotype"/>
          <w:color w:val="000000" w:themeColor="text1"/>
        </w:rPr>
        <w:t>in Annual Plans</w:t>
      </w:r>
      <w:r w:rsidRPr="00391600" w:rsidR="00EA25C3">
        <w:rPr>
          <w:rStyle w:val="FootnoteReference"/>
          <w:rFonts w:ascii="Palatino Linotype" w:hAnsi="Palatino Linotype"/>
          <w:color w:val="000000" w:themeColor="text1"/>
        </w:rPr>
        <w:footnoteReference w:id="148"/>
      </w:r>
      <w:r w:rsidRPr="00391600" w:rsidR="516D9BED">
        <w:rPr>
          <w:rFonts w:ascii="Palatino Linotype" w:hAnsi="Palatino Linotype"/>
          <w:color w:val="000000" w:themeColor="text1"/>
        </w:rPr>
        <w:t xml:space="preserve"> </w:t>
      </w:r>
      <w:r w:rsidRPr="00391600" w:rsidR="003B4349">
        <w:rPr>
          <w:rFonts w:ascii="Palatino Linotype" w:hAnsi="Palatino Linotype"/>
          <w:color w:val="000000" w:themeColor="text1"/>
        </w:rPr>
        <w:t xml:space="preserve">given </w:t>
      </w:r>
      <w:r w:rsidRPr="00391600" w:rsidR="24072059">
        <w:rPr>
          <w:rFonts w:ascii="Palatino Linotype" w:hAnsi="Palatino Linotype"/>
          <w:color w:val="000000" w:themeColor="text1"/>
        </w:rPr>
        <w:t>th</w:t>
      </w:r>
      <w:r w:rsidRPr="00391600" w:rsidR="727F381F">
        <w:rPr>
          <w:rFonts w:ascii="Palatino Linotype" w:hAnsi="Palatino Linotype"/>
          <w:color w:val="000000" w:themeColor="text1"/>
        </w:rPr>
        <w:t>is information</w:t>
      </w:r>
      <w:r w:rsidRPr="00391600" w:rsidR="516D9BED">
        <w:rPr>
          <w:rFonts w:ascii="Palatino Linotype" w:hAnsi="Palatino Linotype"/>
          <w:color w:val="000000" w:themeColor="text1"/>
        </w:rPr>
        <w:t xml:space="preserve"> will </w:t>
      </w:r>
      <w:r w:rsidRPr="00391600" w:rsidR="003B4349">
        <w:rPr>
          <w:rFonts w:ascii="Palatino Linotype" w:hAnsi="Palatino Linotype"/>
          <w:color w:val="000000" w:themeColor="text1"/>
        </w:rPr>
        <w:t xml:space="preserve">now </w:t>
      </w:r>
      <w:r w:rsidRPr="00391600" w:rsidR="516D9BED">
        <w:rPr>
          <w:rFonts w:ascii="Palatino Linotype" w:hAnsi="Palatino Linotype"/>
          <w:color w:val="000000" w:themeColor="text1"/>
        </w:rPr>
        <w:t>be reported in the semi-annual budget updates</w:t>
      </w:r>
      <w:r w:rsidRPr="00391600" w:rsidR="22BEEEB5">
        <w:rPr>
          <w:rFonts w:ascii="Palatino Linotype" w:hAnsi="Palatino Linotype"/>
          <w:color w:val="000000" w:themeColor="text1"/>
        </w:rPr>
        <w:t xml:space="preserve">. </w:t>
      </w:r>
    </w:p>
    <w:p w:rsidRPr="00391600" w:rsidR="008613CF" w:rsidP="008613CF" w:rsidRDefault="008613CF" w14:paraId="11480874" w14:textId="77777777">
      <w:pPr>
        <w:spacing w:after="0"/>
        <w:rPr>
          <w:rFonts w:ascii="Palatino Linotype" w:hAnsi="Palatino Linotype"/>
          <w:color w:val="000000" w:themeColor="text1"/>
        </w:rPr>
      </w:pPr>
    </w:p>
    <w:p w:rsidRPr="00391600" w:rsidR="00A93086" w:rsidP="281B4A3F" w:rsidRDefault="001F0BE5" w14:paraId="67435592" w14:textId="26303C34">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3C5D5B">
        <w:rPr>
          <w:rFonts w:ascii="Palatino Linotype" w:hAnsi="Palatino Linotype"/>
          <w:b/>
          <w:bCs/>
          <w:color w:val="000000" w:themeColor="text1"/>
        </w:rPr>
        <w:t xml:space="preserve">Consultation Procedures for </w:t>
      </w:r>
      <w:r w:rsidRPr="00391600" w:rsidR="000A7AEB">
        <w:rPr>
          <w:rFonts w:ascii="Palatino Linotype" w:hAnsi="Palatino Linotype"/>
          <w:b/>
          <w:bCs/>
          <w:color w:val="000000" w:themeColor="text1"/>
        </w:rPr>
        <w:t xml:space="preserve">Grant Funding Opportunities (GFOs) and </w:t>
      </w:r>
      <w:r w:rsidRPr="00391600" w:rsidR="003C5D5B">
        <w:rPr>
          <w:rFonts w:ascii="Palatino Linotype" w:hAnsi="Palatino Linotype"/>
          <w:b/>
          <w:bCs/>
          <w:color w:val="000000" w:themeColor="text1"/>
        </w:rPr>
        <w:t>Fund Shifting</w:t>
      </w:r>
      <w:r w:rsidRPr="00391600" w:rsidR="5309EC51">
        <w:rPr>
          <w:rFonts w:ascii="Palatino Linotype" w:hAnsi="Palatino Linotype"/>
          <w:b/>
          <w:bCs/>
          <w:color w:val="000000" w:themeColor="text1"/>
        </w:rPr>
        <w:t>.</w:t>
      </w:r>
    </w:p>
    <w:p w:rsidRPr="00391600" w:rsidR="00A93086" w:rsidP="00A93086" w:rsidRDefault="00E3696C" w14:paraId="1D36AEEA" w14:textId="3C11363C">
      <w:pPr>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w:t>
      </w:r>
      <w:r w:rsidRPr="00391600" w:rsidR="17B97544">
        <w:rPr>
          <w:rFonts w:ascii="Palatino Linotype" w:hAnsi="Palatino Linotype"/>
        </w:rPr>
        <w:t xml:space="preserve">that </w:t>
      </w:r>
      <w:r w:rsidRPr="00391600" w:rsidR="00667A0D">
        <w:rPr>
          <w:rFonts w:ascii="Palatino Linotype" w:hAnsi="Palatino Linotype"/>
        </w:rPr>
        <w:t>the CEC</w:t>
      </w:r>
      <w:r w:rsidRPr="00391600" w:rsidR="17B97544">
        <w:rPr>
          <w:rFonts w:ascii="Palatino Linotype" w:hAnsi="Palatino Linotype"/>
        </w:rPr>
        <w:t xml:space="preserve"> “rarely issues RFPs with Gas R&amp;D Program funds; it primarily issues GFOs.” </w:t>
      </w:r>
      <w:r w:rsidRPr="00391600" w:rsidR="1DC884C1">
        <w:rPr>
          <w:rFonts w:ascii="Palatino Linotype" w:hAnsi="Palatino Linotype"/>
        </w:rPr>
        <w:t>The CEC</w:t>
      </w:r>
      <w:r w:rsidRPr="00391600" w:rsidR="007B5617">
        <w:rPr>
          <w:rFonts w:ascii="Palatino Linotype" w:hAnsi="Palatino Linotype"/>
        </w:rPr>
        <w:t>’s</w:t>
      </w:r>
      <w:r w:rsidRPr="00391600" w:rsidR="1DC884C1">
        <w:rPr>
          <w:rFonts w:ascii="Palatino Linotype" w:hAnsi="Palatino Linotype"/>
        </w:rPr>
        <w:t xml:space="preserve"> comments indicate that it </w:t>
      </w:r>
      <w:r w:rsidRPr="00391600" w:rsidR="17B97544">
        <w:rPr>
          <w:rFonts w:ascii="Palatino Linotype" w:hAnsi="Palatino Linotype"/>
        </w:rPr>
        <w:lastRenderedPageBreak/>
        <w:t>publishes anticipated GFOs on its website, including status, expected release date, estimated funding, and focus.</w:t>
      </w:r>
      <w:r w:rsidRPr="00391600" w:rsidR="2DB1BF06">
        <w:rPr>
          <w:rFonts w:ascii="Palatino Linotype" w:hAnsi="Palatino Linotype"/>
        </w:rPr>
        <w:t xml:space="preserve"> In addition to posting GFOs</w:t>
      </w:r>
      <w:r w:rsidRPr="00391600" w:rsidR="53C63145">
        <w:rPr>
          <w:rFonts w:ascii="Palatino Linotype" w:hAnsi="Palatino Linotype"/>
        </w:rPr>
        <w:t xml:space="preserve">, the CEC </w:t>
      </w:r>
      <w:r w:rsidRPr="00391600" w:rsidR="17B97544">
        <w:rPr>
          <w:rFonts w:ascii="Palatino Linotype" w:hAnsi="Palatino Linotype"/>
        </w:rPr>
        <w:t xml:space="preserve">also </w:t>
      </w:r>
      <w:r w:rsidRPr="00391600" w:rsidR="2C37F638">
        <w:rPr>
          <w:rFonts w:ascii="Palatino Linotype" w:hAnsi="Palatino Linotype"/>
        </w:rPr>
        <w:t>“</w:t>
      </w:r>
      <w:r w:rsidRPr="00391600" w:rsidR="17B97544">
        <w:rPr>
          <w:rFonts w:ascii="Palatino Linotype" w:hAnsi="Palatino Linotype"/>
        </w:rPr>
        <w:t xml:space="preserve">publicly posts agreement summaries and a scope of work for any resulting awards before they are considered for approval at a CEC Business Meeting, during which there is a public comment period before Commissioner voting occurs.” The CEC also </w:t>
      </w:r>
      <w:r w:rsidRPr="00391600" w:rsidR="00CF208A">
        <w:rPr>
          <w:rFonts w:ascii="Palatino Linotype" w:hAnsi="Palatino Linotype"/>
        </w:rPr>
        <w:t xml:space="preserve">requests that consultation on </w:t>
      </w:r>
      <w:proofErr w:type="spellStart"/>
      <w:r w:rsidRPr="00391600" w:rsidR="00CF208A">
        <w:rPr>
          <w:rFonts w:ascii="Palatino Linotype" w:hAnsi="Palatino Linotype"/>
        </w:rPr>
        <w:t>fundshifting</w:t>
      </w:r>
      <w:proofErr w:type="spellEnd"/>
      <w:r w:rsidRPr="00391600" w:rsidR="00CF208A">
        <w:rPr>
          <w:rFonts w:ascii="Palatino Linotype" w:hAnsi="Palatino Linotype"/>
        </w:rPr>
        <w:t xml:space="preserve"> </w:t>
      </w:r>
      <w:r w:rsidRPr="00391600" w:rsidR="007142D1">
        <w:rPr>
          <w:rFonts w:ascii="Palatino Linotype" w:hAnsi="Palatino Linotype"/>
        </w:rPr>
        <w:t xml:space="preserve">only be required </w:t>
      </w:r>
      <w:r w:rsidRPr="00391600" w:rsidR="00CF208A">
        <w:rPr>
          <w:rFonts w:ascii="Palatino Linotype" w:hAnsi="Palatino Linotype"/>
        </w:rPr>
        <w:t xml:space="preserve">above a </w:t>
      </w:r>
      <w:r w:rsidRPr="00391600" w:rsidR="003823F7">
        <w:rPr>
          <w:rFonts w:ascii="Palatino Linotype" w:hAnsi="Palatino Linotype"/>
        </w:rPr>
        <w:t>certain threshold</w:t>
      </w:r>
      <w:r w:rsidRPr="00391600" w:rsidR="007142D1">
        <w:rPr>
          <w:rFonts w:ascii="Palatino Linotype" w:hAnsi="Palatino Linotype"/>
        </w:rPr>
        <w:t xml:space="preserve">, as is the practice for EPIC, and requests this threshold be set at </w:t>
      </w:r>
      <w:r w:rsidRPr="00391600" w:rsidR="003823F7">
        <w:rPr>
          <w:rFonts w:ascii="Palatino Linotype" w:hAnsi="Palatino Linotype"/>
        </w:rPr>
        <w:t>40% of the Commission-approved budget.</w:t>
      </w:r>
      <w:r w:rsidRPr="00391600" w:rsidR="007142D1">
        <w:rPr>
          <w:rStyle w:val="FootnoteReference"/>
          <w:rFonts w:ascii="Palatino Linotype" w:hAnsi="Palatino Linotype"/>
          <w:color w:val="000000" w:themeColor="text1"/>
        </w:rPr>
        <w:t xml:space="preserve"> </w:t>
      </w:r>
      <w:r w:rsidRPr="00391600" w:rsidR="007142D1">
        <w:rPr>
          <w:rStyle w:val="FootnoteReference"/>
          <w:rFonts w:ascii="Palatino Linotype" w:hAnsi="Palatino Linotype"/>
          <w:color w:val="000000" w:themeColor="text1"/>
        </w:rPr>
        <w:footnoteReference w:id="149"/>
      </w:r>
    </w:p>
    <w:p w:rsidRPr="00391600" w:rsidR="00E52488" w:rsidP="001B7422" w:rsidRDefault="17B97544" w14:paraId="5FC358FD" w14:textId="598AB270">
      <w:pPr>
        <w:rPr>
          <w:rFonts w:ascii="Palatino Linotype" w:hAnsi="Palatino Linotype"/>
          <w:color w:val="000000" w:themeColor="text1"/>
        </w:rPr>
      </w:pPr>
      <w:r w:rsidRPr="00391600">
        <w:rPr>
          <w:rFonts w:ascii="Palatino Linotype" w:hAnsi="Palatino Linotype"/>
          <w:color w:val="000000" w:themeColor="text1"/>
        </w:rPr>
        <w:t xml:space="preserve">This Resolution </w:t>
      </w:r>
      <w:r w:rsidRPr="00391600" w:rsidR="00197A6A">
        <w:rPr>
          <w:rFonts w:ascii="Palatino Linotype" w:hAnsi="Palatino Linotype"/>
          <w:color w:val="000000" w:themeColor="text1"/>
        </w:rPr>
        <w:t>was</w:t>
      </w:r>
      <w:r w:rsidRPr="00391600">
        <w:rPr>
          <w:rFonts w:ascii="Palatino Linotype" w:hAnsi="Palatino Linotype"/>
          <w:color w:val="000000" w:themeColor="text1"/>
        </w:rPr>
        <w:t xml:space="preserve"> modified to direct the CEC to </w:t>
      </w:r>
      <w:r w:rsidRPr="00391600" w:rsidR="0091073D">
        <w:rPr>
          <w:rFonts w:ascii="Palatino Linotype" w:hAnsi="Palatino Linotype"/>
          <w:color w:val="000000" w:themeColor="text1"/>
        </w:rPr>
        <w:t xml:space="preserve">include requests for </w:t>
      </w:r>
      <w:proofErr w:type="spellStart"/>
      <w:r w:rsidRPr="00391600" w:rsidR="0091073D">
        <w:rPr>
          <w:rFonts w:ascii="Palatino Linotype" w:hAnsi="Palatino Linotype"/>
          <w:color w:val="000000" w:themeColor="text1"/>
        </w:rPr>
        <w:t>fundshifting</w:t>
      </w:r>
      <w:proofErr w:type="spellEnd"/>
      <w:r w:rsidRPr="00391600" w:rsidR="0091073D">
        <w:rPr>
          <w:rFonts w:ascii="Palatino Linotype" w:hAnsi="Palatino Linotype"/>
          <w:color w:val="000000" w:themeColor="text1"/>
        </w:rPr>
        <w:t xml:space="preserve"> between Initiatives within the same Plan</w:t>
      </w:r>
      <w:r w:rsidRPr="00391600" w:rsidR="003E0C45">
        <w:rPr>
          <w:rFonts w:ascii="Palatino Linotype" w:hAnsi="Palatino Linotype"/>
          <w:color w:val="000000" w:themeColor="text1"/>
        </w:rPr>
        <w:t xml:space="preserve"> at or above a 20% threshold of the Commission-approved budget</w:t>
      </w:r>
      <w:r w:rsidRPr="00391600" w:rsidR="006C55E4">
        <w:rPr>
          <w:rFonts w:ascii="Palatino Linotype" w:hAnsi="Palatino Linotype"/>
          <w:color w:val="000000" w:themeColor="text1"/>
        </w:rPr>
        <w:t xml:space="preserve"> in its regular budget reporting required semi-annually via Tier 1 AL</w:t>
      </w:r>
      <w:r w:rsidRPr="00391600" w:rsidR="005439CF">
        <w:rPr>
          <w:rFonts w:ascii="Palatino Linotype" w:hAnsi="Palatino Linotype"/>
          <w:color w:val="000000" w:themeColor="text1"/>
        </w:rPr>
        <w:t>, as opposed to consulting on all fund shifting</w:t>
      </w:r>
      <w:r w:rsidRPr="00391600" w:rsidR="0035765E">
        <w:rPr>
          <w:rFonts w:ascii="Palatino Linotype" w:hAnsi="Palatino Linotype"/>
          <w:color w:val="000000" w:themeColor="text1"/>
        </w:rPr>
        <w:t xml:space="preserve"> via separate Tier 1 ALs as discussed in the </w:t>
      </w:r>
      <w:r w:rsidRPr="00391600" w:rsidR="002665FB">
        <w:rPr>
          <w:rFonts w:ascii="Palatino Linotype" w:hAnsi="Palatino Linotype"/>
          <w:color w:val="000000" w:themeColor="text1"/>
        </w:rPr>
        <w:t>d</w:t>
      </w:r>
      <w:r w:rsidRPr="00391600" w:rsidR="0035765E">
        <w:rPr>
          <w:rFonts w:ascii="Palatino Linotype" w:hAnsi="Palatino Linotype"/>
          <w:color w:val="000000" w:themeColor="text1"/>
        </w:rPr>
        <w:t>raft Resolution.</w:t>
      </w:r>
      <w:r w:rsidRPr="00391600" w:rsidR="009B1995">
        <w:rPr>
          <w:rFonts w:ascii="Palatino Linotype" w:hAnsi="Palatino Linotype"/>
          <w:color w:val="000000" w:themeColor="text1"/>
        </w:rPr>
        <w:t xml:space="preserve"> </w:t>
      </w:r>
      <w:r w:rsidRPr="00391600" w:rsidR="001B7422">
        <w:rPr>
          <w:rFonts w:ascii="Palatino Linotype" w:hAnsi="Palatino Linotype"/>
          <w:color w:val="000000" w:themeColor="text1"/>
        </w:rPr>
        <w:t xml:space="preserve">The threshold is placed higher than the 15% threshold set for EPIC in recognition of the economies of scale the Gas RD&amp;D Program may not experience as compared to the higher funding levels of EPIC. However, the CEC shall reflect in approved fund balance reporting everywhere fund shifting has occurred as described in the </w:t>
      </w:r>
      <w:r w:rsidRPr="00391600" w:rsidR="001B7422">
        <w:rPr>
          <w:rFonts w:ascii="Palatino Linotype" w:hAnsi="Palatino Linotype"/>
          <w:i/>
          <w:iCs/>
          <w:color w:val="000000" w:themeColor="text1"/>
        </w:rPr>
        <w:t xml:space="preserve">Annual Plan Submittal &amp; Approval </w:t>
      </w:r>
      <w:r w:rsidRPr="00391600" w:rsidR="001B7422">
        <w:rPr>
          <w:rFonts w:ascii="Palatino Linotype" w:hAnsi="Palatino Linotype"/>
          <w:color w:val="000000" w:themeColor="text1"/>
        </w:rPr>
        <w:t xml:space="preserve">section of this Resolution. </w:t>
      </w:r>
    </w:p>
    <w:p w:rsidRPr="00391600" w:rsidR="00E52488" w:rsidP="00E52488" w:rsidRDefault="009B1995" w14:paraId="71932447" w14:textId="61E223BF">
      <w:pPr>
        <w:spacing w:after="0"/>
        <w:rPr>
          <w:rFonts w:ascii="Palatino Linotype" w:hAnsi="Palatino Linotype"/>
          <w:color w:val="000000" w:themeColor="text1"/>
        </w:rPr>
      </w:pPr>
      <w:r w:rsidRPr="00391600">
        <w:rPr>
          <w:rFonts w:ascii="Palatino Linotype" w:hAnsi="Palatino Linotype"/>
          <w:color w:val="000000" w:themeColor="text1"/>
        </w:rPr>
        <w:t xml:space="preserve">This Resolution has also been modified to direct the CEC to submit </w:t>
      </w:r>
      <w:r w:rsidRPr="00391600" w:rsidR="005A3661">
        <w:rPr>
          <w:rFonts w:ascii="Palatino Linotype" w:hAnsi="Palatino Linotype"/>
          <w:color w:val="000000" w:themeColor="text1"/>
        </w:rPr>
        <w:t xml:space="preserve">draft </w:t>
      </w:r>
      <w:r w:rsidRPr="00391600" w:rsidR="00256AEF">
        <w:rPr>
          <w:rFonts w:ascii="Palatino Linotype" w:hAnsi="Palatino Linotype"/>
          <w:color w:val="000000" w:themeColor="text1"/>
        </w:rPr>
        <w:t>GFO materials</w:t>
      </w:r>
      <w:r w:rsidRPr="00391600" w:rsidR="00263A83">
        <w:rPr>
          <w:rFonts w:ascii="Palatino Linotype" w:hAnsi="Palatino Linotype"/>
          <w:color w:val="000000" w:themeColor="text1"/>
        </w:rPr>
        <w:t>,</w:t>
      </w:r>
      <w:r w:rsidRPr="00391600" w:rsidR="00256AEF">
        <w:rPr>
          <w:rFonts w:ascii="Palatino Linotype" w:hAnsi="Palatino Linotype"/>
          <w:color w:val="000000" w:themeColor="text1"/>
        </w:rPr>
        <w:t xml:space="preserve"> </w:t>
      </w:r>
      <w:r w:rsidRPr="00391600" w:rsidR="00424342">
        <w:rPr>
          <w:rFonts w:ascii="Palatino Linotype" w:hAnsi="Palatino Linotype"/>
          <w:color w:val="000000" w:themeColor="text1"/>
        </w:rPr>
        <w:t xml:space="preserve">via a letter </w:t>
      </w:r>
      <w:r w:rsidRPr="00391600" w:rsidR="006E1F66">
        <w:rPr>
          <w:rFonts w:ascii="Palatino Linotype" w:hAnsi="Palatino Linotype"/>
          <w:color w:val="000000" w:themeColor="text1"/>
        </w:rPr>
        <w:t xml:space="preserve">directly </w:t>
      </w:r>
      <w:r w:rsidRPr="00391600" w:rsidR="00256AEF">
        <w:rPr>
          <w:rFonts w:ascii="Palatino Linotype" w:hAnsi="Palatino Linotype"/>
          <w:color w:val="000000" w:themeColor="text1"/>
        </w:rPr>
        <w:t xml:space="preserve">to the Energy Division Director, </w:t>
      </w:r>
      <w:r w:rsidRPr="00391600" w:rsidR="002574BF">
        <w:rPr>
          <w:rFonts w:ascii="Palatino Linotype" w:hAnsi="Palatino Linotype"/>
          <w:color w:val="000000" w:themeColor="text1"/>
        </w:rPr>
        <w:t xml:space="preserve">Energy Division </w:t>
      </w:r>
      <w:r w:rsidRPr="00391600" w:rsidR="00256AEF">
        <w:rPr>
          <w:rFonts w:ascii="Palatino Linotype" w:hAnsi="Palatino Linotype"/>
          <w:color w:val="000000" w:themeColor="text1"/>
        </w:rPr>
        <w:t xml:space="preserve">Central Files, and </w:t>
      </w:r>
      <w:r w:rsidRPr="00391600" w:rsidR="0041007D">
        <w:rPr>
          <w:rFonts w:ascii="Palatino Linotype" w:hAnsi="Palatino Linotype"/>
          <w:color w:val="000000" w:themeColor="text1"/>
        </w:rPr>
        <w:t>Staff</w:t>
      </w:r>
      <w:r w:rsidRPr="00391600" w:rsidR="00256AEF">
        <w:rPr>
          <w:rFonts w:ascii="Palatino Linotype" w:hAnsi="Palatino Linotype"/>
          <w:color w:val="000000" w:themeColor="text1"/>
        </w:rPr>
        <w:t xml:space="preserve"> </w:t>
      </w:r>
      <w:r w:rsidRPr="00391600" w:rsidR="00965CF7">
        <w:rPr>
          <w:rFonts w:ascii="Palatino Linotype" w:hAnsi="Palatino Linotype"/>
          <w:color w:val="000000" w:themeColor="text1"/>
        </w:rPr>
        <w:t>including identification of the associated funding Plan year</w:t>
      </w:r>
      <w:r w:rsidRPr="00391600" w:rsidR="004E0121">
        <w:rPr>
          <w:rFonts w:ascii="Palatino Linotype" w:hAnsi="Palatino Linotype"/>
          <w:color w:val="000000" w:themeColor="text1"/>
        </w:rPr>
        <w:t xml:space="preserve"> and Initiative</w:t>
      </w:r>
      <w:r w:rsidRPr="00391600" w:rsidR="006E1F66">
        <w:rPr>
          <w:rFonts w:ascii="Palatino Linotype" w:hAnsi="Palatino Linotype"/>
          <w:color w:val="000000" w:themeColor="text1"/>
        </w:rPr>
        <w:t>.</w:t>
      </w:r>
      <w:r w:rsidRPr="00391600" w:rsidR="00E52488">
        <w:rPr>
          <w:rFonts w:ascii="Palatino Linotype" w:hAnsi="Palatino Linotype"/>
          <w:color w:val="000000" w:themeColor="text1"/>
        </w:rPr>
        <w:t xml:space="preserve"> </w:t>
      </w:r>
      <w:r w:rsidRPr="00391600" w:rsidR="00A50386">
        <w:rPr>
          <w:rFonts w:ascii="Palatino Linotype" w:hAnsi="Palatino Linotype"/>
          <w:color w:val="000000" w:themeColor="text1"/>
        </w:rPr>
        <w:t xml:space="preserve">The letters should </w:t>
      </w:r>
      <w:r w:rsidRPr="00391600" w:rsidR="00A42C96">
        <w:rPr>
          <w:rFonts w:ascii="Palatino Linotype" w:hAnsi="Palatino Linotype"/>
          <w:color w:val="000000" w:themeColor="text1"/>
        </w:rPr>
        <w:t xml:space="preserve">serve to </w:t>
      </w:r>
      <w:r w:rsidRPr="00391600" w:rsidR="00A50386">
        <w:rPr>
          <w:rFonts w:ascii="Palatino Linotype" w:hAnsi="Palatino Linotype"/>
          <w:color w:val="000000" w:themeColor="text1"/>
        </w:rPr>
        <w:t xml:space="preserve">facilitate </w:t>
      </w:r>
      <w:r w:rsidRPr="00391600" w:rsidR="00A42C96">
        <w:rPr>
          <w:rFonts w:ascii="Palatino Linotype" w:hAnsi="Palatino Linotype"/>
          <w:color w:val="000000" w:themeColor="text1"/>
        </w:rPr>
        <w:t xml:space="preserve">coordination </w:t>
      </w:r>
      <w:r w:rsidRPr="00391600" w:rsidR="00F60EAC">
        <w:rPr>
          <w:rFonts w:ascii="Palatino Linotype" w:hAnsi="Palatino Linotype"/>
          <w:color w:val="000000" w:themeColor="text1"/>
        </w:rPr>
        <w:t>consultation</w:t>
      </w:r>
      <w:r w:rsidRPr="00391600" w:rsidR="00A50386">
        <w:rPr>
          <w:rFonts w:ascii="Palatino Linotype" w:hAnsi="Palatino Linotype"/>
          <w:color w:val="000000" w:themeColor="text1"/>
        </w:rPr>
        <w:t xml:space="preserve"> early in </w:t>
      </w:r>
      <w:r w:rsidRPr="00391600" w:rsidR="00FF243A">
        <w:rPr>
          <w:rFonts w:ascii="Palatino Linotype" w:hAnsi="Palatino Linotype"/>
          <w:color w:val="000000" w:themeColor="text1"/>
        </w:rPr>
        <w:t xml:space="preserve">solicitation scoping and concept development </w:t>
      </w:r>
      <w:r w:rsidRPr="00391600" w:rsidR="00983577">
        <w:rPr>
          <w:rFonts w:ascii="Palatino Linotype" w:hAnsi="Palatino Linotype"/>
          <w:color w:val="000000" w:themeColor="text1"/>
        </w:rPr>
        <w:t xml:space="preserve">in addition to </w:t>
      </w:r>
      <w:r w:rsidRPr="00391600" w:rsidR="00D7503D">
        <w:rPr>
          <w:rFonts w:ascii="Palatino Linotype" w:hAnsi="Palatino Linotype"/>
          <w:color w:val="000000" w:themeColor="text1"/>
        </w:rPr>
        <w:t xml:space="preserve">during </w:t>
      </w:r>
      <w:r w:rsidRPr="00391600" w:rsidR="00876B02">
        <w:rPr>
          <w:rFonts w:ascii="Palatino Linotype" w:hAnsi="Palatino Linotype"/>
          <w:color w:val="000000" w:themeColor="text1"/>
        </w:rPr>
        <w:t xml:space="preserve">later </w:t>
      </w:r>
      <w:r w:rsidRPr="00391600" w:rsidR="00FF243A">
        <w:rPr>
          <w:rFonts w:ascii="Palatino Linotype" w:hAnsi="Palatino Linotype"/>
          <w:color w:val="000000" w:themeColor="text1"/>
        </w:rPr>
        <w:t xml:space="preserve">phases involving </w:t>
      </w:r>
      <w:r w:rsidRPr="00391600" w:rsidR="00F673FD">
        <w:rPr>
          <w:rFonts w:ascii="Palatino Linotype" w:hAnsi="Palatino Linotype"/>
          <w:color w:val="000000" w:themeColor="text1"/>
        </w:rPr>
        <w:t>notices of propose</w:t>
      </w:r>
      <w:r w:rsidRPr="00391600" w:rsidR="00D7503D">
        <w:rPr>
          <w:rFonts w:ascii="Palatino Linotype" w:hAnsi="Palatino Linotype"/>
          <w:color w:val="000000" w:themeColor="text1"/>
        </w:rPr>
        <w:t>d</w:t>
      </w:r>
      <w:r w:rsidRPr="00391600" w:rsidR="00F673FD">
        <w:rPr>
          <w:rFonts w:ascii="Palatino Linotype" w:hAnsi="Palatino Linotype"/>
          <w:color w:val="000000" w:themeColor="text1"/>
        </w:rPr>
        <w:t xml:space="preserve"> awards and agreement development</w:t>
      </w:r>
      <w:r w:rsidRPr="00391600" w:rsidR="00D7503D">
        <w:rPr>
          <w:rFonts w:ascii="Palatino Linotype" w:hAnsi="Palatino Linotype"/>
          <w:color w:val="000000" w:themeColor="text1"/>
        </w:rPr>
        <w:t xml:space="preserve"> prior to CEC Business Meeting approval. </w:t>
      </w:r>
      <w:r w:rsidRPr="00391600" w:rsidR="00551154">
        <w:rPr>
          <w:rFonts w:ascii="Palatino Linotype" w:hAnsi="Palatino Linotype"/>
          <w:color w:val="000000" w:themeColor="text1"/>
        </w:rPr>
        <w:t>Given th</w:t>
      </w:r>
      <w:r w:rsidRPr="00391600" w:rsidR="003A72EE">
        <w:rPr>
          <w:rFonts w:ascii="Palatino Linotype" w:hAnsi="Palatino Linotype"/>
          <w:color w:val="000000" w:themeColor="text1"/>
        </w:rPr>
        <w:t>e CEC’s</w:t>
      </w:r>
      <w:r w:rsidRPr="00391600" w:rsidR="00551154">
        <w:rPr>
          <w:rFonts w:ascii="Palatino Linotype" w:hAnsi="Palatino Linotype"/>
          <w:color w:val="000000" w:themeColor="text1"/>
        </w:rPr>
        <w:t xml:space="preserve"> process has commonly </w:t>
      </w:r>
      <w:r w:rsidRPr="00391600" w:rsidR="00047A81">
        <w:rPr>
          <w:rFonts w:ascii="Palatino Linotype" w:hAnsi="Palatino Linotype"/>
          <w:color w:val="000000" w:themeColor="text1"/>
        </w:rPr>
        <w:t>lasted upwards of one year</w:t>
      </w:r>
      <w:r w:rsidRPr="00391600" w:rsidR="009D2F53">
        <w:rPr>
          <w:rFonts w:ascii="Palatino Linotype" w:hAnsi="Palatino Linotype"/>
          <w:color w:val="000000" w:themeColor="text1"/>
        </w:rPr>
        <w:t xml:space="preserve"> from Plan approval</w:t>
      </w:r>
      <w:r w:rsidRPr="00391600" w:rsidR="00047A81">
        <w:rPr>
          <w:rFonts w:ascii="Palatino Linotype" w:hAnsi="Palatino Linotype"/>
          <w:color w:val="000000" w:themeColor="text1"/>
        </w:rPr>
        <w:t xml:space="preserve">, </w:t>
      </w:r>
      <w:r w:rsidRPr="00391600" w:rsidR="00EF4CEA">
        <w:rPr>
          <w:rFonts w:ascii="Palatino Linotype" w:hAnsi="Palatino Linotype"/>
          <w:color w:val="000000" w:themeColor="text1"/>
        </w:rPr>
        <w:t xml:space="preserve">upon CPUC request, </w:t>
      </w:r>
      <w:r w:rsidRPr="00391600" w:rsidR="00047A81">
        <w:rPr>
          <w:rFonts w:ascii="Palatino Linotype" w:hAnsi="Palatino Linotype"/>
          <w:color w:val="000000" w:themeColor="text1"/>
        </w:rPr>
        <w:t xml:space="preserve">the CEC should also explore </w:t>
      </w:r>
      <w:r w:rsidRPr="00391600" w:rsidR="009D2F53">
        <w:rPr>
          <w:rFonts w:ascii="Palatino Linotype" w:hAnsi="Palatino Linotype"/>
          <w:color w:val="000000" w:themeColor="text1"/>
        </w:rPr>
        <w:t xml:space="preserve">memorandums of understanding (MOUs) to </w:t>
      </w:r>
      <w:r w:rsidRPr="00391600" w:rsidR="003A72EE">
        <w:rPr>
          <w:rFonts w:ascii="Palatino Linotype" w:hAnsi="Palatino Linotype"/>
          <w:color w:val="000000" w:themeColor="text1"/>
        </w:rPr>
        <w:t xml:space="preserve">both promote interagency coordination and </w:t>
      </w:r>
      <w:r w:rsidRPr="00391600" w:rsidR="009D2F53">
        <w:rPr>
          <w:rFonts w:ascii="Palatino Linotype" w:hAnsi="Palatino Linotype"/>
          <w:color w:val="000000" w:themeColor="text1"/>
        </w:rPr>
        <w:t>protect confidentiality</w:t>
      </w:r>
      <w:r w:rsidRPr="00391600" w:rsidR="004C356A">
        <w:rPr>
          <w:rFonts w:ascii="Palatino Linotype" w:hAnsi="Palatino Linotype"/>
          <w:color w:val="000000" w:themeColor="text1"/>
        </w:rPr>
        <w:t xml:space="preserve"> </w:t>
      </w:r>
      <w:r w:rsidRPr="00391600" w:rsidR="6A0681DA">
        <w:rPr>
          <w:rFonts w:ascii="Palatino Linotype" w:hAnsi="Palatino Linotype"/>
          <w:color w:val="000000" w:themeColor="text1"/>
        </w:rPr>
        <w:t>as necessary</w:t>
      </w:r>
      <w:r w:rsidRPr="00391600" w:rsidR="003A72EE">
        <w:rPr>
          <w:rFonts w:ascii="Palatino Linotype" w:hAnsi="Palatino Linotype"/>
          <w:color w:val="000000" w:themeColor="text1"/>
        </w:rPr>
        <w:t>.</w:t>
      </w:r>
      <w:r w:rsidRPr="00391600" w:rsidR="6A0681DA">
        <w:rPr>
          <w:rFonts w:ascii="Palatino Linotype" w:hAnsi="Palatino Linotype"/>
          <w:color w:val="000000" w:themeColor="text1"/>
        </w:rPr>
        <w:t xml:space="preserve"> </w:t>
      </w:r>
      <w:r w:rsidRPr="00391600" w:rsidR="00BB5568">
        <w:rPr>
          <w:rFonts w:ascii="Palatino Linotype" w:hAnsi="Palatino Linotype"/>
          <w:color w:val="000000" w:themeColor="text1"/>
        </w:rPr>
        <w:t xml:space="preserve">These should be </w:t>
      </w:r>
      <w:r w:rsidRPr="00391600" w:rsidR="00DC12B1">
        <w:rPr>
          <w:rFonts w:ascii="Palatino Linotype" w:hAnsi="Palatino Linotype"/>
          <w:color w:val="000000" w:themeColor="text1"/>
        </w:rPr>
        <w:t xml:space="preserve">discussed </w:t>
      </w:r>
      <w:r w:rsidRPr="00391600" w:rsidR="00BB5568">
        <w:rPr>
          <w:rFonts w:ascii="Palatino Linotype" w:hAnsi="Palatino Linotype"/>
          <w:color w:val="000000" w:themeColor="text1"/>
        </w:rPr>
        <w:t xml:space="preserve">via direct consultation with CPUC staff during ongoing </w:t>
      </w:r>
      <w:r w:rsidRPr="00391600" w:rsidR="00915A69">
        <w:rPr>
          <w:rFonts w:ascii="Palatino Linotype" w:hAnsi="Palatino Linotype"/>
          <w:color w:val="000000" w:themeColor="text1"/>
        </w:rPr>
        <w:t xml:space="preserve">coordination </w:t>
      </w:r>
      <w:r w:rsidRPr="00391600" w:rsidR="00BB5568">
        <w:rPr>
          <w:rFonts w:ascii="Palatino Linotype" w:hAnsi="Palatino Linotype"/>
          <w:color w:val="000000" w:themeColor="text1"/>
        </w:rPr>
        <w:t xml:space="preserve">meetings. </w:t>
      </w:r>
      <w:r w:rsidRPr="00391600" w:rsidR="00E52488">
        <w:rPr>
          <w:rFonts w:ascii="Palatino Linotype" w:hAnsi="Palatino Linotype"/>
          <w:color w:val="000000" w:themeColor="text1"/>
        </w:rPr>
        <w:t>While the CEC post</w:t>
      </w:r>
      <w:r w:rsidRPr="00391600" w:rsidR="004347AA">
        <w:rPr>
          <w:rFonts w:ascii="Palatino Linotype" w:hAnsi="Palatino Linotype"/>
          <w:color w:val="000000" w:themeColor="text1"/>
        </w:rPr>
        <w:t>ing</w:t>
      </w:r>
      <w:r w:rsidRPr="00391600" w:rsidR="00E52488">
        <w:rPr>
          <w:rFonts w:ascii="Palatino Linotype" w:hAnsi="Palatino Linotype"/>
          <w:color w:val="000000" w:themeColor="text1"/>
        </w:rPr>
        <w:t xml:space="preserve"> all GFOs on its website</w:t>
      </w:r>
      <w:r w:rsidRPr="00391600" w:rsidR="004347AA">
        <w:rPr>
          <w:rFonts w:ascii="Palatino Linotype" w:hAnsi="Palatino Linotype"/>
          <w:color w:val="000000" w:themeColor="text1"/>
        </w:rPr>
        <w:t xml:space="preserve"> </w:t>
      </w:r>
      <w:r w:rsidRPr="00391600" w:rsidR="0060523F">
        <w:rPr>
          <w:rFonts w:ascii="Palatino Linotype" w:hAnsi="Palatino Linotype"/>
          <w:color w:val="000000" w:themeColor="text1"/>
        </w:rPr>
        <w:t xml:space="preserve">prior to approval at a CEC Business Meeting </w:t>
      </w:r>
      <w:r w:rsidRPr="00391600" w:rsidR="004347AA">
        <w:rPr>
          <w:rFonts w:ascii="Palatino Linotype" w:hAnsi="Palatino Linotype"/>
          <w:color w:val="000000" w:themeColor="text1"/>
        </w:rPr>
        <w:t>is useful in providing transparency for the public</w:t>
      </w:r>
      <w:r w:rsidRPr="00391600" w:rsidR="00E52488">
        <w:rPr>
          <w:rFonts w:ascii="Palatino Linotype" w:hAnsi="Palatino Linotype"/>
          <w:color w:val="000000" w:themeColor="text1"/>
        </w:rPr>
        <w:t xml:space="preserve">, there </w:t>
      </w:r>
      <w:r w:rsidRPr="00391600" w:rsidR="00A16A25">
        <w:rPr>
          <w:rFonts w:ascii="Palatino Linotype" w:hAnsi="Palatino Linotype"/>
          <w:color w:val="000000" w:themeColor="text1"/>
        </w:rPr>
        <w:t>is</w:t>
      </w:r>
      <w:r w:rsidRPr="00391600" w:rsidR="00E52488">
        <w:rPr>
          <w:rFonts w:ascii="Palatino Linotype" w:hAnsi="Palatino Linotype"/>
          <w:color w:val="000000" w:themeColor="text1"/>
        </w:rPr>
        <w:t xml:space="preserve"> often a multitude of GFOs related to various funding sources on the website.</w:t>
      </w:r>
      <w:r w:rsidRPr="00391600" w:rsidR="0069084E">
        <w:rPr>
          <w:rFonts w:ascii="Palatino Linotype" w:hAnsi="Palatino Linotype"/>
          <w:color w:val="000000" w:themeColor="text1"/>
        </w:rPr>
        <w:t xml:space="preserve"> </w:t>
      </w:r>
      <w:r w:rsidRPr="00391600" w:rsidR="007C5040">
        <w:rPr>
          <w:rFonts w:ascii="Palatino Linotype" w:hAnsi="Palatino Linotype"/>
          <w:color w:val="000000" w:themeColor="text1"/>
        </w:rPr>
        <w:t>Moreover,</w:t>
      </w:r>
      <w:r w:rsidRPr="00391600" w:rsidR="0054183D">
        <w:rPr>
          <w:rFonts w:ascii="Palatino Linotype" w:hAnsi="Palatino Linotype"/>
          <w:color w:val="000000" w:themeColor="text1"/>
        </w:rPr>
        <w:t xml:space="preserve"> advance </w:t>
      </w:r>
      <w:r w:rsidRPr="00391600" w:rsidR="00BB6F76">
        <w:rPr>
          <w:rFonts w:ascii="Palatino Linotype" w:hAnsi="Palatino Linotype"/>
          <w:color w:val="000000" w:themeColor="text1"/>
        </w:rPr>
        <w:t>notice</w:t>
      </w:r>
      <w:r w:rsidRPr="00391600" w:rsidR="007C5040">
        <w:rPr>
          <w:rFonts w:ascii="Palatino Linotype" w:hAnsi="Palatino Linotype"/>
          <w:color w:val="000000" w:themeColor="text1"/>
        </w:rPr>
        <w:t xml:space="preserve"> </w:t>
      </w:r>
      <w:r w:rsidRPr="00391600" w:rsidR="0060523F">
        <w:rPr>
          <w:rFonts w:ascii="Palatino Linotype" w:hAnsi="Palatino Linotype"/>
          <w:color w:val="000000" w:themeColor="text1"/>
        </w:rPr>
        <w:t xml:space="preserve">to the CPUC </w:t>
      </w:r>
      <w:r w:rsidRPr="00391600" w:rsidR="007C5040">
        <w:rPr>
          <w:rFonts w:ascii="Palatino Linotype" w:hAnsi="Palatino Linotype"/>
          <w:color w:val="000000" w:themeColor="text1"/>
        </w:rPr>
        <w:t>via these letters</w:t>
      </w:r>
      <w:r w:rsidRPr="00391600" w:rsidR="00BB6F76">
        <w:rPr>
          <w:rFonts w:ascii="Palatino Linotype" w:hAnsi="Palatino Linotype"/>
          <w:color w:val="000000" w:themeColor="text1"/>
        </w:rPr>
        <w:t xml:space="preserve"> promotes early coordination</w:t>
      </w:r>
      <w:r w:rsidRPr="00391600" w:rsidR="0060523F">
        <w:rPr>
          <w:rFonts w:ascii="Palatino Linotype" w:hAnsi="Palatino Linotype"/>
          <w:color w:val="000000" w:themeColor="text1"/>
        </w:rPr>
        <w:t xml:space="preserve"> to </w:t>
      </w:r>
      <w:r w:rsidRPr="00391600" w:rsidR="00A402C1">
        <w:rPr>
          <w:rFonts w:ascii="Palatino Linotype" w:hAnsi="Palatino Linotype"/>
          <w:color w:val="000000" w:themeColor="text1"/>
        </w:rPr>
        <w:lastRenderedPageBreak/>
        <w:t xml:space="preserve">ensure alignment with approved Plans and </w:t>
      </w:r>
      <w:r w:rsidRPr="00391600" w:rsidR="00905C04">
        <w:rPr>
          <w:rFonts w:ascii="Palatino Linotype" w:hAnsi="Palatino Linotype"/>
          <w:color w:val="000000" w:themeColor="text1"/>
        </w:rPr>
        <w:t>evolving policy</w:t>
      </w:r>
      <w:r w:rsidRPr="00391600" w:rsidR="00A402C1">
        <w:rPr>
          <w:rFonts w:ascii="Palatino Linotype" w:hAnsi="Palatino Linotype"/>
          <w:color w:val="000000" w:themeColor="text1"/>
        </w:rPr>
        <w:t xml:space="preserve"> and avoid duplicative research.</w:t>
      </w:r>
      <w:r w:rsidRPr="00391600" w:rsidR="00915A69">
        <w:rPr>
          <w:rFonts w:ascii="Palatino Linotype" w:hAnsi="Palatino Linotype"/>
          <w:color w:val="000000" w:themeColor="text1"/>
        </w:rPr>
        <w:t xml:space="preserve"> </w:t>
      </w:r>
    </w:p>
    <w:p w:rsidRPr="00391600" w:rsidR="00BB45AD" w:rsidP="00BB45AD" w:rsidRDefault="17B97544" w14:paraId="4D2DB5B4" w14:textId="5D7E193A">
      <w:pPr>
        <w:spacing w:after="0"/>
        <w:rPr>
          <w:rFonts w:ascii="Palatino Linotype" w:hAnsi="Palatino Linotype"/>
          <w:color w:val="000000" w:themeColor="text1"/>
        </w:rPr>
      </w:pPr>
      <w:r w:rsidRPr="00391600">
        <w:rPr>
          <w:rFonts w:ascii="Palatino Linotype" w:hAnsi="Palatino Linotype"/>
          <w:color w:val="000000" w:themeColor="text1"/>
        </w:rPr>
        <w:t xml:space="preserve"> </w:t>
      </w:r>
    </w:p>
    <w:p w:rsidRPr="00391600" w:rsidR="009952A8" w:rsidP="00B63842" w:rsidRDefault="00B869CC" w14:paraId="36C0ABF6" w14:textId="12A881A9">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4B053D">
        <w:rPr>
          <w:rFonts w:ascii="Palatino Linotype" w:hAnsi="Palatino Linotype"/>
          <w:b/>
          <w:bCs/>
          <w:color w:val="000000" w:themeColor="text1"/>
        </w:rPr>
        <w:t>C</w:t>
      </w:r>
      <w:r w:rsidRPr="00391600" w:rsidR="004678F9">
        <w:rPr>
          <w:rFonts w:ascii="Palatino Linotype" w:hAnsi="Palatino Linotype"/>
          <w:b/>
          <w:bCs/>
          <w:color w:val="000000" w:themeColor="text1"/>
        </w:rPr>
        <w:t>ommission Requirement</w:t>
      </w:r>
      <w:r w:rsidRPr="00391600" w:rsidR="00CB6306">
        <w:rPr>
          <w:rFonts w:ascii="Palatino Linotype" w:hAnsi="Palatino Linotype"/>
          <w:b/>
          <w:bCs/>
          <w:color w:val="000000" w:themeColor="text1"/>
        </w:rPr>
        <w:t xml:space="preserve">s to Align </w:t>
      </w:r>
      <w:r w:rsidRPr="00391600" w:rsidR="00853EFD">
        <w:rPr>
          <w:rFonts w:ascii="Palatino Linotype" w:hAnsi="Palatino Linotype"/>
          <w:b/>
          <w:bCs/>
          <w:color w:val="000000" w:themeColor="text1"/>
        </w:rPr>
        <w:t xml:space="preserve">Fund Transfer Requests </w:t>
      </w:r>
      <w:r w:rsidRPr="00391600" w:rsidR="001C6839">
        <w:rPr>
          <w:rFonts w:ascii="Palatino Linotype" w:hAnsi="Palatino Linotype"/>
          <w:b/>
          <w:bCs/>
          <w:color w:val="000000" w:themeColor="text1"/>
        </w:rPr>
        <w:t xml:space="preserve">to the State Controller’s Office (SCO) </w:t>
      </w:r>
      <w:r w:rsidRPr="00391600" w:rsidR="00853EFD">
        <w:rPr>
          <w:rFonts w:ascii="Palatino Linotype" w:hAnsi="Palatino Linotype"/>
          <w:b/>
          <w:bCs/>
          <w:color w:val="000000" w:themeColor="text1"/>
        </w:rPr>
        <w:t>with Commission-Approved Budgets</w:t>
      </w:r>
      <w:r w:rsidRPr="00391600" w:rsidR="7AA8CAC5">
        <w:rPr>
          <w:rFonts w:ascii="Palatino Linotype" w:hAnsi="Palatino Linotype"/>
          <w:b/>
          <w:bCs/>
          <w:color w:val="000000" w:themeColor="text1"/>
        </w:rPr>
        <w:t>.</w:t>
      </w:r>
    </w:p>
    <w:p w:rsidRPr="00391600" w:rsidR="009952A8" w:rsidP="009952A8" w:rsidRDefault="00E3696C" w14:paraId="750469AC" w14:textId="3A3BC641">
      <w:pPr>
        <w:spacing w:line="279" w:lineRule="auto"/>
        <w:rPr>
          <w:rFonts w:ascii="Palatino Linotype" w:hAnsi="Palatino Linotype"/>
          <w:color w:val="000000" w:themeColor="text1"/>
        </w:rPr>
      </w:pPr>
      <w:r w:rsidRPr="00391600">
        <w:rPr>
          <w:rFonts w:ascii="Palatino Linotype" w:hAnsi="Palatino Linotype"/>
          <w:color w:val="000000" w:themeColor="text1"/>
        </w:rPr>
        <w:t xml:space="preserve">In the CEC’s comments, it </w:t>
      </w:r>
      <w:r w:rsidRPr="00391600" w:rsidR="62ADFA32">
        <w:rPr>
          <w:rFonts w:ascii="Palatino Linotype" w:hAnsi="Palatino Linotype"/>
          <w:color w:val="000000" w:themeColor="text1"/>
        </w:rPr>
        <w:t>request</w:t>
      </w:r>
      <w:r w:rsidRPr="00391600">
        <w:rPr>
          <w:rFonts w:ascii="Palatino Linotype" w:hAnsi="Palatino Linotype"/>
          <w:color w:val="000000" w:themeColor="text1"/>
        </w:rPr>
        <w:t>s</w:t>
      </w:r>
      <w:r w:rsidRPr="00391600" w:rsidR="62ADFA32">
        <w:rPr>
          <w:rFonts w:ascii="Palatino Linotype" w:hAnsi="Palatino Linotype"/>
          <w:color w:val="000000" w:themeColor="text1"/>
        </w:rPr>
        <w:t xml:space="preserve"> that the CPUC </w:t>
      </w:r>
      <w:r w:rsidRPr="00391600" w:rsidR="009C011E">
        <w:rPr>
          <w:rFonts w:ascii="Palatino Linotype" w:hAnsi="Palatino Linotype"/>
          <w:color w:val="000000" w:themeColor="text1"/>
        </w:rPr>
        <w:t>u</w:t>
      </w:r>
      <w:r w:rsidRPr="00391600" w:rsidR="62ADFA32">
        <w:rPr>
          <w:rFonts w:ascii="Palatino Linotype" w:hAnsi="Palatino Linotype"/>
          <w:color w:val="000000" w:themeColor="text1"/>
        </w:rPr>
        <w:t xml:space="preserve">phold </w:t>
      </w:r>
      <w:r w:rsidRPr="00391600" w:rsidR="009C011E">
        <w:rPr>
          <w:rFonts w:ascii="Palatino Linotype" w:hAnsi="Palatino Linotype"/>
          <w:color w:val="000000" w:themeColor="text1"/>
        </w:rPr>
        <w:t xml:space="preserve">the </w:t>
      </w:r>
      <w:r w:rsidRPr="00391600" w:rsidR="62ADFA32">
        <w:rPr>
          <w:rFonts w:ascii="Palatino Linotype" w:hAnsi="Palatino Linotype"/>
          <w:color w:val="000000" w:themeColor="text1"/>
        </w:rPr>
        <w:t>current process</w:t>
      </w:r>
      <w:r w:rsidRPr="00391600" w:rsidR="00992551">
        <w:rPr>
          <w:rFonts w:ascii="Palatino Linotype" w:hAnsi="Palatino Linotype"/>
          <w:color w:val="000000" w:themeColor="text1"/>
        </w:rPr>
        <w:t xml:space="preserve"> as the </w:t>
      </w:r>
      <w:r w:rsidRPr="00391600" w:rsidR="00862689">
        <w:rPr>
          <w:rFonts w:ascii="Palatino Linotype" w:hAnsi="Palatino Linotype"/>
          <w:color w:val="000000" w:themeColor="text1"/>
        </w:rPr>
        <w:t>“</w:t>
      </w:r>
      <w:r w:rsidRPr="00391600" w:rsidR="62ADFA32">
        <w:rPr>
          <w:rFonts w:ascii="Palatino Linotype" w:hAnsi="Palatino Linotype"/>
          <w:color w:val="000000" w:themeColor="text1"/>
        </w:rPr>
        <w:t xml:space="preserve">CEC already includes </w:t>
      </w:r>
      <w:r w:rsidRPr="00391600" w:rsidR="00FC0BCD">
        <w:rPr>
          <w:rFonts w:ascii="Palatino Linotype" w:hAnsi="Palatino Linotype"/>
          <w:color w:val="000000" w:themeColor="text1"/>
        </w:rPr>
        <w:t xml:space="preserve">the </w:t>
      </w:r>
      <w:r w:rsidRPr="00391600" w:rsidR="62ADFA32">
        <w:rPr>
          <w:rFonts w:ascii="Palatino Linotype" w:hAnsi="Palatino Linotype"/>
          <w:color w:val="000000" w:themeColor="text1"/>
        </w:rPr>
        <w:t>CPUC on correspondence to SCO requesting the quarterly transfer from the Gas Consumption Surcharge Fund.</w:t>
      </w:r>
      <w:r w:rsidRPr="00391600" w:rsidR="7B0B76CE">
        <w:rPr>
          <w:rFonts w:ascii="Palatino Linotype" w:hAnsi="Palatino Linotype"/>
          <w:color w:val="000000" w:themeColor="text1"/>
        </w:rPr>
        <w:t xml:space="preserve">” In </w:t>
      </w:r>
      <w:r w:rsidRPr="00391600" w:rsidR="62ADFA32">
        <w:rPr>
          <w:rFonts w:ascii="Palatino Linotype" w:hAnsi="Palatino Linotype"/>
          <w:color w:val="000000" w:themeColor="text1"/>
        </w:rPr>
        <w:t>Appendix C</w:t>
      </w:r>
      <w:r w:rsidRPr="00391600" w:rsidR="1E68C884">
        <w:rPr>
          <w:rFonts w:ascii="Palatino Linotype" w:hAnsi="Palatino Linotype"/>
          <w:color w:val="000000" w:themeColor="text1"/>
        </w:rPr>
        <w:t xml:space="preserve"> of the CEC</w:t>
      </w:r>
      <w:r w:rsidRPr="00391600" w:rsidR="003857BC">
        <w:rPr>
          <w:rFonts w:ascii="Palatino Linotype" w:hAnsi="Palatino Linotype"/>
          <w:color w:val="000000" w:themeColor="text1"/>
        </w:rPr>
        <w:t>’s</w:t>
      </w:r>
      <w:r w:rsidRPr="00391600" w:rsidR="1E68C884">
        <w:rPr>
          <w:rFonts w:ascii="Palatino Linotype" w:hAnsi="Palatino Linotype"/>
          <w:color w:val="000000" w:themeColor="text1"/>
        </w:rPr>
        <w:t xml:space="preserve"> comments, they</w:t>
      </w:r>
      <w:r w:rsidRPr="00391600" w:rsidR="62ADFA32">
        <w:rPr>
          <w:rFonts w:ascii="Palatino Linotype" w:hAnsi="Palatino Linotype"/>
          <w:color w:val="000000" w:themeColor="text1"/>
        </w:rPr>
        <w:t xml:space="preserve"> include</w:t>
      </w:r>
      <w:r w:rsidRPr="00391600" w:rsidR="43803B5B">
        <w:rPr>
          <w:rFonts w:ascii="Palatino Linotype" w:hAnsi="Palatino Linotype"/>
          <w:color w:val="000000" w:themeColor="text1"/>
        </w:rPr>
        <w:t xml:space="preserve"> a copy of</w:t>
      </w:r>
      <w:r w:rsidRPr="00391600" w:rsidR="62ADFA32">
        <w:rPr>
          <w:rFonts w:ascii="Palatino Linotype" w:hAnsi="Palatino Linotype"/>
          <w:color w:val="000000" w:themeColor="text1"/>
        </w:rPr>
        <w:t xml:space="preserve"> CEC’s most recent quarterly transfer request, which routinely occurs via an email that cc’s the CPUC Administrative Services Division Director.</w:t>
      </w:r>
      <w:r w:rsidRPr="00391600" w:rsidR="009952A8">
        <w:rPr>
          <w:rStyle w:val="FootnoteReference"/>
          <w:rFonts w:ascii="Palatino Linotype" w:hAnsi="Palatino Linotype"/>
          <w:color w:val="000000" w:themeColor="text1"/>
        </w:rPr>
        <w:footnoteReference w:id="150"/>
      </w:r>
      <w:r w:rsidRPr="00391600" w:rsidR="62ADFA32">
        <w:rPr>
          <w:rFonts w:ascii="Palatino Linotype" w:hAnsi="Palatino Linotype"/>
          <w:color w:val="000000" w:themeColor="text1"/>
        </w:rPr>
        <w:t xml:space="preserve"> </w:t>
      </w:r>
    </w:p>
    <w:p w:rsidRPr="00391600" w:rsidR="3CB653FA" w:rsidP="3CB653FA" w:rsidRDefault="009D1A79" w14:paraId="565DF3AD" w14:textId="289F4D34">
      <w:pPr>
        <w:spacing w:after="0" w:line="279" w:lineRule="auto"/>
        <w:rPr>
          <w:rFonts w:ascii="Palatino Linotype" w:hAnsi="Palatino Linotype"/>
        </w:rPr>
      </w:pPr>
      <w:r w:rsidRPr="00391600">
        <w:rPr>
          <w:rFonts w:ascii="Palatino Linotype" w:hAnsi="Palatino Linotype"/>
          <w:color w:val="000000" w:themeColor="text1"/>
        </w:rPr>
        <w:t xml:space="preserve">This Resolution </w:t>
      </w:r>
      <w:r w:rsidRPr="00391600" w:rsidR="00016A12">
        <w:rPr>
          <w:rFonts w:ascii="Palatino Linotype" w:hAnsi="Palatino Linotype"/>
          <w:color w:val="000000" w:themeColor="text1"/>
        </w:rPr>
        <w:t>was</w:t>
      </w:r>
      <w:r w:rsidRPr="00391600">
        <w:rPr>
          <w:rFonts w:ascii="Palatino Linotype" w:hAnsi="Palatino Linotype"/>
          <w:color w:val="000000" w:themeColor="text1"/>
        </w:rPr>
        <w:t xml:space="preserve"> modified to require </w:t>
      </w:r>
      <w:r w:rsidRPr="00391600" w:rsidR="70F853A6">
        <w:rPr>
          <w:rFonts w:ascii="Palatino Linotype" w:hAnsi="Palatino Linotype" w:eastAsia="Palatino Linotype" w:cs="Times New Roman"/>
          <w:color w:val="000000" w:themeColor="text1"/>
        </w:rPr>
        <w:t>t</w:t>
      </w:r>
      <w:r w:rsidRPr="00391600" w:rsidR="58CA28EA">
        <w:rPr>
          <w:rFonts w:ascii="Palatino Linotype" w:hAnsi="Palatino Linotype" w:eastAsia="Palatino Linotype" w:cs="Times New Roman"/>
          <w:color w:val="000000" w:themeColor="text1"/>
        </w:rPr>
        <w:t xml:space="preserve">he CEC </w:t>
      </w:r>
      <w:r w:rsidRPr="00391600" w:rsidR="70F853A6">
        <w:rPr>
          <w:rFonts w:ascii="Palatino Linotype" w:hAnsi="Palatino Linotype" w:eastAsia="Palatino Linotype" w:cs="Times New Roman"/>
          <w:color w:val="000000" w:themeColor="text1"/>
        </w:rPr>
        <w:t xml:space="preserve">to </w:t>
      </w:r>
      <w:r w:rsidRPr="00391600" w:rsidR="58CA28EA">
        <w:rPr>
          <w:rFonts w:ascii="Palatino Linotype" w:hAnsi="Palatino Linotype" w:eastAsia="Palatino Linotype" w:cs="Times New Roman"/>
          <w:color w:val="000000" w:themeColor="text1"/>
        </w:rPr>
        <w:t xml:space="preserve">submit via </w:t>
      </w:r>
      <w:r w:rsidRPr="00391600">
        <w:rPr>
          <w:rFonts w:ascii="Palatino Linotype" w:hAnsi="Palatino Linotype" w:eastAsia="Palatino Linotype" w:cs="Times New Roman"/>
          <w:color w:val="000000" w:themeColor="text1"/>
        </w:rPr>
        <w:t xml:space="preserve">a letter </w:t>
      </w:r>
      <w:r w:rsidRPr="00391600" w:rsidR="58CA28EA">
        <w:rPr>
          <w:rFonts w:ascii="Palatino Linotype" w:hAnsi="Palatino Linotype" w:eastAsia="Palatino Linotype" w:cs="Times New Roman"/>
          <w:color w:val="000000" w:themeColor="text1"/>
        </w:rPr>
        <w:t>to</w:t>
      </w:r>
      <w:r w:rsidRPr="00391600">
        <w:rPr>
          <w:rFonts w:ascii="Palatino Linotype" w:hAnsi="Palatino Linotype" w:eastAsia="Palatino Linotype" w:cs="Times New Roman"/>
          <w:color w:val="000000" w:themeColor="text1"/>
        </w:rPr>
        <w:t xml:space="preserve"> the Energy Division Director, </w:t>
      </w:r>
      <w:r w:rsidRPr="00391600" w:rsidR="00F22D12">
        <w:rPr>
          <w:rFonts w:ascii="Palatino Linotype" w:hAnsi="Palatino Linotype" w:eastAsia="Palatino Linotype" w:cs="Times New Roman"/>
          <w:color w:val="000000" w:themeColor="text1"/>
        </w:rPr>
        <w:t xml:space="preserve">Energy Division </w:t>
      </w:r>
      <w:r w:rsidRPr="00391600">
        <w:rPr>
          <w:rFonts w:ascii="Palatino Linotype" w:hAnsi="Palatino Linotype" w:eastAsia="Palatino Linotype" w:cs="Times New Roman"/>
          <w:color w:val="000000" w:themeColor="text1"/>
        </w:rPr>
        <w:t>Central Files</w:t>
      </w:r>
      <w:r w:rsidRPr="00391600" w:rsidR="00083381">
        <w:rPr>
          <w:rFonts w:ascii="Palatino Linotype" w:hAnsi="Palatino Linotype" w:eastAsia="Palatino Linotype" w:cs="Times New Roman"/>
          <w:color w:val="000000" w:themeColor="text1"/>
        </w:rPr>
        <w:t>,</w:t>
      </w:r>
      <w:r w:rsidRPr="00391600">
        <w:rPr>
          <w:rFonts w:ascii="Palatino Linotype" w:hAnsi="Palatino Linotype" w:eastAsia="Palatino Linotype" w:cs="Times New Roman"/>
          <w:color w:val="000000" w:themeColor="text1"/>
        </w:rPr>
        <w:t xml:space="preserve"> and </w:t>
      </w:r>
      <w:r w:rsidRPr="00391600" w:rsidR="00083381">
        <w:rPr>
          <w:rFonts w:ascii="Palatino Linotype" w:hAnsi="Palatino Linotype" w:eastAsia="Palatino Linotype" w:cs="Times New Roman"/>
          <w:color w:val="000000" w:themeColor="text1"/>
        </w:rPr>
        <w:t>S</w:t>
      </w:r>
      <w:r w:rsidRPr="00391600" w:rsidR="5119A700">
        <w:rPr>
          <w:rFonts w:ascii="Palatino Linotype" w:hAnsi="Palatino Linotype" w:eastAsia="Palatino Linotype" w:cs="Times New Roman"/>
          <w:color w:val="000000" w:themeColor="text1"/>
        </w:rPr>
        <w:t>taff</w:t>
      </w:r>
      <w:r w:rsidRPr="00391600" w:rsidR="58CA28EA">
        <w:rPr>
          <w:rFonts w:ascii="Palatino Linotype" w:hAnsi="Palatino Linotype" w:eastAsia="Palatino Linotype" w:cs="Times New Roman"/>
          <w:color w:val="000000" w:themeColor="text1"/>
        </w:rPr>
        <w:t xml:space="preserve"> its requests to the </w:t>
      </w:r>
      <w:r w:rsidRPr="00391600" w:rsidR="001C6839">
        <w:rPr>
          <w:rFonts w:ascii="Palatino Linotype" w:hAnsi="Palatino Linotype" w:eastAsia="Palatino Linotype" w:cs="Times New Roman"/>
          <w:color w:val="000000" w:themeColor="text1"/>
        </w:rPr>
        <w:t>SCO</w:t>
      </w:r>
      <w:r w:rsidRPr="00391600" w:rsidR="58CA28EA">
        <w:rPr>
          <w:rFonts w:ascii="Palatino Linotype" w:hAnsi="Palatino Linotype" w:eastAsia="Palatino Linotype" w:cs="Times New Roman"/>
          <w:color w:val="000000" w:themeColor="text1"/>
        </w:rPr>
        <w:t xml:space="preserve"> for quarterly transfers from the CPUC’s Gas Consumption Surcharge Fund</w:t>
      </w:r>
      <w:r w:rsidRPr="00391600" w:rsidR="000E19AA">
        <w:rPr>
          <w:rFonts w:ascii="Palatino Linotype" w:hAnsi="Palatino Linotype" w:eastAsia="Palatino Linotype" w:cs="Times New Roman"/>
          <w:color w:val="000000" w:themeColor="text1"/>
        </w:rPr>
        <w:t xml:space="preserve">, as opposed to via Tier 1 AL as discussed in the </w:t>
      </w:r>
      <w:r w:rsidRPr="00391600" w:rsidR="00806A0B">
        <w:rPr>
          <w:rFonts w:ascii="Palatino Linotype" w:hAnsi="Palatino Linotype" w:eastAsia="Palatino Linotype" w:cs="Times New Roman"/>
          <w:color w:val="000000" w:themeColor="text1"/>
        </w:rPr>
        <w:t>d</w:t>
      </w:r>
      <w:r w:rsidRPr="00391600" w:rsidR="000E19AA">
        <w:rPr>
          <w:rFonts w:ascii="Palatino Linotype" w:hAnsi="Palatino Linotype" w:eastAsia="Palatino Linotype" w:cs="Times New Roman"/>
          <w:color w:val="000000" w:themeColor="text1"/>
        </w:rPr>
        <w:t>raft Resolution.</w:t>
      </w:r>
      <w:r w:rsidRPr="00391600" w:rsidR="58CA28EA">
        <w:rPr>
          <w:rFonts w:ascii="Palatino Linotype" w:hAnsi="Palatino Linotype" w:eastAsia="Palatino Linotype" w:cs="Times New Roman"/>
          <w:color w:val="000000" w:themeColor="text1"/>
        </w:rPr>
        <w:t xml:space="preserve"> </w:t>
      </w:r>
      <w:r w:rsidRPr="00391600" w:rsidR="009A7B9C">
        <w:rPr>
          <w:rFonts w:ascii="Palatino Linotype" w:hAnsi="Palatino Linotype" w:eastAsia="Palatino Linotype" w:cs="Times New Roman"/>
          <w:color w:val="000000" w:themeColor="text1"/>
        </w:rPr>
        <w:t xml:space="preserve">This Resolution </w:t>
      </w:r>
      <w:r w:rsidRPr="00391600" w:rsidR="00016A12">
        <w:rPr>
          <w:rFonts w:ascii="Palatino Linotype" w:hAnsi="Palatino Linotype" w:eastAsia="Palatino Linotype" w:cs="Times New Roman"/>
          <w:color w:val="000000" w:themeColor="text1"/>
        </w:rPr>
        <w:t>was</w:t>
      </w:r>
      <w:r w:rsidRPr="00391600" w:rsidR="009A7B9C">
        <w:rPr>
          <w:rFonts w:ascii="Palatino Linotype" w:hAnsi="Palatino Linotype" w:eastAsia="Palatino Linotype" w:cs="Times New Roman"/>
          <w:color w:val="000000" w:themeColor="text1"/>
        </w:rPr>
        <w:t xml:space="preserve"> modified to direct the CEC to</w:t>
      </w:r>
      <w:r w:rsidRPr="00391600" w:rsidR="58CA28EA">
        <w:rPr>
          <w:rFonts w:ascii="Palatino Linotype" w:hAnsi="Palatino Linotype" w:eastAsia="Palatino Linotype" w:cs="Times New Roman"/>
          <w:color w:val="000000" w:themeColor="text1"/>
        </w:rPr>
        <w:t xml:space="preserve"> reduce its requested quarterly transfers by the amount of interest accrued on deposited amounts in the CEC’s Public Interest RD&amp;D Fund; commercial benefits which may have resulted from previous Gas RD&amp;D investments;</w:t>
      </w:r>
      <w:r w:rsidRPr="00391600" w:rsidR="796F254B">
        <w:rPr>
          <w:rFonts w:ascii="Palatino Linotype" w:hAnsi="Palatino Linotype" w:eastAsia="Palatino Linotype" w:cs="Times New Roman"/>
          <w:color w:val="000000" w:themeColor="text1"/>
        </w:rPr>
        <w:t xml:space="preserve"> </w:t>
      </w:r>
      <w:r w:rsidRPr="00391600" w:rsidR="58CA28EA">
        <w:rPr>
          <w:rFonts w:ascii="Palatino Linotype" w:hAnsi="Palatino Linotype" w:eastAsia="Palatino Linotype" w:cs="Times New Roman"/>
          <w:color w:val="000000" w:themeColor="text1"/>
        </w:rPr>
        <w:t xml:space="preserve">and </w:t>
      </w:r>
      <w:r w:rsidRPr="00391600" w:rsidR="00806A0B">
        <w:rPr>
          <w:rFonts w:ascii="Palatino Linotype" w:hAnsi="Palatino Linotype" w:eastAsia="Palatino Linotype" w:cs="Times New Roman"/>
          <w:color w:val="000000" w:themeColor="text1"/>
        </w:rPr>
        <w:t xml:space="preserve">unencumbered and </w:t>
      </w:r>
      <w:r w:rsidRPr="00391600" w:rsidR="58CA28EA">
        <w:rPr>
          <w:rFonts w:ascii="Palatino Linotype" w:hAnsi="Palatino Linotype" w:eastAsia="Palatino Linotype" w:cs="Times New Roman"/>
          <w:color w:val="000000" w:themeColor="text1"/>
        </w:rPr>
        <w:t>unspent funds required to be used prior to new/additional ratepayer funds as defined in this Resolution and verified by the Commission</w:t>
      </w:r>
      <w:r w:rsidRPr="00391600" w:rsidR="000F6ED3">
        <w:rPr>
          <w:rFonts w:ascii="Palatino Linotype" w:hAnsi="Palatino Linotype" w:eastAsia="Palatino Linotype" w:cs="Times New Roman"/>
          <w:color w:val="000000" w:themeColor="text1"/>
        </w:rPr>
        <w:t>.</w:t>
      </w:r>
      <w:r w:rsidRPr="00391600" w:rsidR="58CA28EA">
        <w:rPr>
          <w:rFonts w:ascii="Palatino Linotype" w:hAnsi="Palatino Linotype" w:eastAsia="Palatino Linotype" w:cs="Times New Roman"/>
          <w:color w:val="000000" w:themeColor="text1"/>
        </w:rPr>
        <w:t xml:space="preserve"> </w:t>
      </w:r>
      <w:r w:rsidRPr="00391600" w:rsidR="00487BD5">
        <w:rPr>
          <w:rFonts w:ascii="Palatino Linotype" w:hAnsi="Palatino Linotype" w:eastAsia="Palatino Linotype" w:cs="Times New Roman"/>
          <w:color w:val="000000" w:themeColor="text1"/>
        </w:rPr>
        <w:t xml:space="preserve">The </w:t>
      </w:r>
      <w:r w:rsidRPr="00391600" w:rsidR="58CA28EA">
        <w:rPr>
          <w:rFonts w:ascii="Palatino Linotype" w:hAnsi="Palatino Linotype" w:eastAsia="Palatino Linotype" w:cs="Times New Roman"/>
          <w:color w:val="000000" w:themeColor="text1"/>
        </w:rPr>
        <w:t>CEC’s request</w:t>
      </w:r>
      <w:r w:rsidRPr="00391600" w:rsidR="00487BD5">
        <w:rPr>
          <w:rFonts w:ascii="Palatino Linotype" w:hAnsi="Palatino Linotype" w:eastAsia="Palatino Linotype" w:cs="Times New Roman"/>
          <w:color w:val="000000" w:themeColor="text1"/>
        </w:rPr>
        <w:t>s</w:t>
      </w:r>
      <w:r w:rsidRPr="00391600" w:rsidR="58CA28EA">
        <w:rPr>
          <w:rFonts w:ascii="Palatino Linotype" w:hAnsi="Palatino Linotype" w:eastAsia="Palatino Linotype" w:cs="Times New Roman"/>
          <w:color w:val="000000" w:themeColor="text1"/>
        </w:rPr>
        <w:t xml:space="preserve"> to access PPP funds </w:t>
      </w:r>
      <w:r w:rsidRPr="00391600" w:rsidR="00487BD5">
        <w:rPr>
          <w:rFonts w:ascii="Palatino Linotype" w:hAnsi="Palatino Linotype" w:eastAsia="Palatino Linotype" w:cs="Times New Roman"/>
          <w:color w:val="000000" w:themeColor="text1"/>
        </w:rPr>
        <w:t xml:space="preserve">and disbursements from the CPUC’s Fund </w:t>
      </w:r>
      <w:r w:rsidRPr="00391600" w:rsidR="003F6BF7">
        <w:rPr>
          <w:rFonts w:ascii="Palatino Linotype" w:hAnsi="Palatino Linotype" w:eastAsia="Palatino Linotype" w:cs="Times New Roman"/>
          <w:color w:val="000000" w:themeColor="text1"/>
        </w:rPr>
        <w:t>must be</w:t>
      </w:r>
      <w:r w:rsidRPr="00391600" w:rsidR="58CA28EA">
        <w:rPr>
          <w:rFonts w:ascii="Palatino Linotype" w:hAnsi="Palatino Linotype" w:eastAsia="Palatino Linotype" w:cs="Times New Roman"/>
          <w:color w:val="000000" w:themeColor="text1"/>
        </w:rPr>
        <w:t xml:space="preserve"> consistent with the Gas RD&amp;D zero-based budget adopted by the Commission</w:t>
      </w:r>
      <w:r w:rsidRPr="00391600" w:rsidR="003F6BF7">
        <w:rPr>
          <w:rFonts w:ascii="Palatino Linotype" w:hAnsi="Palatino Linotype" w:eastAsia="Palatino Linotype" w:cs="Times New Roman"/>
          <w:color w:val="000000" w:themeColor="text1"/>
        </w:rPr>
        <w:t>.</w:t>
      </w:r>
      <w:r w:rsidRPr="00391600" w:rsidR="00610933">
        <w:rPr>
          <w:rStyle w:val="FootnoteReference"/>
          <w:rFonts w:ascii="Palatino Linotype" w:hAnsi="Palatino Linotype" w:eastAsia="Palatino Linotype" w:cs="Times New Roman"/>
          <w:color w:val="000000" w:themeColor="text1"/>
        </w:rPr>
        <w:footnoteReference w:id="151"/>
      </w:r>
      <w:r w:rsidRPr="00391600" w:rsidR="003F6BF7">
        <w:rPr>
          <w:rFonts w:ascii="Palatino Linotype" w:hAnsi="Palatino Linotype" w:eastAsia="Palatino Linotype" w:cs="Times New Roman"/>
          <w:color w:val="000000" w:themeColor="text1"/>
        </w:rPr>
        <w:t xml:space="preserve"> </w:t>
      </w:r>
      <w:r w:rsidRPr="00391600" w:rsidR="70F853A6">
        <w:rPr>
          <w:rFonts w:ascii="Palatino Linotype" w:hAnsi="Palatino Linotype" w:eastAsia="Palatino Linotype" w:cs="Times New Roman"/>
          <w:color w:val="000000" w:themeColor="text1"/>
        </w:rPr>
        <w:t>Pursuant to D.04-08-010, Staff must ensure that utility PPP surcharge rates for the following year are consistent with the Commission’s adopted zero-based budget.</w:t>
      </w:r>
      <w:r w:rsidRPr="00391600" w:rsidR="00A57CF5">
        <w:rPr>
          <w:rStyle w:val="FootnoteReference"/>
          <w:rFonts w:ascii="Palatino Linotype" w:hAnsi="Palatino Linotype" w:eastAsia="Palatino Linotype" w:cs="Times New Roman"/>
          <w:color w:val="000000" w:themeColor="text1"/>
        </w:rPr>
        <w:footnoteReference w:id="152"/>
      </w:r>
      <w:r w:rsidRPr="00391600" w:rsidR="00610933">
        <w:rPr>
          <w:rFonts w:ascii="Palatino Linotype" w:hAnsi="Palatino Linotype" w:eastAsia="Palatino Linotype" w:cs="Times New Roman"/>
          <w:color w:val="000000" w:themeColor="text1"/>
        </w:rPr>
        <w:t xml:space="preserve"> </w:t>
      </w:r>
      <w:r w:rsidRPr="00391600" w:rsidR="70F853A6">
        <w:rPr>
          <w:rFonts w:ascii="Palatino Linotype" w:hAnsi="Palatino Linotype"/>
          <w:color w:val="000000" w:themeColor="text1"/>
        </w:rPr>
        <w:t>This direction refines and clarifies rather than expands the CEC’s existing administrative responsibility, reflecting the Commission’s intention as defined in D.04-08-010 for Energy Division to serve as its advisor in assisting with reviewing and adopting Plans.</w:t>
      </w:r>
      <w:r w:rsidRPr="00391600" w:rsidR="00D522C7">
        <w:rPr>
          <w:rStyle w:val="FootnoteReference"/>
          <w:rFonts w:ascii="Palatino Linotype" w:hAnsi="Palatino Linotype"/>
          <w:color w:val="000000" w:themeColor="text1"/>
        </w:rPr>
        <w:footnoteReference w:id="153"/>
      </w:r>
    </w:p>
    <w:p w:rsidRPr="00391600" w:rsidR="13D91EFD" w:rsidP="13D91EFD" w:rsidRDefault="13D91EFD" w14:paraId="453DFE79" w14:textId="1FB0C79A">
      <w:pPr>
        <w:spacing w:after="0" w:line="279" w:lineRule="auto"/>
        <w:rPr>
          <w:rFonts w:ascii="Palatino Linotype" w:hAnsi="Palatino Linotype"/>
          <w:color w:val="000000" w:themeColor="text1"/>
        </w:rPr>
      </w:pPr>
    </w:p>
    <w:p w:rsidRPr="00391600" w:rsidR="00A93086" w:rsidP="281B4A3F" w:rsidRDefault="00853EFD" w14:paraId="6CC7E28A" w14:textId="62F33C74">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color w:val="000000" w:themeColor="text1"/>
        </w:rPr>
        <w:t xml:space="preserve"> </w:t>
      </w:r>
      <w:r w:rsidRPr="00391600">
        <w:rPr>
          <w:rFonts w:ascii="Palatino Linotype" w:hAnsi="Palatino Linotype"/>
          <w:b/>
          <w:bCs/>
          <w:color w:val="000000" w:themeColor="text1"/>
        </w:rPr>
        <w:t xml:space="preserve">CEC Comment Regarding Existing </w:t>
      </w:r>
      <w:r w:rsidRPr="00391600" w:rsidR="11AB44CA">
        <w:rPr>
          <w:rFonts w:ascii="Palatino Linotype" w:hAnsi="Palatino Linotype"/>
          <w:b/>
          <w:bCs/>
          <w:color w:val="000000" w:themeColor="text1"/>
        </w:rPr>
        <w:t>Impact Analysis Requirements.</w:t>
      </w:r>
    </w:p>
    <w:p w:rsidRPr="00391600" w:rsidR="00A93086" w:rsidP="00A93086" w:rsidRDefault="00E3696C" w14:paraId="4B4AB873" w14:textId="5C60D218">
      <w:pPr>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w:t>
      </w:r>
      <w:r w:rsidRPr="00391600" w:rsidR="17B97544">
        <w:rPr>
          <w:rFonts w:ascii="Palatino Linotype" w:hAnsi="Palatino Linotype"/>
        </w:rPr>
        <w:t>that “integrating the highly complex EPIC Uniform Impacts Analysis framework, which CPUC has not yet adopted, into pre-commercial, public-interest gas research projects would present substantive methodology and data challenges.”</w:t>
      </w:r>
      <w:r w:rsidRPr="00391600" w:rsidR="00A93086">
        <w:rPr>
          <w:rStyle w:val="FootnoteReference"/>
          <w:rFonts w:ascii="Palatino Linotype" w:hAnsi="Palatino Linotype"/>
          <w:color w:val="000000" w:themeColor="text1"/>
        </w:rPr>
        <w:footnoteReference w:id="154"/>
      </w:r>
    </w:p>
    <w:p w:rsidRPr="00391600" w:rsidR="00A93086" w:rsidP="006D3FF9" w:rsidRDefault="00A35D74" w14:paraId="0C92F869" w14:textId="1D890198">
      <w:pPr>
        <w:spacing w:after="0"/>
        <w:rPr>
          <w:rFonts w:ascii="Palatino Linotype" w:hAnsi="Palatino Linotype"/>
          <w:color w:val="000000" w:themeColor="text1"/>
        </w:rPr>
      </w:pPr>
      <w:r w:rsidRPr="00391600">
        <w:rPr>
          <w:rFonts w:ascii="Palatino Linotype" w:hAnsi="Palatino Linotype"/>
          <w:color w:val="000000" w:themeColor="text1"/>
        </w:rPr>
        <w:t xml:space="preserve">This Resolution maintains that that the Commission finds the information provided in the CEC’s 2024 and 2025 Plans </w:t>
      </w:r>
      <w:r w:rsidRPr="00391600" w:rsidR="00280037">
        <w:rPr>
          <w:rFonts w:ascii="Palatino Linotype" w:hAnsi="Palatino Linotype"/>
          <w:color w:val="000000" w:themeColor="text1"/>
        </w:rPr>
        <w:t>to be</w:t>
      </w:r>
      <w:r w:rsidRPr="00391600">
        <w:rPr>
          <w:rFonts w:ascii="Palatino Linotype" w:hAnsi="Palatino Linotype"/>
          <w:color w:val="000000" w:themeColor="text1"/>
        </w:rPr>
        <w:t xml:space="preserve"> sufficient in meeting related requirements</w:t>
      </w:r>
      <w:r w:rsidRPr="00391600" w:rsidR="003E5917">
        <w:rPr>
          <w:rStyle w:val="FootnoteReference"/>
          <w:rFonts w:ascii="Palatino Linotype" w:hAnsi="Palatino Linotype"/>
          <w:color w:val="000000" w:themeColor="text1"/>
        </w:rPr>
        <w:footnoteReference w:id="155"/>
      </w:r>
      <w:r w:rsidRPr="00391600">
        <w:rPr>
          <w:rFonts w:ascii="Palatino Linotype" w:hAnsi="Palatino Linotype"/>
          <w:color w:val="000000" w:themeColor="text1"/>
        </w:rPr>
        <w:t xml:space="preserve"> and does not require the CEC to provide further </w:t>
      </w:r>
      <w:proofErr w:type="gramStart"/>
      <w:r w:rsidRPr="00391600">
        <w:rPr>
          <w:rFonts w:ascii="Palatino Linotype" w:hAnsi="Palatino Linotype"/>
          <w:color w:val="000000" w:themeColor="text1"/>
        </w:rPr>
        <w:t>detail</w:t>
      </w:r>
      <w:proofErr w:type="gramEnd"/>
      <w:r w:rsidRPr="00391600" w:rsidR="00280037">
        <w:rPr>
          <w:rFonts w:ascii="Palatino Linotype" w:hAnsi="Palatino Linotype"/>
          <w:color w:val="000000" w:themeColor="text1"/>
        </w:rPr>
        <w:t>,</w:t>
      </w:r>
      <w:r w:rsidRPr="00391600">
        <w:rPr>
          <w:rFonts w:ascii="Palatino Linotype" w:hAnsi="Palatino Linotype"/>
          <w:color w:val="000000" w:themeColor="text1"/>
        </w:rPr>
        <w:t xml:space="preserve"> nor does this Resolution establish new requirements. </w:t>
      </w:r>
      <w:r w:rsidRPr="00391600" w:rsidR="17B97544">
        <w:rPr>
          <w:rFonts w:ascii="Palatino Linotype" w:hAnsi="Palatino Linotype"/>
          <w:color w:val="000000" w:themeColor="text1"/>
        </w:rPr>
        <w:t xml:space="preserve">The Commission’s </w:t>
      </w:r>
      <w:r w:rsidRPr="00391600" w:rsidR="59C35E99">
        <w:rPr>
          <w:rFonts w:ascii="Palatino Linotype" w:hAnsi="Palatino Linotype"/>
          <w:color w:val="000000" w:themeColor="text1"/>
        </w:rPr>
        <w:t>RD&amp;D</w:t>
      </w:r>
      <w:r w:rsidRPr="00391600" w:rsidR="17B97544">
        <w:rPr>
          <w:rFonts w:ascii="Palatino Linotype" w:hAnsi="Palatino Linotype"/>
          <w:color w:val="000000" w:themeColor="text1"/>
        </w:rPr>
        <w:t xml:space="preserve"> Foundational Principles for a Uniform Impact Analysis Framework </w:t>
      </w:r>
      <w:r w:rsidRPr="00391600" w:rsidR="51B28B1A">
        <w:rPr>
          <w:rFonts w:ascii="Palatino Linotype" w:hAnsi="Palatino Linotype"/>
          <w:color w:val="000000" w:themeColor="text1"/>
        </w:rPr>
        <w:t>constitute</w:t>
      </w:r>
      <w:r w:rsidRPr="00391600" w:rsidDel="00F600FC" w:rsidR="17B97544">
        <w:rPr>
          <w:rFonts w:ascii="Palatino Linotype" w:hAnsi="Palatino Linotype"/>
          <w:color w:val="000000" w:themeColor="text1"/>
        </w:rPr>
        <w:t xml:space="preserve"> </w:t>
      </w:r>
      <w:r w:rsidRPr="00391600" w:rsidR="17B97544">
        <w:rPr>
          <w:rFonts w:ascii="Palatino Linotype" w:hAnsi="Palatino Linotype"/>
          <w:color w:val="000000" w:themeColor="text1"/>
        </w:rPr>
        <w:t>the Commission’s most robust guidance for the CEC to demonstrate ratepayer benefit from Gas RD&amp;D projects</w:t>
      </w:r>
      <w:r w:rsidRPr="00391600" w:rsidR="79989546">
        <w:rPr>
          <w:rFonts w:ascii="Palatino Linotype" w:hAnsi="Palatino Linotype"/>
          <w:color w:val="000000" w:themeColor="text1"/>
        </w:rPr>
        <w:t>, as adopted in D.</w:t>
      </w:r>
      <w:r w:rsidRPr="00391600" w:rsidR="797059A5">
        <w:rPr>
          <w:rFonts w:ascii="Palatino Linotype" w:hAnsi="Palatino Linotype"/>
          <w:color w:val="000000" w:themeColor="text1"/>
        </w:rPr>
        <w:t>23-04-042</w:t>
      </w:r>
      <w:r w:rsidRPr="00391600" w:rsidR="17B97544">
        <w:rPr>
          <w:rFonts w:ascii="Palatino Linotype" w:hAnsi="Palatino Linotype"/>
          <w:color w:val="000000" w:themeColor="text1"/>
        </w:rPr>
        <w:t>.</w:t>
      </w:r>
      <w:r w:rsidRPr="00391600" w:rsidR="00A93086">
        <w:rPr>
          <w:rStyle w:val="FootnoteReference"/>
          <w:rFonts w:ascii="Palatino Linotype" w:hAnsi="Palatino Linotype"/>
          <w:color w:val="000000" w:themeColor="text1"/>
        </w:rPr>
        <w:footnoteReference w:id="156"/>
      </w:r>
      <w:r w:rsidRPr="00391600" w:rsidR="17B97544">
        <w:rPr>
          <w:rFonts w:ascii="Palatino Linotype" w:hAnsi="Palatino Linotype"/>
          <w:color w:val="000000" w:themeColor="text1"/>
        </w:rPr>
        <w:t xml:space="preserve"> </w:t>
      </w:r>
    </w:p>
    <w:p w:rsidRPr="00391600" w:rsidR="006D3FF9" w:rsidP="006D3FF9" w:rsidRDefault="006D3FF9" w14:paraId="7E9C94BE" w14:textId="77777777">
      <w:pPr>
        <w:spacing w:after="0"/>
        <w:rPr>
          <w:rFonts w:ascii="Palatino Linotype" w:hAnsi="Palatino Linotype"/>
          <w:color w:val="000000" w:themeColor="text1"/>
        </w:rPr>
      </w:pPr>
    </w:p>
    <w:p w:rsidRPr="00391600" w:rsidR="00A93086" w:rsidP="281B4A3F" w:rsidRDefault="00853EFD" w14:paraId="7D508572" w14:textId="1760A5D6">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49BA9A08">
        <w:rPr>
          <w:rFonts w:ascii="Palatino Linotype" w:hAnsi="Palatino Linotype"/>
          <w:b/>
          <w:bCs/>
          <w:color w:val="000000" w:themeColor="text1"/>
        </w:rPr>
        <w:t xml:space="preserve">Reporting Requirements on Commercial Benefits and </w:t>
      </w:r>
      <w:r w:rsidRPr="00391600" w:rsidR="1FDB09A0">
        <w:rPr>
          <w:rFonts w:ascii="Palatino Linotype" w:hAnsi="Palatino Linotype"/>
          <w:b/>
          <w:bCs/>
          <w:color w:val="000000" w:themeColor="text1"/>
        </w:rPr>
        <w:t>Interest</w:t>
      </w:r>
      <w:r w:rsidRPr="00391600">
        <w:rPr>
          <w:rFonts w:ascii="Palatino Linotype" w:hAnsi="Palatino Linotype"/>
          <w:b/>
          <w:bCs/>
          <w:color w:val="000000" w:themeColor="text1"/>
        </w:rPr>
        <w:t xml:space="preserve"> Accrued on Gas RD&amp;D Funds</w:t>
      </w:r>
      <w:r w:rsidRPr="00391600" w:rsidR="1FDB09A0">
        <w:rPr>
          <w:rFonts w:ascii="Palatino Linotype" w:hAnsi="Palatino Linotype"/>
          <w:b/>
          <w:bCs/>
          <w:color w:val="000000" w:themeColor="text1"/>
        </w:rPr>
        <w:t>.</w:t>
      </w:r>
    </w:p>
    <w:p w:rsidRPr="00391600" w:rsidR="00A93086" w:rsidP="00A93086" w:rsidRDefault="00E3696C" w14:paraId="151C5430" w14:textId="353D7DE4">
      <w:pPr>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that it “is unable to accurately forecast commercial benefits that may result in the future from CEC’s Gas R&amp;D investments” and that it “can report on interest on deposited amounts in state funds for which CEC is the fund manager.</w:t>
      </w:r>
      <w:r w:rsidRPr="00391600" w:rsidR="5012A8E8">
        <w:rPr>
          <w:rFonts w:ascii="Palatino Linotype" w:hAnsi="Palatino Linotype"/>
          <w:color w:val="000000" w:themeColor="text1"/>
        </w:rPr>
        <w:t xml:space="preserve">” </w:t>
      </w:r>
      <w:r w:rsidRPr="00391600" w:rsidR="00280037">
        <w:rPr>
          <w:rFonts w:ascii="Palatino Linotype" w:hAnsi="Palatino Linotype"/>
          <w:color w:val="000000" w:themeColor="text1"/>
        </w:rPr>
        <w:t>The CEC also states that</w:t>
      </w:r>
      <w:r w:rsidRPr="00391600" w:rsidR="5012A8E8">
        <w:rPr>
          <w:rFonts w:ascii="Palatino Linotype" w:hAnsi="Palatino Linotype"/>
          <w:color w:val="000000" w:themeColor="text1"/>
        </w:rPr>
        <w:t xml:space="preserve">, </w:t>
      </w:r>
      <w:r w:rsidRPr="00391600" w:rsidR="49FD6065">
        <w:rPr>
          <w:rFonts w:ascii="Palatino Linotype" w:hAnsi="Palatino Linotype"/>
          <w:color w:val="000000" w:themeColor="text1"/>
        </w:rPr>
        <w:t>f</w:t>
      </w:r>
      <w:r w:rsidRPr="00391600" w:rsidR="17B97544">
        <w:rPr>
          <w:rFonts w:ascii="Palatino Linotype" w:hAnsi="Palatino Linotype"/>
          <w:color w:val="000000" w:themeColor="text1"/>
        </w:rPr>
        <w:t xml:space="preserve">or </w:t>
      </w:r>
      <w:r w:rsidRPr="00391600" w:rsidR="17B97544">
        <w:rPr>
          <w:rFonts w:ascii="Palatino Linotype" w:hAnsi="Palatino Linotype"/>
        </w:rPr>
        <w:t>the EPIC Progra</w:t>
      </w:r>
      <w:r w:rsidRPr="00391600" w:rsidR="007E11CE">
        <w:rPr>
          <w:rFonts w:ascii="Palatino Linotype" w:hAnsi="Palatino Linotype"/>
        </w:rPr>
        <w:t>m, “</w:t>
      </w:r>
      <w:r w:rsidRPr="00391600" w:rsidR="17B97544">
        <w:rPr>
          <w:rFonts w:ascii="Palatino Linotype" w:hAnsi="Palatino Linotype"/>
        </w:rPr>
        <w:t>CEC tracks and totals accrued interest and reduces its invoices to the IOUs for EPIC funds by those totals.</w:t>
      </w:r>
      <w:r w:rsidRPr="00391600" w:rsidR="009F4F3E">
        <w:rPr>
          <w:rFonts w:ascii="Palatino Linotype" w:hAnsi="Palatino Linotype"/>
        </w:rPr>
        <w:t>”</w:t>
      </w:r>
      <w:r w:rsidRPr="00391600" w:rsidR="00A93086">
        <w:rPr>
          <w:rStyle w:val="FootnoteReference"/>
          <w:rFonts w:ascii="Palatino Linotype" w:hAnsi="Palatino Linotype"/>
          <w:color w:val="000000" w:themeColor="text1"/>
        </w:rPr>
        <w:footnoteReference w:id="157"/>
      </w:r>
    </w:p>
    <w:p w:rsidRPr="00391600" w:rsidR="00A93086" w:rsidP="006D3FF9" w:rsidRDefault="17B97544" w14:paraId="7AD66CF5" w14:textId="1A26212C">
      <w:pPr>
        <w:spacing w:after="0"/>
        <w:rPr>
          <w:rFonts w:ascii="Palatino Linotype" w:hAnsi="Palatino Linotype"/>
          <w:color w:val="000000" w:themeColor="text1"/>
        </w:rPr>
      </w:pPr>
      <w:r w:rsidRPr="00391600">
        <w:rPr>
          <w:rFonts w:ascii="Palatino Linotype" w:hAnsi="Palatino Linotype"/>
          <w:color w:val="000000" w:themeColor="text1"/>
        </w:rPr>
        <w:t xml:space="preserve">This Resolution </w:t>
      </w:r>
      <w:r w:rsidRPr="00391600" w:rsidR="00016A12">
        <w:rPr>
          <w:rFonts w:ascii="Palatino Linotype" w:hAnsi="Palatino Linotype"/>
          <w:color w:val="000000" w:themeColor="text1"/>
        </w:rPr>
        <w:t>was</w:t>
      </w:r>
      <w:r w:rsidRPr="00391600">
        <w:rPr>
          <w:rFonts w:ascii="Palatino Linotype" w:hAnsi="Palatino Linotype"/>
          <w:color w:val="000000" w:themeColor="text1"/>
        </w:rPr>
        <w:t xml:space="preserve"> modified to clarify that the CEC shall report commercial benefits which </w:t>
      </w:r>
      <w:r w:rsidRPr="00391600">
        <w:rPr>
          <w:rFonts w:ascii="Palatino Linotype" w:hAnsi="Palatino Linotype"/>
          <w:i/>
          <w:iCs/>
          <w:color w:val="000000" w:themeColor="text1"/>
        </w:rPr>
        <w:t>may have resulted</w:t>
      </w:r>
      <w:r w:rsidRPr="00391600">
        <w:rPr>
          <w:rFonts w:ascii="Palatino Linotype" w:hAnsi="Palatino Linotype"/>
          <w:color w:val="000000" w:themeColor="text1"/>
        </w:rPr>
        <w:t xml:space="preserve"> from Gas RD&amp;D investments, as opposed to forecasting commercial benefits that may result in the future. This Resolution </w:t>
      </w:r>
      <w:r w:rsidRPr="00391600" w:rsidR="00EF2C8D">
        <w:rPr>
          <w:rFonts w:ascii="Palatino Linotype" w:hAnsi="Palatino Linotype"/>
          <w:color w:val="000000" w:themeColor="text1"/>
        </w:rPr>
        <w:t>was also</w:t>
      </w:r>
      <w:r w:rsidRPr="00391600">
        <w:rPr>
          <w:rFonts w:ascii="Palatino Linotype" w:hAnsi="Palatino Linotype"/>
          <w:color w:val="000000" w:themeColor="text1"/>
        </w:rPr>
        <w:t xml:space="preserve"> modified to reflect that the CEC sh</w:t>
      </w:r>
      <w:r w:rsidRPr="00391600" w:rsidR="2423E57E">
        <w:rPr>
          <w:rFonts w:ascii="Palatino Linotype" w:hAnsi="Palatino Linotype"/>
          <w:color w:val="000000" w:themeColor="text1"/>
        </w:rPr>
        <w:t>all</w:t>
      </w:r>
      <w:r w:rsidRPr="00391600">
        <w:rPr>
          <w:rFonts w:ascii="Palatino Linotype" w:hAnsi="Palatino Linotype"/>
          <w:color w:val="000000" w:themeColor="text1"/>
        </w:rPr>
        <w:t xml:space="preserve"> reduce its requests to the SCO for quarterly transfers from the CPUC’s Gas Consumption Surcharge Fund by </w:t>
      </w:r>
      <w:r w:rsidRPr="00391600" w:rsidR="49C009C3">
        <w:rPr>
          <w:rFonts w:ascii="Palatino Linotype" w:hAnsi="Palatino Linotype"/>
          <w:color w:val="000000" w:themeColor="text1"/>
        </w:rPr>
        <w:t xml:space="preserve">commercial benefits which may have resulted from Gas RD&amp;D investments </w:t>
      </w:r>
      <w:r w:rsidRPr="00391600" w:rsidR="49C009C3">
        <w:rPr>
          <w:rFonts w:ascii="Palatino Linotype" w:hAnsi="Palatino Linotype"/>
          <w:i/>
          <w:iCs/>
          <w:color w:val="000000" w:themeColor="text1"/>
        </w:rPr>
        <w:t xml:space="preserve">and </w:t>
      </w:r>
      <w:r w:rsidRPr="00391600">
        <w:rPr>
          <w:rFonts w:ascii="Palatino Linotype" w:hAnsi="Palatino Linotype"/>
          <w:color w:val="000000" w:themeColor="text1"/>
        </w:rPr>
        <w:t xml:space="preserve">the amount of interest accrued on deposited </w:t>
      </w:r>
      <w:r w:rsidRPr="00391600">
        <w:rPr>
          <w:rFonts w:ascii="Palatino Linotype" w:hAnsi="Palatino Linotype"/>
          <w:color w:val="000000" w:themeColor="text1"/>
        </w:rPr>
        <w:lastRenderedPageBreak/>
        <w:t>amounts in the CEC’s Public Interest Research, Development, and Demonstration Fund. The process by which the CPUC authorizes the CEC’s EPIC Investment Plans, including the treatment of unspent funds, is distinct from the process for the Gas RD&amp;D Program established via D.04-08-010, related statute, and subsequent resolutions</w:t>
      </w:r>
      <w:r w:rsidRPr="00391600" w:rsidR="007A2E67">
        <w:rPr>
          <w:rFonts w:ascii="Palatino Linotype" w:hAnsi="Palatino Linotype"/>
          <w:color w:val="000000" w:themeColor="text1"/>
        </w:rPr>
        <w:t>, and therefore is not appropriate to apply to the Gas RD&amp;D Program.</w:t>
      </w:r>
      <w:r w:rsidRPr="00391600">
        <w:rPr>
          <w:rFonts w:ascii="Palatino Linotype" w:hAnsi="Palatino Linotype"/>
          <w:color w:val="000000" w:themeColor="text1"/>
        </w:rPr>
        <w:t xml:space="preserve"> </w:t>
      </w:r>
    </w:p>
    <w:p w:rsidRPr="00391600" w:rsidR="006D3FF9" w:rsidP="006D3FF9" w:rsidRDefault="006D3FF9" w14:paraId="742B8E02" w14:textId="77777777">
      <w:pPr>
        <w:spacing w:after="0"/>
        <w:rPr>
          <w:rFonts w:ascii="Palatino Linotype" w:hAnsi="Palatino Linotype"/>
          <w:color w:val="000000" w:themeColor="text1"/>
        </w:rPr>
      </w:pPr>
    </w:p>
    <w:p w:rsidRPr="00391600" w:rsidR="00A93086" w:rsidP="281B4A3F" w:rsidRDefault="00AA6339" w14:paraId="0F1EE3B3" w14:textId="7DE85F25">
      <w:pPr>
        <w:pStyle w:val="ListParagraph"/>
        <w:numPr>
          <w:ilvl w:val="0"/>
          <w:numId w:val="46"/>
        </w:numPr>
        <w:spacing w:line="279" w:lineRule="auto"/>
        <w:rPr>
          <w:rFonts w:ascii="Palatino Linotype" w:hAnsi="Palatino Linotype"/>
          <w:b/>
          <w:bCs/>
          <w:color w:val="000000" w:themeColor="text1"/>
        </w:rPr>
      </w:pPr>
      <w:r w:rsidRPr="00391600">
        <w:rPr>
          <w:rFonts w:ascii="Palatino Linotype" w:hAnsi="Palatino Linotype"/>
          <w:b/>
          <w:bCs/>
          <w:color w:val="000000" w:themeColor="text1"/>
        </w:rPr>
        <w:t xml:space="preserve">CEC Comment Regarding </w:t>
      </w:r>
      <w:r w:rsidRPr="00391600" w:rsidR="001B6107">
        <w:rPr>
          <w:rFonts w:ascii="Palatino Linotype" w:hAnsi="Palatino Linotype"/>
          <w:b/>
          <w:bCs/>
          <w:color w:val="000000" w:themeColor="text1"/>
        </w:rPr>
        <w:t>Gas RD&amp;D Annual Reporting Requirements to Both Energy Division and the Legislature</w:t>
      </w:r>
      <w:r w:rsidRPr="00391600" w:rsidR="026863C4">
        <w:rPr>
          <w:rFonts w:ascii="Palatino Linotype" w:hAnsi="Palatino Linotype"/>
          <w:b/>
          <w:bCs/>
          <w:color w:val="000000" w:themeColor="text1"/>
        </w:rPr>
        <w:t>.</w:t>
      </w:r>
    </w:p>
    <w:p w:rsidRPr="00391600" w:rsidR="00A93086" w:rsidP="00A93086" w:rsidRDefault="00E3696C" w14:paraId="2F1204B3" w14:textId="2B523D5A">
      <w:pPr>
        <w:rPr>
          <w:rFonts w:ascii="Palatino Linotype" w:hAnsi="Palatino Linotype"/>
        </w:rPr>
      </w:pPr>
      <w:r w:rsidRPr="00391600">
        <w:rPr>
          <w:rFonts w:ascii="Palatino Linotype" w:hAnsi="Palatino Linotype"/>
          <w:color w:val="000000" w:themeColor="text1"/>
        </w:rPr>
        <w:t xml:space="preserve">In the CEC’s comments, it </w:t>
      </w:r>
      <w:r w:rsidRPr="00391600" w:rsidR="17B97544">
        <w:rPr>
          <w:rFonts w:ascii="Palatino Linotype" w:hAnsi="Palatino Linotype"/>
          <w:color w:val="000000" w:themeColor="text1"/>
        </w:rPr>
        <w:t>state</w:t>
      </w:r>
      <w:r w:rsidRPr="00391600">
        <w:rPr>
          <w:rFonts w:ascii="Palatino Linotype" w:hAnsi="Palatino Linotype"/>
          <w:color w:val="000000" w:themeColor="text1"/>
        </w:rPr>
        <w:t>s</w:t>
      </w:r>
      <w:r w:rsidRPr="00391600" w:rsidR="17B97544">
        <w:rPr>
          <w:rFonts w:ascii="Palatino Linotype" w:hAnsi="Palatino Linotype"/>
          <w:color w:val="000000" w:themeColor="text1"/>
        </w:rPr>
        <w:t xml:space="preserve"> </w:t>
      </w:r>
      <w:r w:rsidRPr="00391600" w:rsidR="17B97544">
        <w:rPr>
          <w:rFonts w:ascii="Palatino Linotype" w:hAnsi="Palatino Linotype"/>
        </w:rPr>
        <w:t xml:space="preserve">that its “Annual Report is currently due to the Legislature and CPUC on October 31, and this legislatively mandated date will not change as a result of CPUC's proposed date modification.” </w:t>
      </w:r>
      <w:r w:rsidRPr="00391600" w:rsidR="2C95E8CD">
        <w:rPr>
          <w:rFonts w:ascii="Palatino Linotype" w:hAnsi="Palatino Linotype"/>
        </w:rPr>
        <w:t>The CEC request</w:t>
      </w:r>
      <w:r w:rsidRPr="00391600" w:rsidR="00C977C1">
        <w:rPr>
          <w:rFonts w:ascii="Palatino Linotype" w:hAnsi="Palatino Linotype"/>
        </w:rPr>
        <w:t>s</w:t>
      </w:r>
      <w:r w:rsidRPr="00391600" w:rsidR="2C95E8CD">
        <w:rPr>
          <w:rFonts w:ascii="Palatino Linotype" w:hAnsi="Palatino Linotype"/>
        </w:rPr>
        <w:t xml:space="preserve"> that the CPUC and CEC collaborate to </w:t>
      </w:r>
      <w:r w:rsidRPr="00391600" w:rsidR="0EC5D3D7">
        <w:rPr>
          <w:rFonts w:ascii="Palatino Linotype" w:hAnsi="Palatino Linotype"/>
        </w:rPr>
        <w:t>"</w:t>
      </w:r>
      <w:r w:rsidRPr="00391600" w:rsidR="17B97544">
        <w:rPr>
          <w:rFonts w:ascii="Palatino Linotype" w:hAnsi="Palatino Linotype"/>
        </w:rPr>
        <w:t xml:space="preserve">develop a standardized template for both the Annual Report and annual Budget </w:t>
      </w:r>
      <w:proofErr w:type="gramStart"/>
      <w:r w:rsidRPr="00391600" w:rsidR="17B97544">
        <w:rPr>
          <w:rFonts w:ascii="Palatino Linotype" w:hAnsi="Palatino Linotype"/>
        </w:rPr>
        <w:t>Plan,</w:t>
      </w:r>
      <w:proofErr w:type="gramEnd"/>
      <w:r w:rsidRPr="00391600" w:rsidR="17B97544">
        <w:rPr>
          <w:rFonts w:ascii="Palatino Linotype" w:hAnsi="Palatino Linotype"/>
        </w:rPr>
        <w:t xml:space="preserve"> finalized no later than eight months before the applicable due date. These templates should account for the data CEC currently collects on its projects.”</w:t>
      </w:r>
      <w:r w:rsidRPr="00391600" w:rsidR="00A93086">
        <w:rPr>
          <w:rStyle w:val="FootnoteReference"/>
          <w:rFonts w:ascii="Palatino Linotype" w:hAnsi="Palatino Linotype"/>
          <w:color w:val="000000" w:themeColor="text1"/>
        </w:rPr>
        <w:footnoteReference w:id="158"/>
      </w:r>
    </w:p>
    <w:p w:rsidRPr="00391600" w:rsidR="00A93086" w:rsidP="00A93086" w:rsidRDefault="00A62A8F" w14:paraId="614B031E" w14:textId="05C85E94">
      <w:pPr>
        <w:rPr>
          <w:rFonts w:ascii="Palatino Linotype" w:hAnsi="Palatino Linotype"/>
        </w:rPr>
      </w:pPr>
      <w:r w:rsidRPr="00391600">
        <w:rPr>
          <w:rFonts w:ascii="Palatino Linotype" w:hAnsi="Palatino Linotype"/>
          <w:color w:val="000000" w:themeColor="text1"/>
        </w:rPr>
        <w:t xml:space="preserve">This Resolution maintains that the CEC’s Annual Report to Energy Division shall now be due by June 1 annually. </w:t>
      </w:r>
      <w:r w:rsidRPr="00391600" w:rsidR="66DFF8EE">
        <w:rPr>
          <w:rFonts w:ascii="Palatino Linotype" w:hAnsi="Palatino Linotype"/>
          <w:color w:val="000000" w:themeColor="text1"/>
        </w:rPr>
        <w:t>The C</w:t>
      </w:r>
      <w:r w:rsidRPr="00391600" w:rsidR="3B7ABA6A">
        <w:rPr>
          <w:rFonts w:ascii="Palatino Linotype" w:hAnsi="Palatino Linotype"/>
          <w:color w:val="000000" w:themeColor="text1"/>
        </w:rPr>
        <w:t xml:space="preserve">PUC’s requirements for the </w:t>
      </w:r>
      <w:r w:rsidRPr="00391600" w:rsidR="17B97544">
        <w:rPr>
          <w:rFonts w:ascii="Palatino Linotype" w:hAnsi="Palatino Linotype"/>
          <w:color w:val="000000" w:themeColor="text1"/>
        </w:rPr>
        <w:t xml:space="preserve">CEC’s </w:t>
      </w:r>
      <w:r w:rsidRPr="00391600" w:rsidR="7AEC6C84">
        <w:rPr>
          <w:rFonts w:ascii="Palatino Linotype" w:hAnsi="Palatino Linotype"/>
          <w:color w:val="000000" w:themeColor="text1"/>
        </w:rPr>
        <w:t xml:space="preserve">Annual </w:t>
      </w:r>
      <w:r w:rsidRPr="00391600" w:rsidR="4BD8FD85">
        <w:rPr>
          <w:rFonts w:ascii="Palatino Linotype" w:hAnsi="Palatino Linotype"/>
          <w:color w:val="000000" w:themeColor="text1"/>
        </w:rPr>
        <w:t xml:space="preserve">Report </w:t>
      </w:r>
      <w:r w:rsidRPr="00391600" w:rsidR="2037013E">
        <w:rPr>
          <w:rFonts w:ascii="Palatino Linotype" w:hAnsi="Palatino Linotype"/>
          <w:color w:val="000000" w:themeColor="text1"/>
        </w:rPr>
        <w:t>are derived from CPUC orders</w:t>
      </w:r>
      <w:r w:rsidRPr="00391600" w:rsidR="00034D31">
        <w:rPr>
          <w:rStyle w:val="FootnoteReference"/>
          <w:rFonts w:ascii="Palatino Linotype" w:hAnsi="Palatino Linotype"/>
          <w:color w:val="000000" w:themeColor="text1"/>
        </w:rPr>
        <w:footnoteReference w:id="159"/>
      </w:r>
      <w:r w:rsidRPr="00391600" w:rsidR="53A2072A">
        <w:rPr>
          <w:rFonts w:ascii="Palatino Linotype" w:hAnsi="Palatino Linotype"/>
          <w:color w:val="000000" w:themeColor="text1"/>
        </w:rPr>
        <w:t xml:space="preserve"> and </w:t>
      </w:r>
      <w:r w:rsidRPr="00391600" w:rsidR="4B6BA7FD">
        <w:rPr>
          <w:rFonts w:ascii="Palatino Linotype" w:hAnsi="Palatino Linotype"/>
          <w:color w:val="000000" w:themeColor="text1"/>
        </w:rPr>
        <w:t>related to prudent program management</w:t>
      </w:r>
      <w:r w:rsidRPr="00391600" w:rsidR="2D04337E">
        <w:rPr>
          <w:rFonts w:ascii="Palatino Linotype" w:hAnsi="Palatino Linotype"/>
          <w:color w:val="000000" w:themeColor="text1"/>
        </w:rPr>
        <w:t xml:space="preserve"> and </w:t>
      </w:r>
      <w:r w:rsidRPr="00391600" w:rsidR="6F39A5C7">
        <w:rPr>
          <w:rFonts w:ascii="Palatino Linotype" w:hAnsi="Palatino Linotype"/>
          <w:color w:val="000000" w:themeColor="text1"/>
        </w:rPr>
        <w:t>tracking investment outcomes for</w:t>
      </w:r>
      <w:r w:rsidRPr="00391600" w:rsidR="2D04337E">
        <w:rPr>
          <w:rFonts w:ascii="Palatino Linotype" w:hAnsi="Palatino Linotype"/>
          <w:color w:val="000000" w:themeColor="text1"/>
        </w:rPr>
        <w:t xml:space="preserve"> </w:t>
      </w:r>
      <w:r w:rsidRPr="00391600" w:rsidR="53A2072A">
        <w:rPr>
          <w:rFonts w:ascii="Palatino Linotype" w:hAnsi="Palatino Linotype"/>
          <w:color w:val="000000" w:themeColor="text1"/>
        </w:rPr>
        <w:t>accountability of ratepayer funds</w:t>
      </w:r>
      <w:r w:rsidRPr="00391600" w:rsidR="5CA09AF9">
        <w:rPr>
          <w:rFonts w:ascii="Palatino Linotype" w:hAnsi="Palatino Linotype"/>
          <w:color w:val="000000" w:themeColor="text1"/>
        </w:rPr>
        <w:t>. T</w:t>
      </w:r>
      <w:r w:rsidRPr="00391600" w:rsidR="4B6BA7FD">
        <w:rPr>
          <w:rFonts w:ascii="Palatino Linotype" w:hAnsi="Palatino Linotype"/>
          <w:color w:val="000000" w:themeColor="text1"/>
        </w:rPr>
        <w:t xml:space="preserve">hough the CPUC has considered </w:t>
      </w:r>
      <w:proofErr w:type="gramStart"/>
      <w:r w:rsidRPr="00391600" w:rsidR="3761031E">
        <w:rPr>
          <w:rFonts w:ascii="Palatino Linotype" w:hAnsi="Palatino Linotype"/>
          <w:color w:val="000000" w:themeColor="text1"/>
        </w:rPr>
        <w:t>the Legislature’s</w:t>
      </w:r>
      <w:proofErr w:type="gramEnd"/>
      <w:r w:rsidRPr="00391600" w:rsidR="3761031E">
        <w:rPr>
          <w:rFonts w:ascii="Palatino Linotype" w:hAnsi="Palatino Linotype"/>
          <w:color w:val="000000" w:themeColor="text1"/>
        </w:rPr>
        <w:t xml:space="preserve"> requirements </w:t>
      </w:r>
      <w:r w:rsidRPr="00391600" w:rsidR="0E7AF352">
        <w:rPr>
          <w:rFonts w:ascii="Palatino Linotype" w:hAnsi="Palatino Linotype"/>
          <w:color w:val="000000" w:themeColor="text1"/>
        </w:rPr>
        <w:t xml:space="preserve">for its legislative report </w:t>
      </w:r>
      <w:r w:rsidRPr="00391600" w:rsidR="3761031E">
        <w:rPr>
          <w:rFonts w:ascii="Palatino Linotype" w:hAnsi="Palatino Linotype"/>
          <w:color w:val="000000" w:themeColor="text1"/>
        </w:rPr>
        <w:t xml:space="preserve">in </w:t>
      </w:r>
      <w:r w:rsidRPr="00391600" w:rsidR="00FD087D">
        <w:rPr>
          <w:rFonts w:ascii="Palatino Linotype" w:hAnsi="Palatino Linotype"/>
          <w:color w:val="000000" w:themeColor="text1"/>
        </w:rPr>
        <w:t xml:space="preserve">developing its </w:t>
      </w:r>
      <w:r w:rsidRPr="00391600" w:rsidR="3761031E">
        <w:rPr>
          <w:rFonts w:ascii="Palatino Linotype" w:hAnsi="Palatino Linotype"/>
          <w:color w:val="000000" w:themeColor="text1"/>
        </w:rPr>
        <w:t xml:space="preserve">template </w:t>
      </w:r>
      <w:r w:rsidRPr="00391600" w:rsidR="624CD8D2">
        <w:rPr>
          <w:rFonts w:ascii="Palatino Linotype" w:hAnsi="Palatino Linotype"/>
          <w:color w:val="000000" w:themeColor="text1"/>
        </w:rPr>
        <w:t xml:space="preserve">to promote </w:t>
      </w:r>
      <w:r w:rsidRPr="00391600" w:rsidR="3761031E">
        <w:rPr>
          <w:rFonts w:ascii="Palatino Linotype" w:hAnsi="Palatino Linotype"/>
          <w:color w:val="000000" w:themeColor="text1"/>
        </w:rPr>
        <w:t>efficiency, t</w:t>
      </w:r>
      <w:r w:rsidRPr="00391600" w:rsidR="5CA09AF9">
        <w:rPr>
          <w:rFonts w:ascii="Palatino Linotype" w:hAnsi="Palatino Linotype"/>
          <w:color w:val="000000" w:themeColor="text1"/>
        </w:rPr>
        <w:t xml:space="preserve">he </w:t>
      </w:r>
      <w:r w:rsidRPr="00391600" w:rsidR="599486FD">
        <w:rPr>
          <w:rFonts w:ascii="Palatino Linotype" w:hAnsi="Palatino Linotype"/>
          <w:color w:val="000000" w:themeColor="text1"/>
        </w:rPr>
        <w:t xml:space="preserve">two reports fulfill distinct purposes </w:t>
      </w:r>
      <w:r w:rsidRPr="00391600" w:rsidR="33434137">
        <w:rPr>
          <w:rFonts w:ascii="Palatino Linotype" w:hAnsi="Palatino Linotype"/>
          <w:color w:val="000000" w:themeColor="text1"/>
        </w:rPr>
        <w:t xml:space="preserve">and the </w:t>
      </w:r>
      <w:r w:rsidRPr="00391600" w:rsidR="5CA09AF9">
        <w:rPr>
          <w:rFonts w:ascii="Palatino Linotype" w:hAnsi="Palatino Linotype"/>
          <w:color w:val="000000" w:themeColor="text1"/>
        </w:rPr>
        <w:t xml:space="preserve">CPUC recognizes that the CEC has distinct obligations </w:t>
      </w:r>
      <w:r w:rsidRPr="00391600" w:rsidR="17B97544">
        <w:rPr>
          <w:rFonts w:ascii="Palatino Linotype" w:hAnsi="Palatino Linotype"/>
          <w:color w:val="000000" w:themeColor="text1"/>
        </w:rPr>
        <w:t>to the Legislature</w:t>
      </w:r>
      <w:r w:rsidRPr="00391600" w:rsidR="5D231E66">
        <w:rPr>
          <w:rFonts w:ascii="Palatino Linotype" w:hAnsi="Palatino Linotype"/>
          <w:color w:val="000000" w:themeColor="text1"/>
        </w:rPr>
        <w:t xml:space="preserve">. </w:t>
      </w:r>
    </w:p>
    <w:p w:rsidRPr="00391600" w:rsidR="00A93086" w:rsidP="005010B9" w:rsidRDefault="00A93086" w14:paraId="3522DB48" w14:textId="77777777">
      <w:pPr>
        <w:spacing w:after="0" w:line="276" w:lineRule="auto"/>
        <w:rPr>
          <w:rFonts w:ascii="Palatino Linotype" w:hAnsi="Palatino Linotype" w:eastAsia="Palatino Linotype" w:cs="Times New Roman"/>
          <w:color w:val="000000" w:themeColor="text1"/>
          <w:kern w:val="0"/>
          <w14:ligatures w14:val="none"/>
        </w:rPr>
      </w:pPr>
    </w:p>
    <w:p w:rsidRPr="00391600" w:rsidR="00561EBA" w:rsidP="281B4A3F" w:rsidRDefault="346A4F66" w14:paraId="79D6F305" w14:textId="2D524746">
      <w:pPr>
        <w:keepNext/>
        <w:spacing w:line="276" w:lineRule="auto"/>
        <w:outlineLvl w:val="0"/>
        <w:rPr>
          <w:rFonts w:ascii="Palatino Linotype" w:hAnsi="Palatino Linotype" w:eastAsia="Palatino Linotype" w:cs="Times New Roman"/>
          <w:b/>
          <w:bCs/>
          <w:caps/>
          <w:color w:val="000000" w:themeColor="text1"/>
          <w:kern w:val="28"/>
          <w:u w:val="single"/>
          <w14:ligatures w14:val="none"/>
        </w:rPr>
      </w:pPr>
      <w:r w:rsidRPr="00391600">
        <w:rPr>
          <w:rFonts w:ascii="Palatino Linotype" w:hAnsi="Palatino Linotype" w:eastAsia="Palatino Linotype" w:cs="Times New Roman"/>
          <w:b/>
          <w:bCs/>
          <w:caps/>
          <w:color w:val="000000" w:themeColor="text1"/>
          <w:kern w:val="28"/>
          <w:u w:val="single"/>
          <w14:ligatures w14:val="none"/>
        </w:rPr>
        <w:lastRenderedPageBreak/>
        <w:t>Findings AND CONCLUSIONS</w:t>
      </w:r>
    </w:p>
    <w:p w:rsidRPr="00391600" w:rsidR="008100B6" w:rsidP="001F187A" w:rsidRDefault="00E05F3E" w14:paraId="7CFEA18E" w14:textId="7502BF3E">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ED2B79">
        <w:rPr>
          <w:rFonts w:ascii="Palatino Linotype" w:hAnsi="Palatino Linotype" w:eastAsia="Times New Roman" w:cs="Times New Roman"/>
          <w:color w:val="000000" w:themeColor="text1"/>
          <w:kern w:val="0"/>
          <w14:ligatures w14:val="none"/>
        </w:rPr>
        <w:t xml:space="preserve">California Energy Commission (CEC) </w:t>
      </w:r>
      <w:r w:rsidRPr="00391600">
        <w:rPr>
          <w:rFonts w:ascii="Palatino Linotype" w:hAnsi="Palatino Linotype" w:eastAsia="Palatino Linotype" w:cs="Times New Roman"/>
          <w:color w:val="000000" w:themeColor="text1"/>
          <w:kern w:val="0"/>
          <w14:ligatures w14:val="none"/>
        </w:rPr>
        <w:t xml:space="preserve">filed </w:t>
      </w:r>
      <w:proofErr w:type="gramStart"/>
      <w:r w:rsidRPr="00391600" w:rsidR="00BB648A">
        <w:rPr>
          <w:rFonts w:ascii="Palatino Linotype" w:hAnsi="Palatino Linotype" w:eastAsia="Palatino Linotype" w:cs="Times New Roman"/>
          <w:color w:val="000000" w:themeColor="text1"/>
          <w:kern w:val="0"/>
          <w14:ligatures w14:val="none"/>
        </w:rPr>
        <w:t>its</w:t>
      </w:r>
      <w:r w:rsidRPr="00391600" w:rsidR="003B5344">
        <w:rPr>
          <w:rFonts w:ascii="Palatino Linotype" w:hAnsi="Palatino Linotype" w:eastAsia="Palatino Linotype" w:cs="Times New Roman"/>
          <w:color w:val="000000" w:themeColor="text1"/>
          <w:kern w:val="0"/>
          <w14:ligatures w14:val="none"/>
        </w:rPr>
        <w:t xml:space="preserve"> </w:t>
      </w:r>
      <w:r w:rsidRPr="00391600" w:rsidR="00ED2B79">
        <w:rPr>
          <w:rFonts w:ascii="Palatino Linotype" w:hAnsi="Palatino Linotype" w:eastAsia="Times New Roman" w:cs="Times New Roman"/>
          <w:color w:val="000000" w:themeColor="text1"/>
          <w:kern w:val="0"/>
          <w14:ligatures w14:val="none"/>
        </w:rPr>
        <w:t>2024</w:t>
      </w:r>
      <w:proofErr w:type="gramEnd"/>
      <w:r w:rsidRPr="00391600" w:rsidR="00ED2B79">
        <w:rPr>
          <w:rFonts w:ascii="Palatino Linotype" w:hAnsi="Palatino Linotype" w:eastAsia="Times New Roman" w:cs="Times New Roman"/>
          <w:color w:val="000000" w:themeColor="text1"/>
          <w:kern w:val="0"/>
          <w14:ligatures w14:val="none"/>
        </w:rPr>
        <w:t xml:space="preserve"> (AL </w:t>
      </w:r>
      <w:r w:rsidRPr="00391600" w:rsidR="00AB59D9">
        <w:rPr>
          <w:rFonts w:ascii="Palatino Linotype" w:hAnsi="Palatino Linotype" w:eastAsia="Times New Roman" w:cs="Times New Roman"/>
          <w:color w:val="000000" w:themeColor="text1"/>
          <w:kern w:val="0"/>
          <w14:ligatures w14:val="none"/>
        </w:rPr>
        <w:t>12</w:t>
      </w:r>
      <w:r w:rsidRPr="00391600" w:rsidR="00ED2B79">
        <w:rPr>
          <w:rFonts w:ascii="Palatino Linotype" w:hAnsi="Palatino Linotype" w:eastAsia="Times New Roman" w:cs="Times New Roman"/>
          <w:color w:val="000000" w:themeColor="text1"/>
          <w:kern w:val="0"/>
          <w14:ligatures w14:val="none"/>
        </w:rPr>
        <w:t xml:space="preserve">-G) and 2025 </w:t>
      </w:r>
      <w:r w:rsidR="00EB2CC0">
        <w:rPr>
          <w:rFonts w:ascii="Palatino Linotype" w:hAnsi="Palatino Linotype" w:eastAsia="Times New Roman" w:cs="Times New Roman"/>
          <w:color w:val="000000" w:themeColor="text1"/>
          <w:kern w:val="0"/>
          <w14:ligatures w14:val="none"/>
        </w:rPr>
        <w:br/>
      </w:r>
      <w:r w:rsidRPr="00391600" w:rsidR="00ED2B79">
        <w:rPr>
          <w:rFonts w:ascii="Palatino Linotype" w:hAnsi="Palatino Linotype" w:eastAsia="Times New Roman" w:cs="Times New Roman"/>
          <w:color w:val="000000" w:themeColor="text1"/>
          <w:kern w:val="0"/>
          <w14:ligatures w14:val="none"/>
        </w:rPr>
        <w:t xml:space="preserve">(AL </w:t>
      </w:r>
      <w:r w:rsidRPr="00391600" w:rsidR="00AB59D9">
        <w:rPr>
          <w:rFonts w:ascii="Palatino Linotype" w:hAnsi="Palatino Linotype" w:eastAsia="Times New Roman" w:cs="Times New Roman"/>
          <w:color w:val="000000" w:themeColor="text1"/>
          <w:kern w:val="0"/>
          <w14:ligatures w14:val="none"/>
        </w:rPr>
        <w:t>10</w:t>
      </w:r>
      <w:r w:rsidRPr="00391600" w:rsidR="00ED2B79">
        <w:rPr>
          <w:rFonts w:ascii="Palatino Linotype" w:hAnsi="Palatino Linotype" w:eastAsia="Times New Roman" w:cs="Times New Roman"/>
          <w:color w:val="000000" w:themeColor="text1"/>
          <w:kern w:val="0"/>
          <w14:ligatures w14:val="none"/>
        </w:rPr>
        <w:t>-G</w:t>
      </w:r>
      <w:r w:rsidRPr="00391600" w:rsidR="00AB59D9">
        <w:rPr>
          <w:rFonts w:ascii="Palatino Linotype" w:hAnsi="Palatino Linotype" w:eastAsia="Times New Roman" w:cs="Times New Roman"/>
          <w:color w:val="000000" w:themeColor="text1"/>
          <w:kern w:val="0"/>
          <w14:ligatures w14:val="none"/>
        </w:rPr>
        <w:t>-A</w:t>
      </w:r>
      <w:r w:rsidRPr="00391600" w:rsidR="00ED2B79">
        <w:rPr>
          <w:rFonts w:ascii="Palatino Linotype" w:hAnsi="Palatino Linotype" w:eastAsia="Times New Roman" w:cs="Times New Roman"/>
          <w:color w:val="000000" w:themeColor="text1"/>
          <w:kern w:val="0"/>
          <w14:ligatures w14:val="none"/>
        </w:rPr>
        <w:t xml:space="preserve">) </w:t>
      </w:r>
      <w:r w:rsidRPr="00391600">
        <w:rPr>
          <w:rFonts w:ascii="Palatino Linotype" w:hAnsi="Palatino Linotype" w:eastAsia="Palatino Linotype" w:cs="Times New Roman"/>
          <w:color w:val="000000" w:themeColor="text1"/>
          <w:kern w:val="0"/>
          <w14:ligatures w14:val="none"/>
        </w:rPr>
        <w:t xml:space="preserve">Gas Research, Development, </w:t>
      </w:r>
      <w:r w:rsidRPr="00391600" w:rsidR="00645ABD">
        <w:rPr>
          <w:rFonts w:ascii="Palatino Linotype" w:hAnsi="Palatino Linotype" w:eastAsia="Palatino Linotype" w:cs="Times New Roman"/>
          <w:color w:val="000000" w:themeColor="text1"/>
          <w:kern w:val="0"/>
          <w14:ligatures w14:val="none"/>
        </w:rPr>
        <w:t>and Demonstration (RD&amp;D) Investment Plan</w:t>
      </w:r>
      <w:r w:rsidRPr="00391600" w:rsidR="00ED2B79">
        <w:rPr>
          <w:rFonts w:ascii="Palatino Linotype" w:hAnsi="Palatino Linotype" w:eastAsia="Palatino Linotype" w:cs="Times New Roman"/>
          <w:color w:val="000000" w:themeColor="text1"/>
          <w:kern w:val="0"/>
          <w14:ligatures w14:val="none"/>
        </w:rPr>
        <w:t>s</w:t>
      </w:r>
      <w:r w:rsidRPr="00391600" w:rsidR="00645ABD">
        <w:rPr>
          <w:rFonts w:ascii="Palatino Linotype" w:hAnsi="Palatino Linotype" w:eastAsia="Palatino Linotype" w:cs="Times New Roman"/>
          <w:color w:val="000000" w:themeColor="text1"/>
          <w:kern w:val="0"/>
          <w14:ligatures w14:val="none"/>
        </w:rPr>
        <w:t xml:space="preserve"> per </w:t>
      </w:r>
      <w:r w:rsidRPr="00391600" w:rsidR="0056763F">
        <w:rPr>
          <w:rFonts w:ascii="Palatino Linotype" w:hAnsi="Palatino Linotype" w:eastAsia="Palatino Linotype" w:cs="Times New Roman"/>
          <w:color w:val="000000" w:themeColor="text1"/>
          <w:kern w:val="0"/>
          <w14:ligatures w14:val="none"/>
        </w:rPr>
        <w:t>d</w:t>
      </w:r>
      <w:r w:rsidRPr="00391600" w:rsidR="00645ABD">
        <w:rPr>
          <w:rFonts w:ascii="Palatino Linotype" w:hAnsi="Palatino Linotype" w:eastAsia="Palatino Linotype" w:cs="Times New Roman"/>
          <w:color w:val="000000" w:themeColor="text1"/>
          <w:kern w:val="0"/>
          <w14:ligatures w14:val="none"/>
        </w:rPr>
        <w:t>ecision (D.)04-08-010</w:t>
      </w:r>
      <w:r w:rsidRPr="00391600" w:rsidR="001F187A">
        <w:rPr>
          <w:rFonts w:ascii="Palatino Linotype" w:hAnsi="Palatino Linotype" w:eastAsia="Palatino Linotype" w:cs="Times New Roman"/>
          <w:color w:val="000000" w:themeColor="text1"/>
          <w:kern w:val="0"/>
          <w14:ligatures w14:val="none"/>
        </w:rPr>
        <w:t>.</w:t>
      </w:r>
    </w:p>
    <w:p w:rsidRPr="00391600" w:rsidR="0078634C" w:rsidP="0078634C" w:rsidRDefault="00561EBA" w14:paraId="77CB54C1" w14:textId="72572894">
      <w:pPr>
        <w:pStyle w:val="ListParagraph"/>
        <w:keepNext/>
        <w:numPr>
          <w:ilvl w:val="0"/>
          <w:numId w:val="4"/>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kern w:val="0"/>
          <w14:ligatures w14:val="none"/>
        </w:rPr>
        <w:t>The CEC’s proposed Gas RD&amp;D Plan</w:t>
      </w:r>
      <w:r w:rsidRPr="00391600">
        <w:rPr>
          <w:rFonts w:ascii="Palatino Linotype" w:hAnsi="Palatino Linotype" w:eastAsia="Palatino Linotype" w:cs="Times New Roman"/>
          <w:color w:val="000000" w:themeColor="text1"/>
        </w:rPr>
        <w:t xml:space="preserve"> </w:t>
      </w:r>
      <w:r w:rsidRPr="00391600" w:rsidR="0078634C">
        <w:rPr>
          <w:rFonts w:ascii="Palatino Linotype" w:hAnsi="Palatino Linotype" w:eastAsia="Palatino Linotype" w:cs="Times New Roman"/>
          <w:color w:val="000000" w:themeColor="text1"/>
        </w:rPr>
        <w:t>and associated zero-based budget only become</w:t>
      </w:r>
      <w:r w:rsidRPr="00391600">
        <w:rPr>
          <w:rFonts w:ascii="Palatino Linotype" w:hAnsi="Palatino Linotype" w:eastAsia="Palatino Linotype" w:cs="Times New Roman"/>
          <w:color w:val="000000" w:themeColor="text1"/>
        </w:rPr>
        <w:t xml:space="preserve"> effective upon Commission </w:t>
      </w:r>
      <w:r w:rsidRPr="00391600" w:rsidR="0078634C">
        <w:rPr>
          <w:rFonts w:ascii="Palatino Linotype" w:hAnsi="Palatino Linotype" w:eastAsia="Palatino Linotype" w:cs="Times New Roman"/>
          <w:color w:val="000000" w:themeColor="text1"/>
        </w:rPr>
        <w:t>approval via</w:t>
      </w:r>
      <w:r w:rsidRPr="00391600">
        <w:rPr>
          <w:rFonts w:ascii="Palatino Linotype" w:hAnsi="Palatino Linotype" w:eastAsia="Palatino Linotype" w:cs="Times New Roman"/>
          <w:color w:val="000000" w:themeColor="text1"/>
        </w:rPr>
        <w:t xml:space="preserve"> </w:t>
      </w:r>
      <w:r w:rsidRPr="00391600" w:rsidR="00BF2A11">
        <w:rPr>
          <w:rFonts w:ascii="Palatino Linotype" w:hAnsi="Palatino Linotype" w:eastAsia="Palatino Linotype" w:cs="Times New Roman"/>
          <w:color w:val="000000" w:themeColor="text1"/>
        </w:rPr>
        <w:t>r</w:t>
      </w:r>
      <w:r w:rsidRPr="00391600">
        <w:rPr>
          <w:rFonts w:ascii="Palatino Linotype" w:hAnsi="Palatino Linotype" w:eastAsia="Palatino Linotype" w:cs="Times New Roman"/>
          <w:color w:val="000000" w:themeColor="text1"/>
        </w:rPr>
        <w:t>esolution</w:t>
      </w:r>
      <w:r w:rsidRPr="00391600" w:rsidR="0078634C">
        <w:rPr>
          <w:rFonts w:ascii="Palatino Linotype" w:hAnsi="Palatino Linotype" w:eastAsia="Palatino Linotype" w:cs="Times New Roman"/>
          <w:color w:val="000000" w:themeColor="text1"/>
        </w:rPr>
        <w:t>.</w:t>
      </w:r>
    </w:p>
    <w:p w:rsidRPr="00391600" w:rsidR="00561EBA" w:rsidP="0078634C" w:rsidRDefault="5F395E94" w14:paraId="3F916FE3" w14:textId="263B574C">
      <w:pPr>
        <w:pStyle w:val="ListParagraph"/>
        <w:keepNext/>
        <w:numPr>
          <w:ilvl w:val="0"/>
          <w:numId w:val="4"/>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Energy Division staff must ensure that utility surcharge rates for the following year are consistent with the adopted zero-based budget</w:t>
      </w:r>
      <w:r w:rsidRPr="00391600" w:rsidR="51BB33F9">
        <w:rPr>
          <w:rFonts w:ascii="Palatino Linotype" w:hAnsi="Palatino Linotype" w:eastAsia="Palatino Linotype" w:cs="Times New Roman"/>
          <w:color w:val="000000" w:themeColor="text1"/>
        </w:rPr>
        <w:t xml:space="preserve"> and reflective of the </w:t>
      </w:r>
      <w:r w:rsidRPr="00391600" w:rsidR="23E2F5BE">
        <w:rPr>
          <w:rFonts w:ascii="Palatino Linotype" w:hAnsi="Palatino Linotype" w:eastAsia="Palatino Linotype" w:cs="Times New Roman"/>
          <w:color w:val="000000" w:themeColor="text1"/>
        </w:rPr>
        <w:t>funds used to offset new and/or additional ratepayer funds</w:t>
      </w:r>
      <w:r w:rsidRPr="00391600" w:rsidR="0031487B">
        <w:rPr>
          <w:rFonts w:ascii="Palatino Linotype" w:hAnsi="Palatino Linotype" w:eastAsia="Palatino Linotype" w:cs="Times New Roman"/>
          <w:color w:val="000000" w:themeColor="text1"/>
        </w:rPr>
        <w:t>.</w:t>
      </w:r>
      <w:r w:rsidRPr="00391600">
        <w:rPr>
          <w:rFonts w:ascii="Palatino Linotype" w:hAnsi="Palatino Linotype" w:eastAsia="Palatino Linotype" w:cs="Times New Roman"/>
          <w:color w:val="000000" w:themeColor="text1"/>
        </w:rPr>
        <w:t xml:space="preserve"> </w:t>
      </w:r>
    </w:p>
    <w:p w:rsidRPr="00391600" w:rsidR="001D5F2F" w:rsidP="0078634C" w:rsidRDefault="009C1F08" w14:paraId="1A89202E" w14:textId="440F52FD">
      <w:pPr>
        <w:pStyle w:val="ListParagraph"/>
        <w:keepNext/>
        <w:numPr>
          <w:ilvl w:val="0"/>
          <w:numId w:val="4"/>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Disbursements from </w:t>
      </w:r>
      <w:proofErr w:type="gramStart"/>
      <w:r w:rsidRPr="00391600" w:rsidR="005C4BE6">
        <w:rPr>
          <w:rFonts w:ascii="Palatino Linotype" w:hAnsi="Palatino Linotype" w:eastAsia="Palatino Linotype" w:cs="Times New Roman"/>
          <w:color w:val="000000" w:themeColor="text1"/>
        </w:rPr>
        <w:t xml:space="preserve">the </w:t>
      </w:r>
      <w:r w:rsidRPr="00391600">
        <w:rPr>
          <w:rFonts w:ascii="Palatino Linotype" w:hAnsi="Palatino Linotype" w:eastAsia="Palatino Linotype" w:cs="Times New Roman"/>
          <w:color w:val="000000" w:themeColor="text1"/>
        </w:rPr>
        <w:t>CPUC’s</w:t>
      </w:r>
      <w:proofErr w:type="gramEnd"/>
      <w:r w:rsidRPr="00391600">
        <w:rPr>
          <w:rFonts w:ascii="Palatino Linotype" w:hAnsi="Palatino Linotype" w:eastAsia="Palatino Linotype" w:cs="Times New Roman"/>
          <w:color w:val="000000" w:themeColor="text1"/>
        </w:rPr>
        <w:t xml:space="preserve"> Gas Consumption Surcharge Fund to </w:t>
      </w:r>
      <w:r w:rsidRPr="00391600" w:rsidR="005C4BE6">
        <w:rPr>
          <w:rFonts w:ascii="Palatino Linotype" w:hAnsi="Palatino Linotype" w:eastAsia="Palatino Linotype" w:cs="Times New Roman"/>
          <w:color w:val="000000" w:themeColor="text1"/>
        </w:rPr>
        <w:t xml:space="preserve">the </w:t>
      </w:r>
      <w:r w:rsidRPr="00391600" w:rsidR="000B324C">
        <w:rPr>
          <w:rFonts w:ascii="Palatino Linotype" w:hAnsi="Palatino Linotype" w:eastAsia="Palatino Linotype" w:cs="Times New Roman"/>
          <w:color w:val="000000" w:themeColor="text1"/>
        </w:rPr>
        <w:br/>
      </w:r>
      <w:r w:rsidRPr="00391600">
        <w:rPr>
          <w:rFonts w:ascii="Palatino Linotype" w:hAnsi="Palatino Linotype" w:eastAsia="Palatino Linotype" w:cs="Times New Roman"/>
          <w:color w:val="000000" w:themeColor="text1"/>
        </w:rPr>
        <w:t xml:space="preserve">CEC’s Public Interest RD&amp;D Fund </w:t>
      </w:r>
      <w:r w:rsidRPr="00391600" w:rsidR="00A11E9B">
        <w:rPr>
          <w:rFonts w:ascii="Palatino Linotype" w:hAnsi="Palatino Linotype" w:eastAsia="Palatino Linotype" w:cs="Times New Roman"/>
          <w:color w:val="000000" w:themeColor="text1"/>
        </w:rPr>
        <w:t>must</w:t>
      </w:r>
      <w:r w:rsidRPr="00391600">
        <w:rPr>
          <w:rFonts w:ascii="Palatino Linotype" w:hAnsi="Palatino Linotype" w:eastAsia="Palatino Linotype" w:cs="Times New Roman"/>
          <w:color w:val="000000" w:themeColor="text1"/>
        </w:rPr>
        <w:t xml:space="preserve"> not exceed the zero-based budget </w:t>
      </w:r>
      <w:r w:rsidRPr="00391600" w:rsidR="009D665D">
        <w:rPr>
          <w:rFonts w:ascii="Palatino Linotype" w:hAnsi="Palatino Linotype" w:eastAsia="Palatino Linotype" w:cs="Times New Roman"/>
          <w:color w:val="000000" w:themeColor="text1"/>
        </w:rPr>
        <w:t>adopted by the Commission.</w:t>
      </w:r>
    </w:p>
    <w:p w:rsidRPr="00391600" w:rsidR="00E632BD" w:rsidP="0078634C" w:rsidRDefault="00E632BD" w14:paraId="4FD42D2E" w14:textId="4701BF7A">
      <w:pPr>
        <w:pStyle w:val="ListParagraph"/>
        <w:keepNext/>
        <w:numPr>
          <w:ilvl w:val="0"/>
          <w:numId w:val="4"/>
        </w:numPr>
        <w:spacing w:line="276" w:lineRule="auto"/>
        <w:rPr>
          <w:rFonts w:ascii="Palatino Linotype" w:hAnsi="Palatino Linotype" w:eastAsia="Palatino Linotype" w:cs="Times New Roman"/>
          <w:color w:val="000000" w:themeColor="text1"/>
        </w:rPr>
      </w:pPr>
      <w:r w:rsidRPr="00391600">
        <w:rPr>
          <w:rFonts w:ascii="Palatino Linotype" w:hAnsi="Palatino Linotype" w:eastAsia="Palatino Linotype" w:cs="Times New Roman"/>
          <w:color w:val="000000" w:themeColor="text1"/>
        </w:rPr>
        <w:t xml:space="preserve">The CPUC expects the CEC to encumber Gas RD&amp;D Plan funds within two years </w:t>
      </w:r>
      <w:proofErr w:type="gramStart"/>
      <w:r w:rsidRPr="00391600">
        <w:rPr>
          <w:rFonts w:ascii="Palatino Linotype" w:hAnsi="Palatino Linotype" w:eastAsia="Palatino Linotype" w:cs="Times New Roman"/>
          <w:color w:val="000000" w:themeColor="text1"/>
        </w:rPr>
        <w:t>of  approval</w:t>
      </w:r>
      <w:proofErr w:type="gramEnd"/>
      <w:r w:rsidRPr="00391600">
        <w:rPr>
          <w:rFonts w:ascii="Palatino Linotype" w:hAnsi="Palatino Linotype" w:eastAsia="Palatino Linotype" w:cs="Times New Roman"/>
          <w:color w:val="000000" w:themeColor="text1"/>
        </w:rPr>
        <w:t xml:space="preserve"> and to spend the encumbered funds within four years of encumbrance. </w:t>
      </w:r>
    </w:p>
    <w:p w:rsidRPr="00391600" w:rsidR="00BC2735" w:rsidP="00BC2735" w:rsidRDefault="005C4BE6" w14:paraId="5E1A8408" w14:textId="0F2469BF">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B87832">
        <w:rPr>
          <w:rFonts w:ascii="Palatino Linotype" w:hAnsi="Palatino Linotype" w:eastAsia="Palatino Linotype" w:cs="Times New Roman"/>
          <w:color w:val="000000" w:themeColor="text1"/>
          <w:kern w:val="0"/>
          <w14:ligatures w14:val="none"/>
        </w:rPr>
        <w:t xml:space="preserve">CEC’s AL 12-G </w:t>
      </w:r>
      <w:r w:rsidRPr="00391600" w:rsidR="00BC2735">
        <w:rPr>
          <w:rFonts w:ascii="Palatino Linotype" w:hAnsi="Palatino Linotype" w:eastAsia="Palatino Linotype" w:cs="Times New Roman"/>
          <w:color w:val="000000" w:themeColor="text1"/>
          <w:kern w:val="0"/>
          <w14:ligatures w14:val="none"/>
        </w:rPr>
        <w:t>is not fully compliant with Commission requirements for the following reasons (See Appendix </w:t>
      </w:r>
      <w:r w:rsidRPr="00391600" w:rsidR="00037C5F">
        <w:rPr>
          <w:rFonts w:ascii="Palatino Linotype" w:hAnsi="Palatino Linotype" w:eastAsia="Palatino Linotype" w:cs="Times New Roman"/>
          <w:color w:val="000000" w:themeColor="text1"/>
          <w:kern w:val="0"/>
          <w14:ligatures w14:val="none"/>
        </w:rPr>
        <w:t>G</w:t>
      </w:r>
      <w:r w:rsidRPr="00391600" w:rsidR="00BC2735">
        <w:rPr>
          <w:rFonts w:ascii="Palatino Linotype" w:hAnsi="Palatino Linotype" w:eastAsia="Palatino Linotype" w:cs="Times New Roman"/>
          <w:color w:val="000000" w:themeColor="text1"/>
          <w:kern w:val="0"/>
          <w14:ligatures w14:val="none"/>
        </w:rPr>
        <w:t> for details): </w:t>
      </w:r>
    </w:p>
    <w:p w:rsidRPr="00391600" w:rsidR="00BC2735" w:rsidP="00B87832" w:rsidRDefault="00BC2735" w14:paraId="3A481640"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The CEC does not disclose the following nor demonstrate that it:  </w:t>
      </w:r>
    </w:p>
    <w:p w:rsidRPr="00391600" w:rsidR="00BC2735" w:rsidP="00B87832" w:rsidRDefault="00BC2735" w14:paraId="7A8A6BF0" w14:textId="66421CEB">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First </w:t>
      </w:r>
      <w:r w:rsidRPr="00391600">
        <w:rPr>
          <w:rFonts w:ascii="Palatino Linotype" w:hAnsi="Palatino Linotype" w:eastAsia="Palatino Linotype" w:cs="Times New Roman"/>
          <w:color w:val="000000" w:themeColor="text1"/>
        </w:rPr>
        <w:t>utilized unspent fund</w:t>
      </w:r>
      <w:r w:rsidRPr="00391600" w:rsidR="002276AD">
        <w:rPr>
          <w:rFonts w:ascii="Palatino Linotype" w:hAnsi="Palatino Linotype" w:eastAsia="Palatino Linotype" w:cs="Times New Roman"/>
          <w:color w:val="000000" w:themeColor="text1"/>
        </w:rPr>
        <w:t xml:space="preserve"> balances</w:t>
      </w:r>
      <w:r w:rsidRPr="00391600">
        <w:rPr>
          <w:rFonts w:ascii="Palatino Linotype" w:hAnsi="Palatino Linotype" w:eastAsia="Palatino Linotype" w:cs="Times New Roman"/>
          <w:color w:val="000000" w:themeColor="text1"/>
        </w:rPr>
        <w:t>, </w:t>
      </w:r>
      <w:r w:rsidRPr="00391600" w:rsidR="256A143D">
        <w:rPr>
          <w:rFonts w:ascii="Palatino Linotype" w:hAnsi="Palatino Linotype" w:eastAsia="Palatino Linotype" w:cs="Times New Roman"/>
          <w:color w:val="000000" w:themeColor="text1"/>
        </w:rPr>
        <w:t xml:space="preserve">or </w:t>
      </w:r>
    </w:p>
    <w:p w:rsidRPr="00391600" w:rsidR="00BC2735" w:rsidP="00B87832" w:rsidRDefault="3F8EC631" w14:paraId="2B5BDC76" w14:textId="5B24A03B">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Addressed whether any commercial benefits have resulted from </w:t>
      </w:r>
      <w:r w:rsidRPr="00391600" w:rsidR="7384282F">
        <w:rPr>
          <w:rFonts w:ascii="Palatino Linotype" w:hAnsi="Palatino Linotype" w:eastAsia="Palatino Linotype" w:cs="Times New Roman"/>
          <w:color w:val="000000" w:themeColor="text1"/>
        </w:rPr>
        <w:t xml:space="preserve">previous </w:t>
      </w:r>
      <w:r w:rsidRPr="00391600">
        <w:rPr>
          <w:rFonts w:ascii="Palatino Linotype" w:hAnsi="Palatino Linotype" w:eastAsia="Palatino Linotype" w:cs="Times New Roman"/>
          <w:color w:val="000000" w:themeColor="text1"/>
        </w:rPr>
        <w:t>Gas RD&amp;D investment or otherwise state that none have accrued.</w:t>
      </w:r>
    </w:p>
    <w:p w:rsidRPr="00391600" w:rsidR="00BC2735" w:rsidP="00B87832" w:rsidRDefault="00BC2735" w14:paraId="7B1B3688" w14:textId="43173571">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The CEC </w:t>
      </w:r>
      <w:r w:rsidRPr="00391600" w:rsidR="003221CF">
        <w:rPr>
          <w:rFonts w:ascii="Palatino Linotype" w:hAnsi="Palatino Linotype" w:eastAsia="Palatino Linotype" w:cs="Times New Roman"/>
          <w:color w:val="000000" w:themeColor="text1"/>
          <w:kern w:val="0"/>
          <w14:ligatures w14:val="none"/>
        </w:rPr>
        <w:t>does not</w:t>
      </w:r>
      <w:r w:rsidRPr="00391600">
        <w:rPr>
          <w:rFonts w:ascii="Palatino Linotype" w:hAnsi="Palatino Linotype" w:eastAsia="Palatino Linotype" w:cs="Times New Roman"/>
          <w:color w:val="000000" w:themeColor="text1"/>
          <w:kern w:val="0"/>
          <w14:ligatures w14:val="none"/>
        </w:rPr>
        <w:t xml:space="preserve"> provide </w:t>
      </w:r>
      <w:r w:rsidRPr="00391600" w:rsidR="003221CF">
        <w:rPr>
          <w:rFonts w:ascii="Palatino Linotype" w:hAnsi="Palatino Linotype" w:eastAsia="Palatino Linotype" w:cs="Times New Roman"/>
          <w:color w:val="000000" w:themeColor="text1"/>
          <w:kern w:val="0"/>
          <w14:ligatures w14:val="none"/>
        </w:rPr>
        <w:t>sufficient</w:t>
      </w:r>
      <w:r w:rsidRPr="00391600">
        <w:rPr>
          <w:rFonts w:ascii="Palatino Linotype" w:hAnsi="Palatino Linotype" w:eastAsia="Palatino Linotype" w:cs="Times New Roman"/>
          <w:color w:val="000000" w:themeColor="text1"/>
          <w:kern w:val="0"/>
          <w14:ligatures w14:val="none"/>
        </w:rPr>
        <w:t xml:space="preserve"> detail to demonstrate that each proposed Initiative is coordinated with the IOUs and other Gas RD&amp;D entities, including how </w:t>
      </w:r>
      <w:proofErr w:type="gramStart"/>
      <w:r w:rsidRPr="00391600">
        <w:rPr>
          <w:rFonts w:ascii="Palatino Linotype" w:hAnsi="Palatino Linotype" w:eastAsia="Palatino Linotype" w:cs="Times New Roman"/>
          <w:color w:val="000000" w:themeColor="text1"/>
          <w:kern w:val="0"/>
          <w14:ligatures w14:val="none"/>
        </w:rPr>
        <w:t>outputs</w:t>
      </w:r>
      <w:proofErr w:type="gramEnd"/>
      <w:r w:rsidRPr="00391600">
        <w:rPr>
          <w:rFonts w:ascii="Palatino Linotype" w:hAnsi="Palatino Linotype" w:eastAsia="Palatino Linotype" w:cs="Times New Roman"/>
          <w:color w:val="000000" w:themeColor="text1"/>
          <w:kern w:val="0"/>
          <w14:ligatures w14:val="none"/>
        </w:rPr>
        <w:t xml:space="preserve"> and impacts are targeted and utilized to promote complementary rather than duplicative research efforts.  </w:t>
      </w:r>
    </w:p>
    <w:p w:rsidRPr="00391600" w:rsidR="00BC2735" w:rsidP="00B87832" w:rsidRDefault="00BC2735" w14:paraId="5E07EC20" w14:textId="631EE274">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The CEC</w:t>
      </w:r>
      <w:r w:rsidRPr="00391600" w:rsidR="003221CF">
        <w:rPr>
          <w:rFonts w:ascii="Palatino Linotype" w:hAnsi="Palatino Linotype" w:eastAsia="Palatino Linotype" w:cs="Times New Roman"/>
          <w:color w:val="000000" w:themeColor="text1"/>
          <w:kern w:val="0"/>
          <w14:ligatures w14:val="none"/>
        </w:rPr>
        <w:t xml:space="preserve"> does</w:t>
      </w:r>
      <w:r w:rsidRPr="00391600">
        <w:rPr>
          <w:rFonts w:ascii="Palatino Linotype" w:hAnsi="Palatino Linotype" w:eastAsia="Palatino Linotype" w:cs="Times New Roman"/>
          <w:color w:val="000000" w:themeColor="text1"/>
          <w:kern w:val="0"/>
          <w14:ligatures w14:val="none"/>
        </w:rPr>
        <w:t xml:space="preserve"> not </w:t>
      </w:r>
      <w:proofErr w:type="gramStart"/>
      <w:r w:rsidRPr="00391600">
        <w:rPr>
          <w:rFonts w:ascii="Palatino Linotype" w:hAnsi="Palatino Linotype" w:eastAsia="Palatino Linotype" w:cs="Times New Roman"/>
          <w:color w:val="000000" w:themeColor="text1"/>
          <w:kern w:val="0"/>
          <w14:ligatures w14:val="none"/>
        </w:rPr>
        <w:t>demonstrated</w:t>
      </w:r>
      <w:proofErr w:type="gramEnd"/>
      <w:r w:rsidRPr="00391600">
        <w:rPr>
          <w:rFonts w:ascii="Palatino Linotype" w:hAnsi="Palatino Linotype" w:eastAsia="Palatino Linotype" w:cs="Times New Roman"/>
          <w:color w:val="000000" w:themeColor="text1"/>
          <w:kern w:val="0"/>
          <w14:ligatures w14:val="none"/>
        </w:rPr>
        <w:t> alignment with CPUC proceedings and ratepayer benefit in its </w:t>
      </w:r>
      <w:r w:rsidRPr="00391600">
        <w:rPr>
          <w:rFonts w:ascii="Palatino Linotype" w:hAnsi="Palatino Linotype" w:eastAsia="Palatino Linotype" w:cs="Times New Roman"/>
          <w:i/>
          <w:iCs/>
          <w:color w:val="000000" w:themeColor="text1"/>
          <w:kern w:val="0"/>
          <w14:ligatures w14:val="none"/>
        </w:rPr>
        <w:t>Support Equitable, Safe, and Cost-Effective Decarbonization of California’s Gas System </w:t>
      </w:r>
      <w:r w:rsidRPr="00391600">
        <w:rPr>
          <w:rFonts w:ascii="Palatino Linotype" w:hAnsi="Palatino Linotype" w:eastAsia="Palatino Linotype" w:cs="Times New Roman"/>
          <w:color w:val="000000" w:themeColor="text1"/>
          <w:kern w:val="0"/>
          <w14:ligatures w14:val="none"/>
        </w:rPr>
        <w:t>and</w:t>
      </w:r>
      <w:r w:rsidRPr="00391600">
        <w:rPr>
          <w:rFonts w:ascii="Palatino Linotype" w:hAnsi="Palatino Linotype" w:eastAsia="Palatino Linotype" w:cs="Times New Roman"/>
          <w:i/>
          <w:iCs/>
          <w:color w:val="000000" w:themeColor="text1"/>
          <w:kern w:val="0"/>
          <w14:ligatures w14:val="none"/>
        </w:rPr>
        <w:t> Fuel-Flexible Distributed Power Generation</w:t>
      </w:r>
      <w:r w:rsidRPr="00391600" w:rsidR="002310F6">
        <w:rPr>
          <w:rFonts w:ascii="Palatino Linotype" w:hAnsi="Palatino Linotype" w:eastAsia="Palatino Linotype" w:cs="Times New Roman"/>
          <w:color w:val="000000" w:themeColor="text1"/>
          <w:kern w:val="0"/>
          <w:vertAlign w:val="superscript"/>
          <w14:ligatures w14:val="none"/>
        </w:rPr>
        <w:t xml:space="preserve"> </w:t>
      </w:r>
      <w:r w:rsidRPr="00391600">
        <w:rPr>
          <w:rFonts w:ascii="Palatino Linotype" w:hAnsi="Palatino Linotype" w:eastAsia="Palatino Linotype" w:cs="Times New Roman"/>
          <w:color w:val="000000" w:themeColor="text1"/>
          <w:kern w:val="0"/>
          <w14:ligatures w14:val="none"/>
        </w:rPr>
        <w:t>Initiatives. The Commission has not provided guidance on the appropriate role of gas ratepayers in funding hydrogen RD&amp;D as these projects would have further implications for future ratepayer funding, including in future Gas RD&amp;D Plans. </w:t>
      </w:r>
    </w:p>
    <w:p w:rsidRPr="00391600" w:rsidR="004E3919" w:rsidP="004E3919" w:rsidRDefault="004E3919" w14:paraId="48FDF735" w14:textId="62FD1E74">
      <w:pPr>
        <w:pStyle w:val="ListParagraph"/>
        <w:numPr>
          <w:ilvl w:val="0"/>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lastRenderedPageBreak/>
        <w:t>The CEC’s AL 10-G-A is not fully compliant with Commission requirements for the following reasons (See Appendix </w:t>
      </w:r>
      <w:r w:rsidRPr="00391600" w:rsidR="00037C5F">
        <w:rPr>
          <w:rFonts w:ascii="Palatino Linotype" w:hAnsi="Palatino Linotype" w:eastAsia="Palatino Linotype" w:cs="Times New Roman"/>
          <w:color w:val="000000" w:themeColor="text1"/>
          <w:kern w:val="0"/>
          <w14:ligatures w14:val="none"/>
        </w:rPr>
        <w:t>H</w:t>
      </w:r>
      <w:r w:rsidRPr="00391600">
        <w:rPr>
          <w:rFonts w:ascii="Palatino Linotype" w:hAnsi="Palatino Linotype" w:eastAsia="Palatino Linotype" w:cs="Times New Roman"/>
          <w:color w:val="000000" w:themeColor="text1"/>
          <w:kern w:val="0"/>
          <w14:ligatures w14:val="none"/>
        </w:rPr>
        <w:t> for details): </w:t>
      </w:r>
    </w:p>
    <w:p w:rsidRPr="00391600" w:rsidR="004E3919" w:rsidP="004E3919" w:rsidRDefault="004E3919" w14:paraId="520192AE" w14:textId="77777777">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The CEC does not disclose the following nor demonstrate that it: </w:t>
      </w:r>
    </w:p>
    <w:p w:rsidRPr="00391600" w:rsidR="002276AD" w:rsidP="002276AD" w:rsidRDefault="002276AD" w14:paraId="519DBA19" w14:textId="77777777">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First </w:t>
      </w:r>
      <w:r w:rsidRPr="00391600">
        <w:rPr>
          <w:rFonts w:ascii="Palatino Linotype" w:hAnsi="Palatino Linotype" w:eastAsia="Palatino Linotype" w:cs="Times New Roman"/>
          <w:color w:val="000000" w:themeColor="text1"/>
        </w:rPr>
        <w:t xml:space="preserve">utilized unspent fund balances, or </w:t>
      </w:r>
    </w:p>
    <w:p w:rsidRPr="00391600" w:rsidR="002276AD" w:rsidP="002276AD" w:rsidRDefault="1A7542D9" w14:paraId="2AF92C45" w14:textId="77777777">
      <w:pPr>
        <w:pStyle w:val="ListParagraph"/>
        <w:numPr>
          <w:ilvl w:val="2"/>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Addressed whether any commercial benefits have resulted from </w:t>
      </w:r>
      <w:r w:rsidRPr="00391600">
        <w:rPr>
          <w:rFonts w:ascii="Palatino Linotype" w:hAnsi="Palatino Linotype" w:eastAsia="Palatino Linotype" w:cs="Times New Roman"/>
          <w:color w:val="000000" w:themeColor="text1"/>
        </w:rPr>
        <w:t>previous Gas RD&amp;D investment or otherwise state that none have accrued.</w:t>
      </w:r>
    </w:p>
    <w:p w:rsidRPr="00391600" w:rsidR="004E3919" w:rsidP="004E3919" w:rsidRDefault="004E3919" w14:paraId="5D87CB49" w14:textId="2E8767B2">
      <w:pPr>
        <w:pStyle w:val="ListParagraph"/>
        <w:numPr>
          <w:ilvl w:val="1"/>
          <w:numId w:val="4"/>
        </w:numPr>
        <w:spacing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rPr>
        <w:t>The CEC </w:t>
      </w:r>
      <w:r w:rsidRPr="00391600" w:rsidR="003221CF">
        <w:rPr>
          <w:rFonts w:ascii="Palatino Linotype" w:hAnsi="Palatino Linotype" w:eastAsia="Palatino Linotype" w:cs="Times New Roman"/>
          <w:color w:val="000000" w:themeColor="text1"/>
        </w:rPr>
        <w:t>does not provide sufficient</w:t>
      </w:r>
      <w:r w:rsidRPr="00391600">
        <w:rPr>
          <w:rFonts w:ascii="Palatino Linotype" w:hAnsi="Palatino Linotype" w:eastAsia="Palatino Linotype" w:cs="Times New Roman"/>
          <w:color w:val="000000" w:themeColor="text1"/>
        </w:rPr>
        <w:t xml:space="preserve"> detail to</w:t>
      </w:r>
      <w:r w:rsidRPr="00391600" w:rsidR="00F7054D">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demonstrate</w:t>
      </w:r>
      <w:r w:rsidRPr="00391600" w:rsidR="00034165">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that</w:t>
      </w:r>
      <w:r w:rsidRPr="00391600" w:rsidR="00034165">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color w:val="000000" w:themeColor="text1"/>
        </w:rPr>
        <w:t>the</w:t>
      </w:r>
      <w:r w:rsidRPr="00391600" w:rsidR="00034165">
        <w:rPr>
          <w:rFonts w:ascii="Palatino Linotype" w:hAnsi="Palatino Linotype" w:eastAsia="Palatino Linotype" w:cs="Times New Roman"/>
          <w:color w:val="000000" w:themeColor="text1"/>
        </w:rPr>
        <w:t xml:space="preserve"> </w:t>
      </w:r>
      <w:r w:rsidRPr="00391600">
        <w:rPr>
          <w:rFonts w:ascii="Palatino Linotype" w:hAnsi="Palatino Linotype" w:eastAsia="Palatino Linotype" w:cs="Times New Roman"/>
          <w:i/>
          <w:iCs/>
          <w:color w:val="000000" w:themeColor="text1"/>
        </w:rPr>
        <w:t>Networked Geothermal Heat Pumps </w:t>
      </w:r>
      <w:r w:rsidRPr="00391600">
        <w:rPr>
          <w:rFonts w:ascii="Palatino Linotype" w:hAnsi="Palatino Linotype" w:eastAsia="Palatino Linotype" w:cs="Times New Roman"/>
          <w:color w:val="000000" w:themeColor="text1"/>
        </w:rPr>
        <w:t>Initiative will involve activities that are complementary to rather than duplicative of ongoing and proposed CEC Gas RD&amp;D and EPIC Initiatives.</w:t>
      </w:r>
    </w:p>
    <w:p w:rsidRPr="00391600" w:rsidR="00DE2A6E" w:rsidP="00A556C9" w:rsidRDefault="00AC1C42" w14:paraId="6AF8704E" w14:textId="46177635">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DE2A6E">
        <w:rPr>
          <w:rFonts w:ascii="Palatino Linotype" w:hAnsi="Palatino Linotype" w:eastAsia="Palatino Linotype" w:cs="Times New Roman"/>
          <w:color w:val="000000" w:themeColor="text1"/>
          <w:kern w:val="0"/>
          <w14:ligatures w14:val="none"/>
        </w:rPr>
        <w:t xml:space="preserve">CEC’s </w:t>
      </w:r>
      <w:r w:rsidRPr="00391600" w:rsidR="002C7BB9">
        <w:rPr>
          <w:rFonts w:ascii="Palatino Linotype" w:hAnsi="Palatino Linotype" w:eastAsia="Palatino Linotype" w:cs="Times New Roman"/>
          <w:i/>
          <w:color w:val="000000" w:themeColor="text1"/>
          <w:kern w:val="0"/>
          <w14:ligatures w14:val="none"/>
        </w:rPr>
        <w:t>Social Science Research for Gas Decommissioning in the Mid and Long Term</w:t>
      </w:r>
      <w:r w:rsidRPr="00391600" w:rsidR="00CD3BB6">
        <w:rPr>
          <w:rFonts w:ascii="Palatino Linotype" w:hAnsi="Palatino Linotype" w:eastAsia="Palatino Linotype" w:cs="Times New Roman"/>
          <w:color w:val="000000" w:themeColor="text1"/>
          <w:kern w:val="0"/>
          <w14:ligatures w14:val="none"/>
        </w:rPr>
        <w:t xml:space="preserve"> and </w:t>
      </w:r>
      <w:r w:rsidRPr="00391600" w:rsidR="00476F8A">
        <w:rPr>
          <w:rFonts w:ascii="Palatino Linotype" w:hAnsi="Palatino Linotype" w:eastAsia="Palatino Linotype" w:cs="Times New Roman"/>
          <w:i/>
          <w:color w:val="000000" w:themeColor="text1"/>
          <w:kern w:val="0"/>
          <w14:ligatures w14:val="none"/>
        </w:rPr>
        <w:t>Pilot Projects to Advance Gas Decommissioning</w:t>
      </w:r>
      <w:r w:rsidRPr="00391600" w:rsidR="00CD3BB6">
        <w:rPr>
          <w:rFonts w:ascii="Palatino Linotype" w:hAnsi="Palatino Linotype" w:eastAsia="Palatino Linotype" w:cs="Times New Roman"/>
          <w:color w:val="000000" w:themeColor="text1"/>
          <w:kern w:val="0"/>
          <w14:ligatures w14:val="none"/>
        </w:rPr>
        <w:t xml:space="preserve"> Initiative</w:t>
      </w:r>
      <w:r w:rsidRPr="00391600" w:rsidR="00476F8A">
        <w:rPr>
          <w:rFonts w:ascii="Palatino Linotype" w:hAnsi="Palatino Linotype" w:eastAsia="Palatino Linotype" w:cs="Times New Roman"/>
          <w:color w:val="000000" w:themeColor="text1"/>
          <w:kern w:val="0"/>
          <w14:ligatures w14:val="none"/>
        </w:rPr>
        <w:t>s</w:t>
      </w:r>
      <w:r w:rsidRPr="00391600" w:rsidR="00CD3BB6">
        <w:rPr>
          <w:rFonts w:ascii="Palatino Linotype" w:hAnsi="Palatino Linotype" w:eastAsia="Palatino Linotype" w:cs="Times New Roman"/>
          <w:color w:val="000000" w:themeColor="text1"/>
          <w:kern w:val="0"/>
          <w14:ligatures w14:val="none"/>
        </w:rPr>
        <w:t xml:space="preserve"> in its proposed 2025 Plan submitted via Tier 3 AL 10-G-A are compliant with </w:t>
      </w:r>
      <w:r w:rsidRPr="00391600" w:rsidR="00476F8A">
        <w:rPr>
          <w:rFonts w:ascii="Palatino Linotype" w:hAnsi="Palatino Linotype" w:eastAsia="Palatino Linotype" w:cs="Times New Roman"/>
          <w:color w:val="000000" w:themeColor="text1"/>
          <w:kern w:val="0"/>
          <w14:ligatures w14:val="none"/>
        </w:rPr>
        <w:t xml:space="preserve">all applicable </w:t>
      </w:r>
      <w:r w:rsidRPr="00391600" w:rsidR="00CD3BB6">
        <w:rPr>
          <w:rFonts w:ascii="Palatino Linotype" w:hAnsi="Palatino Linotype" w:eastAsia="Palatino Linotype" w:cs="Times New Roman"/>
          <w:color w:val="000000" w:themeColor="text1"/>
          <w:kern w:val="0"/>
          <w14:ligatures w14:val="none"/>
        </w:rPr>
        <w:t>Commission requirements.</w:t>
      </w:r>
    </w:p>
    <w:p w:rsidRPr="00391600" w:rsidR="00A71CC5" w:rsidP="00A71CC5" w:rsidRDefault="00AC1C42" w14:paraId="0A02DE6D" w14:textId="1AEF9997">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6B374C">
        <w:rPr>
          <w:rFonts w:ascii="Palatino Linotype" w:hAnsi="Palatino Linotype" w:eastAsia="Palatino Linotype" w:cs="Times New Roman"/>
          <w:color w:val="000000" w:themeColor="text1"/>
          <w:kern w:val="0"/>
          <w14:ligatures w14:val="none"/>
        </w:rPr>
        <w:t xml:space="preserve">CEC appropriately </w:t>
      </w:r>
      <w:r w:rsidRPr="00391600" w:rsidR="007E4D48">
        <w:rPr>
          <w:rFonts w:ascii="Palatino Linotype" w:hAnsi="Palatino Linotype" w:eastAsia="Palatino Linotype" w:cs="Times New Roman"/>
          <w:color w:val="000000" w:themeColor="text1"/>
          <w:kern w:val="0"/>
          <w14:ligatures w14:val="none"/>
        </w:rPr>
        <w:t xml:space="preserve">responded to and addressed concerns in Cal </w:t>
      </w:r>
      <w:r w:rsidRPr="00391600" w:rsidR="000B324C">
        <w:rPr>
          <w:rFonts w:ascii="Palatino Linotype" w:hAnsi="Palatino Linotype" w:eastAsia="Palatino Linotype" w:cs="Times New Roman"/>
          <w:color w:val="000000" w:themeColor="text1"/>
          <w:kern w:val="0"/>
          <w14:ligatures w14:val="none"/>
        </w:rPr>
        <w:br/>
      </w:r>
      <w:r w:rsidRPr="00391600" w:rsidR="007E4D48">
        <w:rPr>
          <w:rFonts w:ascii="Palatino Linotype" w:hAnsi="Palatino Linotype" w:eastAsia="Palatino Linotype" w:cs="Times New Roman"/>
          <w:color w:val="000000" w:themeColor="text1"/>
          <w:kern w:val="0"/>
          <w14:ligatures w14:val="none"/>
        </w:rPr>
        <w:t>Advocates’ protest on AL 10-G-A submitted April 30, 2025.</w:t>
      </w:r>
    </w:p>
    <w:p w:rsidRPr="00391600" w:rsidR="00B773FF" w:rsidP="00A71CC5" w:rsidRDefault="00AC1C42" w14:paraId="7A4B9DC5" w14:textId="1095AE39">
      <w:pPr>
        <w:pStyle w:val="ListParagraph"/>
        <w:numPr>
          <w:ilvl w:val="0"/>
          <w:numId w:val="4"/>
        </w:numPr>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 xml:space="preserve">The </w:t>
      </w:r>
      <w:r w:rsidRPr="00391600" w:rsidR="00237AE7">
        <w:rPr>
          <w:rFonts w:ascii="Palatino Linotype" w:hAnsi="Palatino Linotype" w:eastAsia="Palatino Linotype" w:cs="Times New Roman"/>
          <w:color w:val="000000" w:themeColor="text1"/>
          <w:kern w:val="0"/>
          <w14:ligatures w14:val="none"/>
        </w:rPr>
        <w:t xml:space="preserve">CEC responded to a CPUC </w:t>
      </w:r>
      <w:r w:rsidRPr="00391600" w:rsidR="0056763F">
        <w:rPr>
          <w:rFonts w:ascii="Palatino Linotype" w:hAnsi="Palatino Linotype" w:eastAsia="Palatino Linotype" w:cs="Times New Roman"/>
          <w:color w:val="000000" w:themeColor="text1"/>
          <w:kern w:val="0"/>
          <w14:ligatures w14:val="none"/>
        </w:rPr>
        <w:t>d</w:t>
      </w:r>
      <w:r w:rsidRPr="00391600" w:rsidR="00237AE7">
        <w:rPr>
          <w:rFonts w:ascii="Palatino Linotype" w:hAnsi="Palatino Linotype" w:eastAsia="Palatino Linotype" w:cs="Times New Roman"/>
          <w:color w:val="000000" w:themeColor="text1"/>
          <w:kern w:val="0"/>
          <w14:ligatures w14:val="none"/>
        </w:rPr>
        <w:t xml:space="preserve">ata </w:t>
      </w:r>
      <w:r w:rsidRPr="00391600" w:rsidR="0056763F">
        <w:rPr>
          <w:rFonts w:ascii="Palatino Linotype" w:hAnsi="Palatino Linotype" w:eastAsia="Palatino Linotype" w:cs="Times New Roman"/>
          <w:color w:val="000000" w:themeColor="text1"/>
          <w:kern w:val="0"/>
          <w14:ligatures w14:val="none"/>
        </w:rPr>
        <w:t>r</w:t>
      </w:r>
      <w:r w:rsidRPr="00391600" w:rsidR="00237AE7">
        <w:rPr>
          <w:rFonts w:ascii="Palatino Linotype" w:hAnsi="Palatino Linotype" w:eastAsia="Palatino Linotype" w:cs="Times New Roman"/>
          <w:color w:val="000000" w:themeColor="text1"/>
          <w:kern w:val="0"/>
          <w14:ligatures w14:val="none"/>
        </w:rPr>
        <w:t xml:space="preserve">equest </w:t>
      </w:r>
      <w:r w:rsidRPr="00391600" w:rsidR="00551C23">
        <w:rPr>
          <w:rFonts w:ascii="Palatino Linotype" w:hAnsi="Palatino Linotype" w:eastAsia="Palatino Linotype" w:cs="Times New Roman"/>
          <w:color w:val="000000" w:themeColor="text1"/>
          <w:kern w:val="0"/>
          <w14:ligatures w14:val="none"/>
        </w:rPr>
        <w:t xml:space="preserve">on April </w:t>
      </w:r>
      <w:r w:rsidRPr="00391600" w:rsidR="00EC4A49">
        <w:rPr>
          <w:rFonts w:ascii="Palatino Linotype" w:hAnsi="Palatino Linotype" w:eastAsia="Palatino Linotype" w:cs="Times New Roman"/>
          <w:color w:val="000000" w:themeColor="text1"/>
          <w:kern w:val="0"/>
          <w14:ligatures w14:val="none"/>
        </w:rPr>
        <w:t xml:space="preserve">30, 2026, </w:t>
      </w:r>
      <w:r w:rsidRPr="00391600" w:rsidR="009E3048">
        <w:rPr>
          <w:rFonts w:ascii="Palatino Linotype" w:hAnsi="Palatino Linotype" w:eastAsia="Palatino Linotype" w:cs="Times New Roman"/>
          <w:color w:val="000000" w:themeColor="text1"/>
          <w:kern w:val="0"/>
          <w14:ligatures w14:val="none"/>
        </w:rPr>
        <w:t xml:space="preserve">with updated </w:t>
      </w:r>
      <w:r w:rsidRPr="00391600" w:rsidR="001D5023">
        <w:rPr>
          <w:rFonts w:ascii="Palatino Linotype" w:hAnsi="Palatino Linotype" w:eastAsia="Palatino Linotype" w:cs="Times New Roman"/>
          <w:color w:val="000000" w:themeColor="text1"/>
          <w:kern w:val="0"/>
          <w14:ligatures w14:val="none"/>
        </w:rPr>
        <w:t xml:space="preserve">balances of spent and unspent encumbered funds and unencumbered funds </w:t>
      </w:r>
      <w:r w:rsidRPr="00391600" w:rsidR="008B3A67">
        <w:rPr>
          <w:rFonts w:ascii="Palatino Linotype" w:hAnsi="Palatino Linotype" w:eastAsia="Palatino Linotype" w:cs="Times New Roman"/>
          <w:color w:val="000000" w:themeColor="text1"/>
          <w:kern w:val="0"/>
          <w14:ligatures w14:val="none"/>
        </w:rPr>
        <w:t>from previously approved Gas RD&amp;D Plans from FY 2015-2016 to present</w:t>
      </w:r>
      <w:r w:rsidRPr="00391600" w:rsidR="00EE6726">
        <w:rPr>
          <w:rFonts w:ascii="Palatino Linotype" w:hAnsi="Palatino Linotype" w:eastAsia="Palatino Linotype" w:cs="Times New Roman"/>
          <w:color w:val="000000" w:themeColor="text1"/>
          <w:kern w:val="0"/>
          <w14:ligatures w14:val="none"/>
        </w:rPr>
        <w:t xml:space="preserve"> to supplement information provided in its </w:t>
      </w:r>
      <w:r w:rsidRPr="00391600" w:rsidR="00E86FE1">
        <w:rPr>
          <w:rFonts w:ascii="Palatino Linotype" w:hAnsi="Palatino Linotype" w:eastAsia="Palatino Linotype" w:cs="Times New Roman"/>
          <w:color w:val="000000" w:themeColor="text1"/>
          <w:kern w:val="0"/>
          <w14:ligatures w14:val="none"/>
        </w:rPr>
        <w:t xml:space="preserve">Annual Report and </w:t>
      </w:r>
      <w:r w:rsidRPr="00391600" w:rsidR="00D412E5">
        <w:rPr>
          <w:rFonts w:ascii="Palatino Linotype" w:hAnsi="Palatino Linotype" w:eastAsia="Palatino Linotype" w:cs="Times New Roman"/>
          <w:color w:val="000000" w:themeColor="text1"/>
          <w:kern w:val="0"/>
          <w14:ligatures w14:val="none"/>
        </w:rPr>
        <w:t xml:space="preserve">Annual </w:t>
      </w:r>
      <w:r w:rsidRPr="00391600" w:rsidR="00EE6726">
        <w:rPr>
          <w:rFonts w:ascii="Palatino Linotype" w:hAnsi="Palatino Linotype" w:eastAsia="Palatino Linotype" w:cs="Times New Roman"/>
          <w:color w:val="000000" w:themeColor="text1"/>
          <w:kern w:val="0"/>
          <w14:ligatures w14:val="none"/>
        </w:rPr>
        <w:t>Plan.</w:t>
      </w:r>
    </w:p>
    <w:p w:rsidRPr="00391600" w:rsidR="00A20F88" w:rsidP="00A20F88" w:rsidRDefault="003C10E9" w14:paraId="69F23310" w14:textId="486766F6">
      <w:pPr>
        <w:pStyle w:val="10sp0"/>
        <w:numPr>
          <w:ilvl w:val="0"/>
          <w:numId w:val="4"/>
        </w:numPr>
        <w:spacing w:after="0"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The Consolidated Guidance for Future CEC Gas RD&amp;D Compliance Filings </w:t>
      </w:r>
      <w:r w:rsidRPr="00391600" w:rsidR="00A20F88">
        <w:rPr>
          <w:rFonts w:ascii="Palatino Linotype" w:hAnsi="Palatino Linotype" w:eastAsia="Palatino Linotype"/>
          <w:color w:val="000000" w:themeColor="text1"/>
        </w:rPr>
        <w:t xml:space="preserve">section of this Resolution is provided to support the </w:t>
      </w:r>
      <w:r w:rsidRPr="00391600">
        <w:rPr>
          <w:rFonts w:ascii="Palatino Linotype" w:hAnsi="Palatino Linotype" w:eastAsia="Palatino Linotype"/>
          <w:color w:val="000000" w:themeColor="text1"/>
        </w:rPr>
        <w:t>efficient development, streamlined review, and effective implementation of future proposed Gas RD&amp;D Plans.</w:t>
      </w:r>
    </w:p>
    <w:p w:rsidRPr="00391600" w:rsidR="00A76F4A" w:rsidP="003147DD" w:rsidRDefault="00A76F4A" w14:paraId="21CF1B88" w14:textId="77777777">
      <w:pPr>
        <w:spacing w:after="0" w:line="276" w:lineRule="auto"/>
        <w:rPr>
          <w:rFonts w:ascii="Palatino Linotype" w:hAnsi="Palatino Linotype" w:eastAsia="Palatino Linotype" w:cs="Times New Roman"/>
          <w:b/>
          <w:color w:val="000000" w:themeColor="text1"/>
          <w:kern w:val="0"/>
          <w14:ligatures w14:val="none"/>
        </w:rPr>
      </w:pPr>
    </w:p>
    <w:p w:rsidRPr="00391600" w:rsidR="00A76F4A" w:rsidP="00A70537" w:rsidRDefault="00A76F4A" w14:paraId="215FEFCC" w14:textId="4900AB08">
      <w:pPr>
        <w:keepNext/>
        <w:spacing w:after="240" w:line="276" w:lineRule="auto"/>
        <w:outlineLvl w:val="0"/>
        <w:rPr>
          <w:rFonts w:ascii="Palatino Linotype" w:hAnsi="Palatino Linotype" w:eastAsia="Palatino Linotype" w:cs="Times New Roman"/>
          <w:b/>
          <w:caps/>
          <w:color w:val="000000" w:themeColor="text1"/>
          <w:kern w:val="28"/>
          <w:u w:val="single"/>
          <w14:ligatures w14:val="none"/>
        </w:rPr>
      </w:pPr>
      <w:r w:rsidRPr="00391600">
        <w:rPr>
          <w:rFonts w:ascii="Palatino Linotype" w:hAnsi="Palatino Linotype" w:eastAsia="Palatino Linotype" w:cs="Times New Roman"/>
          <w:b/>
          <w:caps/>
          <w:color w:val="000000" w:themeColor="text1"/>
          <w:kern w:val="28"/>
          <w:u w:val="single"/>
          <w14:ligatures w14:val="none"/>
        </w:rPr>
        <w:t>Therefore</w:t>
      </w:r>
      <w:r w:rsidRPr="00391600" w:rsidR="006E3061">
        <w:rPr>
          <w:rFonts w:ascii="Palatino Linotype" w:hAnsi="Palatino Linotype" w:eastAsia="Palatino Linotype" w:cs="Times New Roman"/>
          <w:b/>
          <w:caps/>
          <w:color w:val="000000" w:themeColor="text1"/>
          <w:kern w:val="28"/>
          <w:u w:val="single"/>
          <w14:ligatures w14:val="none"/>
        </w:rPr>
        <w:t>,</w:t>
      </w:r>
      <w:r w:rsidRPr="00391600">
        <w:rPr>
          <w:rFonts w:ascii="Palatino Linotype" w:hAnsi="Palatino Linotype" w:eastAsia="Palatino Linotype" w:cs="Times New Roman"/>
          <w:b/>
          <w:caps/>
          <w:color w:val="000000" w:themeColor="text1"/>
          <w:kern w:val="28"/>
          <w:u w:val="single"/>
          <w14:ligatures w14:val="none"/>
        </w:rPr>
        <w:t xml:space="preserve"> it is ordered that:</w:t>
      </w:r>
    </w:p>
    <w:p w:rsidRPr="00391600" w:rsidR="00BD751D" w:rsidP="00A26E2F" w:rsidRDefault="00F51987" w14:paraId="789996C5" w14:textId="056F94A1">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t>T</w:t>
      </w:r>
      <w:r w:rsidRPr="00391600" w:rsidR="00BD751D">
        <w:rPr>
          <w:rFonts w:ascii="Palatino Linotype" w:hAnsi="Palatino Linotype" w:eastAsia="Times New Roman" w:cs="Times New Roman"/>
          <w:color w:val="000000" w:themeColor="text1"/>
          <w:kern w:val="0"/>
          <w14:ligatures w14:val="none"/>
        </w:rPr>
        <w:t xml:space="preserve">he California Energy Commission’s </w:t>
      </w:r>
      <w:r w:rsidRPr="00391600">
        <w:rPr>
          <w:rFonts w:ascii="Palatino Linotype" w:hAnsi="Palatino Linotype" w:eastAsia="Times New Roman" w:cs="Times New Roman"/>
          <w:color w:val="000000" w:themeColor="text1"/>
          <w:kern w:val="0"/>
          <w14:ligatures w14:val="none"/>
        </w:rPr>
        <w:t xml:space="preserve">(CEC’s) </w:t>
      </w:r>
      <w:r w:rsidRPr="00391600" w:rsidR="00BD751D">
        <w:rPr>
          <w:rFonts w:ascii="Palatino Linotype" w:hAnsi="Palatino Linotype" w:eastAsia="Times New Roman" w:cs="Times New Roman"/>
          <w:color w:val="000000" w:themeColor="text1"/>
          <w:kern w:val="0"/>
          <w14:ligatures w14:val="none"/>
        </w:rPr>
        <w:t xml:space="preserve">Gas </w:t>
      </w:r>
      <w:r w:rsidRPr="00391600" w:rsidR="00ED2B79">
        <w:rPr>
          <w:rFonts w:ascii="Palatino Linotype" w:hAnsi="Palatino Linotype" w:eastAsia="Palatino Linotype" w:cs="Times New Roman"/>
          <w:color w:val="000000" w:themeColor="text1"/>
          <w:kern w:val="0"/>
          <w14:ligatures w14:val="none"/>
        </w:rPr>
        <w:t xml:space="preserve">Research, Development, and Demonstration (RD&amp;D) </w:t>
      </w:r>
      <w:r w:rsidRPr="00391600" w:rsidR="0089411E">
        <w:rPr>
          <w:rFonts w:ascii="Palatino Linotype" w:hAnsi="Palatino Linotype" w:eastAsia="Palatino Linotype" w:cs="Times New Roman"/>
          <w:color w:val="000000" w:themeColor="text1"/>
          <w:kern w:val="0"/>
          <w14:ligatures w14:val="none"/>
        </w:rPr>
        <w:t xml:space="preserve">Program </w:t>
      </w:r>
      <w:r w:rsidRPr="00391600" w:rsidR="009441FA">
        <w:rPr>
          <w:rFonts w:ascii="Palatino Linotype" w:hAnsi="Palatino Linotype" w:eastAsia="Times New Roman" w:cs="Times New Roman"/>
          <w:color w:val="000000" w:themeColor="text1"/>
          <w:kern w:val="0"/>
          <w14:ligatures w14:val="none"/>
        </w:rPr>
        <w:t>funding level</w:t>
      </w:r>
      <w:r w:rsidRPr="00391600" w:rsidR="00BD751D">
        <w:rPr>
          <w:rFonts w:ascii="Palatino Linotype" w:hAnsi="Palatino Linotype" w:eastAsia="Times New Roman" w:cs="Times New Roman"/>
          <w:color w:val="000000" w:themeColor="text1"/>
          <w:kern w:val="0"/>
          <w14:ligatures w14:val="none"/>
        </w:rPr>
        <w:t xml:space="preserve"> for </w:t>
      </w:r>
      <w:r w:rsidRPr="00391600" w:rsidR="0089411E">
        <w:rPr>
          <w:rFonts w:ascii="Palatino Linotype" w:hAnsi="Palatino Linotype" w:eastAsia="Times New Roman" w:cs="Times New Roman"/>
          <w:color w:val="000000" w:themeColor="text1"/>
          <w:kern w:val="0"/>
          <w14:ligatures w14:val="none"/>
        </w:rPr>
        <w:t>its 2024 Plan</w:t>
      </w:r>
      <w:r w:rsidRPr="00391600" w:rsidR="00BD751D">
        <w:rPr>
          <w:rFonts w:ascii="Palatino Linotype" w:hAnsi="Palatino Linotype" w:eastAsia="Times New Roman" w:cs="Times New Roman"/>
          <w:color w:val="000000" w:themeColor="text1"/>
          <w:kern w:val="0"/>
          <w14:ligatures w14:val="none"/>
        </w:rPr>
        <w:t xml:space="preserve"> </w:t>
      </w:r>
      <w:r w:rsidR="00EB2CC0">
        <w:rPr>
          <w:rFonts w:ascii="Palatino Linotype" w:hAnsi="Palatino Linotype" w:eastAsia="Times New Roman" w:cs="Times New Roman"/>
          <w:color w:val="000000" w:themeColor="text1"/>
          <w:kern w:val="0"/>
          <w14:ligatures w14:val="none"/>
        </w:rPr>
        <w:br/>
      </w:r>
      <w:r w:rsidRPr="00391600" w:rsidR="00BD751D">
        <w:rPr>
          <w:rFonts w:ascii="Palatino Linotype" w:hAnsi="Palatino Linotype" w:eastAsia="Times New Roman" w:cs="Times New Roman"/>
          <w:color w:val="000000" w:themeColor="text1"/>
          <w:kern w:val="0"/>
          <w14:ligatures w14:val="none"/>
        </w:rPr>
        <w:t xml:space="preserve">(AL </w:t>
      </w:r>
      <w:r w:rsidRPr="00391600" w:rsidR="00B95852">
        <w:rPr>
          <w:rFonts w:ascii="Palatino Linotype" w:hAnsi="Palatino Linotype" w:eastAsia="Times New Roman" w:cs="Times New Roman"/>
          <w:color w:val="000000" w:themeColor="text1"/>
          <w:kern w:val="0"/>
          <w14:ligatures w14:val="none"/>
        </w:rPr>
        <w:t>12-</w:t>
      </w:r>
      <w:r w:rsidRPr="00391600" w:rsidR="00BD751D">
        <w:rPr>
          <w:rFonts w:ascii="Palatino Linotype" w:hAnsi="Palatino Linotype" w:eastAsia="Times New Roman" w:cs="Times New Roman"/>
          <w:color w:val="000000" w:themeColor="text1"/>
          <w:kern w:val="0"/>
          <w14:ligatures w14:val="none"/>
        </w:rPr>
        <w:t xml:space="preserve">G) </w:t>
      </w:r>
      <w:r w:rsidRPr="00391600" w:rsidR="0089411E">
        <w:rPr>
          <w:rFonts w:ascii="Palatino Linotype" w:hAnsi="Palatino Linotype" w:eastAsia="Times New Roman" w:cs="Times New Roman"/>
          <w:color w:val="000000" w:themeColor="text1"/>
          <w:kern w:val="0"/>
          <w14:ligatures w14:val="none"/>
        </w:rPr>
        <w:t>is</w:t>
      </w:r>
      <w:r w:rsidRPr="00391600" w:rsidR="009441FA">
        <w:rPr>
          <w:rFonts w:ascii="Palatino Linotype" w:hAnsi="Palatino Linotype" w:eastAsia="Times New Roman" w:cs="Times New Roman"/>
          <w:color w:val="000000" w:themeColor="text1"/>
          <w:kern w:val="0"/>
          <w14:ligatures w14:val="none"/>
        </w:rPr>
        <w:t xml:space="preserve"> </w:t>
      </w:r>
      <w:r w:rsidRPr="00391600" w:rsidR="00BD751D">
        <w:rPr>
          <w:rFonts w:ascii="Palatino Linotype" w:hAnsi="Palatino Linotype" w:eastAsia="Times New Roman" w:cs="Times New Roman"/>
          <w:color w:val="000000" w:themeColor="text1"/>
          <w:kern w:val="0"/>
          <w14:ligatures w14:val="none"/>
        </w:rPr>
        <w:t>$</w:t>
      </w:r>
      <w:r w:rsidRPr="00391600" w:rsidR="008D42C4">
        <w:rPr>
          <w:rFonts w:ascii="Palatino Linotype" w:hAnsi="Palatino Linotype" w:eastAsia="Times New Roman" w:cs="Times New Roman"/>
          <w:color w:val="000000" w:themeColor="text1"/>
          <w:kern w:val="0"/>
          <w14:ligatures w14:val="none"/>
        </w:rPr>
        <w:t>24</w:t>
      </w:r>
      <w:r w:rsidRPr="00391600" w:rsidR="00BD751D">
        <w:rPr>
          <w:rFonts w:ascii="Palatino Linotype" w:hAnsi="Palatino Linotype" w:eastAsia="Times New Roman" w:cs="Times New Roman"/>
          <w:color w:val="000000" w:themeColor="text1"/>
          <w:kern w:val="0"/>
          <w14:ligatures w14:val="none"/>
        </w:rPr>
        <w:t xml:space="preserve"> million</w:t>
      </w:r>
      <w:r w:rsidRPr="00391600" w:rsidR="00630E5E">
        <w:rPr>
          <w:rFonts w:ascii="Palatino Linotype" w:hAnsi="Palatino Linotype" w:eastAsia="Times New Roman" w:cs="Times New Roman"/>
          <w:color w:val="000000" w:themeColor="text1"/>
          <w:kern w:val="0"/>
          <w14:ligatures w14:val="none"/>
        </w:rPr>
        <w:t xml:space="preserve">, </w:t>
      </w:r>
      <w:r w:rsidRPr="00391600" w:rsidR="00630E5E">
        <w:rPr>
          <w:rFonts w:ascii="Palatino Linotype" w:hAnsi="Palatino Linotype" w:eastAsia="Times New Roman" w:cs="Times New Roman"/>
          <w:color w:val="000000" w:themeColor="text1"/>
        </w:rPr>
        <w:t>comprised of $21</w:t>
      </w:r>
      <w:r w:rsidRPr="00391600" w:rsidR="00AD5709">
        <w:rPr>
          <w:rFonts w:ascii="Palatino Linotype" w:hAnsi="Palatino Linotype" w:eastAsia="Times New Roman" w:cs="Times New Roman"/>
          <w:color w:val="000000" w:themeColor="text1"/>
          <w:kern w:val="0"/>
          <w14:ligatures w14:val="none"/>
        </w:rPr>
        <w:t xml:space="preserve">.6 million </w:t>
      </w:r>
      <w:r w:rsidRPr="00391600" w:rsidR="000F460B">
        <w:rPr>
          <w:rFonts w:ascii="Palatino Linotype" w:hAnsi="Palatino Linotype" w:eastAsia="Times New Roman" w:cs="Times New Roman"/>
          <w:color w:val="000000" w:themeColor="text1"/>
          <w:kern w:val="0"/>
          <w14:ligatures w14:val="none"/>
        </w:rPr>
        <w:t xml:space="preserve">from </w:t>
      </w:r>
      <w:r w:rsidRPr="00391600" w:rsidR="00C65392">
        <w:rPr>
          <w:rFonts w:ascii="Palatino Linotype" w:hAnsi="Palatino Linotype" w:eastAsia="Times New Roman" w:cs="Times New Roman"/>
          <w:color w:val="000000" w:themeColor="text1"/>
          <w:kern w:val="0"/>
          <w14:ligatures w14:val="none"/>
        </w:rPr>
        <w:t xml:space="preserve">unencumbered and </w:t>
      </w:r>
      <w:r w:rsidRPr="00391600" w:rsidR="000F460B">
        <w:rPr>
          <w:rFonts w:ascii="Palatino Linotype" w:hAnsi="Palatino Linotype" w:eastAsia="Times New Roman" w:cs="Times New Roman"/>
          <w:color w:val="000000" w:themeColor="text1"/>
        </w:rPr>
        <w:t>unspent funds</w:t>
      </w:r>
      <w:r w:rsidRPr="00391600" w:rsidR="00306696">
        <w:rPr>
          <w:rFonts w:ascii="Palatino Linotype" w:hAnsi="Palatino Linotype" w:eastAsia="Times New Roman" w:cs="Times New Roman"/>
          <w:color w:val="000000" w:themeColor="text1"/>
          <w:kern w:val="0"/>
          <w14:ligatures w14:val="none"/>
        </w:rPr>
        <w:t xml:space="preserve"> </w:t>
      </w:r>
      <w:r w:rsidRPr="00391600" w:rsidR="7BF0020D">
        <w:rPr>
          <w:rFonts w:ascii="Palatino Linotype" w:hAnsi="Palatino Linotype" w:eastAsia="Times New Roman" w:cs="Times New Roman"/>
          <w:color w:val="000000" w:themeColor="text1"/>
        </w:rPr>
        <w:t xml:space="preserve">for Initiatives </w:t>
      </w:r>
      <w:r w:rsidRPr="00391600" w:rsidR="00306696">
        <w:rPr>
          <w:rFonts w:ascii="Palatino Linotype" w:hAnsi="Palatino Linotype" w:eastAsia="Times New Roman" w:cs="Times New Roman"/>
          <w:color w:val="000000" w:themeColor="text1"/>
        </w:rPr>
        <w:t>and</w:t>
      </w:r>
      <w:r w:rsidRPr="00391600" w:rsidR="00A26E2F">
        <w:rPr>
          <w:rFonts w:ascii="Palatino Linotype" w:hAnsi="Palatino Linotype" w:eastAsia="Times New Roman" w:cs="Times New Roman"/>
          <w:color w:val="000000" w:themeColor="text1"/>
        </w:rPr>
        <w:t xml:space="preserve"> </w:t>
      </w:r>
      <w:r w:rsidRPr="00391600" w:rsidR="00AD5709">
        <w:rPr>
          <w:rFonts w:ascii="Palatino Linotype" w:hAnsi="Palatino Linotype" w:eastAsia="Times New Roman" w:cs="Times New Roman"/>
          <w:color w:val="000000" w:themeColor="text1"/>
        </w:rPr>
        <w:t>$2.4 million in</w:t>
      </w:r>
      <w:r w:rsidRPr="00391600" w:rsidR="00306696">
        <w:rPr>
          <w:rFonts w:ascii="Palatino Linotype" w:hAnsi="Palatino Linotype" w:eastAsia="Times New Roman" w:cs="Times New Roman"/>
          <w:color w:val="000000" w:themeColor="text1"/>
        </w:rPr>
        <w:t xml:space="preserve"> </w:t>
      </w:r>
      <w:r w:rsidRPr="00391600" w:rsidR="5FCF009F">
        <w:rPr>
          <w:rFonts w:ascii="Palatino Linotype" w:hAnsi="Palatino Linotype" w:eastAsia="Times New Roman" w:cs="Times New Roman"/>
          <w:color w:val="000000" w:themeColor="text1"/>
        </w:rPr>
        <w:t xml:space="preserve">new ratepayer funds for </w:t>
      </w:r>
      <w:r w:rsidRPr="00391600" w:rsidR="00306696">
        <w:rPr>
          <w:rFonts w:ascii="Palatino Linotype" w:hAnsi="Palatino Linotype" w:eastAsia="Times New Roman" w:cs="Times New Roman"/>
          <w:color w:val="000000" w:themeColor="text1"/>
        </w:rPr>
        <w:t>Program Administration</w:t>
      </w:r>
      <w:r w:rsidRPr="00391600" w:rsidR="25271B11">
        <w:rPr>
          <w:rFonts w:ascii="Palatino Linotype" w:hAnsi="Palatino Linotype" w:eastAsia="Times New Roman" w:cs="Times New Roman"/>
          <w:color w:val="000000" w:themeColor="text1"/>
        </w:rPr>
        <w:t>.</w:t>
      </w:r>
    </w:p>
    <w:p w:rsidRPr="00391600" w:rsidR="00295143" w:rsidP="00F30E27" w:rsidRDefault="00F30E27" w14:paraId="4F6DD93E" w14:textId="74E3FBFC">
      <w:pPr>
        <w:numPr>
          <w:ilvl w:val="0"/>
          <w:numId w:val="5"/>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Times New Roman" w:cs="Times New Roman"/>
          <w:color w:val="000000" w:themeColor="text1"/>
          <w:kern w:val="0"/>
          <w14:ligatures w14:val="none"/>
        </w:rPr>
        <w:lastRenderedPageBreak/>
        <w:t xml:space="preserve">The CEC’s Gas </w:t>
      </w:r>
      <w:r w:rsidRPr="00391600">
        <w:rPr>
          <w:rFonts w:ascii="Palatino Linotype" w:hAnsi="Palatino Linotype" w:eastAsia="Palatino Linotype" w:cs="Times New Roman"/>
          <w:color w:val="000000" w:themeColor="text1"/>
          <w:kern w:val="0"/>
          <w14:ligatures w14:val="none"/>
        </w:rPr>
        <w:t xml:space="preserve">RD&amp;D Program </w:t>
      </w:r>
      <w:r w:rsidRPr="00391600">
        <w:rPr>
          <w:rFonts w:ascii="Palatino Linotype" w:hAnsi="Palatino Linotype" w:eastAsia="Times New Roman" w:cs="Times New Roman"/>
          <w:color w:val="000000" w:themeColor="text1"/>
          <w:kern w:val="0"/>
          <w14:ligatures w14:val="none"/>
        </w:rPr>
        <w:t xml:space="preserve">funding level for its 2025 Plan </w:t>
      </w:r>
      <w:r w:rsidRPr="00391600" w:rsidR="000B324C">
        <w:rPr>
          <w:rFonts w:ascii="Palatino Linotype" w:hAnsi="Palatino Linotype" w:eastAsia="Times New Roman" w:cs="Times New Roman"/>
          <w:color w:val="000000" w:themeColor="text1"/>
          <w:kern w:val="0"/>
          <w14:ligatures w14:val="none"/>
        </w:rPr>
        <w:br/>
      </w:r>
      <w:r w:rsidRPr="00391600">
        <w:rPr>
          <w:rFonts w:ascii="Palatino Linotype" w:hAnsi="Palatino Linotype" w:eastAsia="Times New Roman" w:cs="Times New Roman"/>
          <w:color w:val="000000" w:themeColor="text1"/>
          <w:kern w:val="0"/>
          <w14:ligatures w14:val="none"/>
        </w:rPr>
        <w:t>(AL 10-G-A) is $</w:t>
      </w:r>
      <w:r w:rsidRPr="00391600" w:rsidR="005E747C">
        <w:rPr>
          <w:rFonts w:ascii="Palatino Linotype" w:hAnsi="Palatino Linotype" w:eastAsia="Times New Roman" w:cs="Times New Roman"/>
          <w:color w:val="000000" w:themeColor="text1"/>
          <w:kern w:val="0"/>
          <w14:ligatures w14:val="none"/>
        </w:rPr>
        <w:t>24 million</w:t>
      </w:r>
      <w:r w:rsidRPr="00391600" w:rsidR="00630E5E">
        <w:rPr>
          <w:rFonts w:ascii="Palatino Linotype" w:hAnsi="Palatino Linotype" w:eastAsia="Times New Roman" w:cs="Times New Roman"/>
          <w:color w:val="000000" w:themeColor="text1"/>
          <w:kern w:val="0"/>
          <w14:ligatures w14:val="none"/>
        </w:rPr>
        <w:t>, comprised of</w:t>
      </w:r>
      <w:r w:rsidRPr="00391600" w:rsidR="00295143">
        <w:rPr>
          <w:rFonts w:ascii="Palatino Linotype" w:hAnsi="Palatino Linotype" w:eastAsia="Times New Roman" w:cs="Times New Roman"/>
          <w:color w:val="000000" w:themeColor="text1"/>
          <w:kern w:val="0"/>
          <w14:ligatures w14:val="none"/>
        </w:rPr>
        <w:t>:</w:t>
      </w:r>
    </w:p>
    <w:p w:rsidRPr="00391600" w:rsidR="00F37F82" w:rsidP="00F37F82" w:rsidRDefault="00F37F82" w14:paraId="7F2D8DF7" w14:textId="58C4807C">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Palatino Linotype"/>
          <w:color w:val="000000" w:themeColor="text1"/>
        </w:rPr>
        <w:t>$9,476,69</w:t>
      </w:r>
      <w:r w:rsidRPr="00391600" w:rsidR="53B4837A">
        <w:rPr>
          <w:rFonts w:ascii="Palatino Linotype" w:hAnsi="Palatino Linotype" w:eastAsia="Palatino Linotype"/>
          <w:color w:val="000000" w:themeColor="text1"/>
        </w:rPr>
        <w:t>0</w:t>
      </w:r>
      <w:r w:rsidRPr="00391600">
        <w:rPr>
          <w:rFonts w:ascii="Palatino Linotype" w:hAnsi="Palatino Linotype" w:eastAsia="Palatino Linotype"/>
          <w:color w:val="000000" w:themeColor="text1"/>
        </w:rPr>
        <w:t xml:space="preserve"> from </w:t>
      </w:r>
      <w:r w:rsidRPr="00391600" w:rsidR="00C65392">
        <w:rPr>
          <w:rFonts w:ascii="Palatino Linotype" w:hAnsi="Palatino Linotype" w:eastAsia="Palatino Linotype"/>
          <w:color w:val="000000" w:themeColor="text1"/>
        </w:rPr>
        <w:t xml:space="preserve">unencumbered and </w:t>
      </w:r>
      <w:r w:rsidRPr="00391600">
        <w:rPr>
          <w:rFonts w:ascii="Palatino Linotype" w:hAnsi="Palatino Linotype" w:eastAsia="Palatino Linotype"/>
          <w:color w:val="000000" w:themeColor="text1"/>
        </w:rPr>
        <w:t>unspent funds</w:t>
      </w:r>
      <w:r w:rsidRPr="00391600" w:rsidR="0017259F">
        <w:rPr>
          <w:rFonts w:ascii="Palatino Linotype" w:hAnsi="Palatino Linotype" w:eastAsia="Palatino Linotype"/>
          <w:color w:val="000000" w:themeColor="text1"/>
        </w:rPr>
        <w:t xml:space="preserve"> for Initiatives</w:t>
      </w:r>
      <w:r w:rsidRPr="00391600" w:rsidR="00C819F6">
        <w:rPr>
          <w:rFonts w:ascii="Palatino Linotype" w:hAnsi="Palatino Linotype" w:eastAsia="Palatino Linotype"/>
          <w:color w:val="000000" w:themeColor="text1"/>
        </w:rPr>
        <w:t xml:space="preserve"> and</w:t>
      </w:r>
    </w:p>
    <w:p w:rsidRPr="00391600" w:rsidR="00C819F6" w:rsidP="00D22746" w:rsidRDefault="03A95AED" w14:paraId="03CC07CB" w14:textId="4E18E4A3">
      <w:pPr>
        <w:numPr>
          <w:ilvl w:val="1"/>
          <w:numId w:val="5"/>
        </w:numPr>
        <w:spacing w:after="0" w:line="276" w:lineRule="auto"/>
        <w:ind w:right="720"/>
        <w:rPr>
          <w:rFonts w:ascii="Palatino Linotype" w:hAnsi="Palatino Linotype" w:eastAsia="Times New Roman" w:cs="Times New Roman"/>
          <w:color w:val="000000" w:themeColor="text1"/>
          <w:kern w:val="0"/>
          <w14:ligatures w14:val="none"/>
        </w:rPr>
      </w:pPr>
      <w:r w:rsidRPr="00391600">
        <w:rPr>
          <w:rFonts w:ascii="Palatino Linotype" w:hAnsi="Palatino Linotype" w:eastAsia="Palatino Linotype"/>
          <w:color w:val="000000" w:themeColor="text1"/>
        </w:rPr>
        <w:t>$14,523,310</w:t>
      </w:r>
      <w:r w:rsidRPr="00391600" w:rsidR="00A42DA0">
        <w:rPr>
          <w:rFonts w:ascii="Palatino Linotype" w:hAnsi="Palatino Linotype" w:eastAsia="Palatino Linotype"/>
          <w:color w:val="000000" w:themeColor="text1"/>
        </w:rPr>
        <w:t xml:space="preserve"> </w:t>
      </w:r>
      <w:r w:rsidRPr="00391600" w:rsidR="005C73F6">
        <w:rPr>
          <w:rFonts w:ascii="Palatino Linotype" w:hAnsi="Palatino Linotype" w:eastAsia="Palatino Linotype"/>
          <w:color w:val="000000" w:themeColor="text1"/>
        </w:rPr>
        <w:t xml:space="preserve">in new </w:t>
      </w:r>
      <w:r w:rsidRPr="00391600" w:rsidR="00B23949">
        <w:rPr>
          <w:rFonts w:ascii="Palatino Linotype" w:hAnsi="Palatino Linotype" w:eastAsia="Palatino Linotype"/>
          <w:color w:val="000000" w:themeColor="text1"/>
        </w:rPr>
        <w:t>ratepayer</w:t>
      </w:r>
      <w:r w:rsidRPr="00391600" w:rsidR="005C73F6">
        <w:rPr>
          <w:rFonts w:ascii="Palatino Linotype" w:hAnsi="Palatino Linotype" w:eastAsia="Palatino Linotype"/>
          <w:color w:val="000000" w:themeColor="text1"/>
        </w:rPr>
        <w:t xml:space="preserve"> funds</w:t>
      </w:r>
      <w:r w:rsidRPr="00391600" w:rsidR="00D22746">
        <w:rPr>
          <w:rFonts w:ascii="Palatino Linotype" w:hAnsi="Palatino Linotype" w:eastAsia="Palatino Linotype"/>
          <w:color w:val="000000" w:themeColor="text1"/>
        </w:rPr>
        <w:t>, including:</w:t>
      </w:r>
      <w:r w:rsidRPr="00391600" w:rsidR="005C73F6">
        <w:rPr>
          <w:rFonts w:ascii="Palatino Linotype" w:hAnsi="Palatino Linotype" w:eastAsia="Palatino Linotype"/>
          <w:color w:val="000000" w:themeColor="text1"/>
        </w:rPr>
        <w:t xml:space="preserve"> </w:t>
      </w:r>
    </w:p>
    <w:p w:rsidRPr="00391600" w:rsidR="00D22746" w:rsidP="005E747C" w:rsidRDefault="00A42DA0" w14:paraId="6052119B" w14:textId="2C083129">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Palatino Linotype"/>
          <w:color w:val="000000" w:themeColor="text1"/>
        </w:rPr>
        <w:t>$</w:t>
      </w:r>
      <w:r w:rsidRPr="00391600" w:rsidR="00FA1041">
        <w:rPr>
          <w:rFonts w:ascii="Palatino Linotype" w:hAnsi="Palatino Linotype" w:eastAsia="Palatino Linotype"/>
          <w:color w:val="000000" w:themeColor="text1"/>
        </w:rPr>
        <w:t>12,123,3</w:t>
      </w:r>
      <w:r w:rsidRPr="00391600" w:rsidR="43FF8400">
        <w:rPr>
          <w:rFonts w:ascii="Palatino Linotype" w:hAnsi="Palatino Linotype" w:eastAsia="Palatino Linotype"/>
          <w:color w:val="000000" w:themeColor="text1"/>
        </w:rPr>
        <w:t>10</w:t>
      </w:r>
      <w:r w:rsidRPr="00391600" w:rsidR="00FA1041">
        <w:rPr>
          <w:rFonts w:ascii="Palatino Linotype" w:hAnsi="Palatino Linotype" w:eastAsia="Palatino Linotype"/>
          <w:color w:val="000000" w:themeColor="text1"/>
        </w:rPr>
        <w:t xml:space="preserve"> </w:t>
      </w:r>
      <w:r w:rsidRPr="00391600" w:rsidR="00D22746">
        <w:rPr>
          <w:rFonts w:ascii="Palatino Linotype" w:hAnsi="Palatino Linotype" w:eastAsia="Palatino Linotype"/>
          <w:color w:val="000000" w:themeColor="text1"/>
        </w:rPr>
        <w:t>for</w:t>
      </w:r>
      <w:r w:rsidRPr="00391600">
        <w:rPr>
          <w:rFonts w:ascii="Palatino Linotype" w:hAnsi="Palatino Linotype" w:eastAsia="Palatino Linotype"/>
          <w:color w:val="000000" w:themeColor="text1"/>
        </w:rPr>
        <w:t xml:space="preserve"> Initiative</w:t>
      </w:r>
      <w:r w:rsidRPr="00391600" w:rsidR="00D22746">
        <w:rPr>
          <w:rFonts w:ascii="Palatino Linotype" w:hAnsi="Palatino Linotype" w:eastAsia="Palatino Linotype"/>
          <w:color w:val="000000" w:themeColor="text1"/>
        </w:rPr>
        <w:t xml:space="preserve">s, </w:t>
      </w:r>
      <w:r w:rsidRPr="00391600">
        <w:rPr>
          <w:rFonts w:ascii="Palatino Linotype" w:hAnsi="Palatino Linotype" w:eastAsia="Palatino Linotype"/>
          <w:color w:val="000000" w:themeColor="text1"/>
        </w:rPr>
        <w:t xml:space="preserve">and </w:t>
      </w:r>
    </w:p>
    <w:p w:rsidRPr="00391600" w:rsidR="001A107C" w:rsidP="005E747C" w:rsidRDefault="67852140" w14:paraId="1880A305" w14:textId="6CC1269C">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Palatino Linotype"/>
          <w:color w:val="000000" w:themeColor="text1"/>
        </w:rPr>
        <w:t>$2,400,000</w:t>
      </w:r>
      <w:r w:rsidRPr="00391600" w:rsidR="00FA1041">
        <w:rPr>
          <w:rFonts w:ascii="Palatino Linotype" w:hAnsi="Palatino Linotype" w:eastAsia="Palatino Linotype"/>
          <w:color w:val="000000" w:themeColor="text1"/>
        </w:rPr>
        <w:t xml:space="preserve"> </w:t>
      </w:r>
      <w:r w:rsidRPr="00391600" w:rsidR="004B26F2">
        <w:rPr>
          <w:rFonts w:ascii="Palatino Linotype" w:hAnsi="Palatino Linotype" w:eastAsia="Palatino Linotype"/>
          <w:color w:val="000000" w:themeColor="text1"/>
        </w:rPr>
        <w:t xml:space="preserve">for </w:t>
      </w:r>
      <w:r w:rsidRPr="00391600" w:rsidR="00D22746">
        <w:rPr>
          <w:rFonts w:ascii="Palatino Linotype" w:hAnsi="Palatino Linotype" w:eastAsia="Palatino Linotype"/>
          <w:color w:val="000000" w:themeColor="text1"/>
        </w:rPr>
        <w:t>Program</w:t>
      </w:r>
      <w:r w:rsidRPr="00391600" w:rsidR="004B26F2">
        <w:rPr>
          <w:rFonts w:ascii="Palatino Linotype" w:hAnsi="Palatino Linotype" w:eastAsia="Palatino Linotype"/>
          <w:color w:val="000000" w:themeColor="text1"/>
        </w:rPr>
        <w:t xml:space="preserve"> </w:t>
      </w:r>
      <w:r w:rsidRPr="00391600" w:rsidR="00D22746">
        <w:rPr>
          <w:rFonts w:ascii="Palatino Linotype" w:hAnsi="Palatino Linotype" w:eastAsia="Palatino Linotype"/>
          <w:color w:val="000000" w:themeColor="text1"/>
        </w:rPr>
        <w:t>A</w:t>
      </w:r>
      <w:r w:rsidRPr="00391600" w:rsidR="004B26F2">
        <w:rPr>
          <w:rFonts w:ascii="Palatino Linotype" w:hAnsi="Palatino Linotype" w:eastAsia="Palatino Linotype"/>
          <w:color w:val="000000" w:themeColor="text1"/>
        </w:rPr>
        <w:t>dministration.</w:t>
      </w:r>
    </w:p>
    <w:p w:rsidRPr="00391600" w:rsidR="00B440ED" w:rsidP="00A556C9" w:rsidRDefault="00D97E2D" w14:paraId="6F897D35" w14:textId="68E3AADF">
      <w:pPr>
        <w:pStyle w:val="10spHanging05"/>
        <w:numPr>
          <w:ilvl w:val="0"/>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 xml:space="preserve">CEC shall submit Tier 2 Advice Letters with revised 2024 and 2025 Plans </w:t>
      </w:r>
      <w:r w:rsidRPr="00391600" w:rsidR="006379BD">
        <w:rPr>
          <w:rFonts w:ascii="Palatino Linotype" w:hAnsi="Palatino Linotype" w:eastAsia="Times New Roman"/>
          <w:color w:val="000000" w:themeColor="text1"/>
        </w:rPr>
        <w:t>addressing all compliance issues outline</w:t>
      </w:r>
      <w:r w:rsidRPr="00391600" w:rsidR="00184295">
        <w:rPr>
          <w:rFonts w:ascii="Palatino Linotype" w:hAnsi="Palatino Linotype" w:eastAsia="Times New Roman"/>
          <w:color w:val="000000" w:themeColor="text1"/>
        </w:rPr>
        <w:t>d</w:t>
      </w:r>
      <w:r w:rsidRPr="00391600" w:rsidR="006379BD">
        <w:rPr>
          <w:rFonts w:ascii="Palatino Linotype" w:hAnsi="Palatino Linotype" w:eastAsia="Times New Roman"/>
          <w:color w:val="000000" w:themeColor="text1"/>
        </w:rPr>
        <w:t xml:space="preserve"> in Appendices </w:t>
      </w:r>
      <w:r w:rsidRPr="00391600" w:rsidR="00D05987">
        <w:rPr>
          <w:rFonts w:ascii="Palatino Linotype" w:hAnsi="Palatino Linotype" w:eastAsia="Times New Roman"/>
          <w:color w:val="000000" w:themeColor="text1"/>
        </w:rPr>
        <w:t>G</w:t>
      </w:r>
      <w:r w:rsidRPr="00391600" w:rsidR="008A29D9">
        <w:rPr>
          <w:rFonts w:ascii="Palatino Linotype" w:hAnsi="Palatino Linotype" w:eastAsia="Times New Roman"/>
          <w:color w:val="000000" w:themeColor="text1"/>
        </w:rPr>
        <w:t xml:space="preserve"> and </w:t>
      </w:r>
      <w:r w:rsidRPr="00391600" w:rsidR="00D05987">
        <w:rPr>
          <w:rFonts w:ascii="Palatino Linotype" w:hAnsi="Palatino Linotype" w:eastAsia="Times New Roman"/>
          <w:color w:val="000000" w:themeColor="text1"/>
        </w:rPr>
        <w:t>H</w:t>
      </w:r>
      <w:r w:rsidRPr="00391600" w:rsidR="008A29D9">
        <w:rPr>
          <w:rFonts w:ascii="Palatino Linotype" w:hAnsi="Palatino Linotype" w:eastAsia="Times New Roman"/>
          <w:color w:val="000000" w:themeColor="text1"/>
        </w:rPr>
        <w:t xml:space="preserve"> </w:t>
      </w:r>
      <w:r w:rsidRPr="00391600" w:rsidR="004371DC">
        <w:rPr>
          <w:rFonts w:ascii="Palatino Linotype" w:hAnsi="Palatino Linotype" w:eastAsia="Times New Roman"/>
          <w:color w:val="000000" w:themeColor="text1"/>
        </w:rPr>
        <w:t xml:space="preserve">and requirements outlined in this Resolution </w:t>
      </w:r>
      <w:r w:rsidRPr="00391600">
        <w:rPr>
          <w:rFonts w:ascii="Palatino Linotype" w:hAnsi="Palatino Linotype" w:eastAsia="Times New Roman"/>
          <w:color w:val="000000" w:themeColor="text1"/>
        </w:rPr>
        <w:t xml:space="preserve">within </w:t>
      </w:r>
      <w:r w:rsidRPr="00391600" w:rsidR="008D74E3">
        <w:rPr>
          <w:rFonts w:ascii="Palatino Linotype" w:hAnsi="Palatino Linotype" w:eastAsia="Times New Roman"/>
          <w:color w:val="000000" w:themeColor="text1"/>
        </w:rPr>
        <w:t>6</w:t>
      </w:r>
      <w:r w:rsidRPr="00391600" w:rsidDel="003E50A5">
        <w:rPr>
          <w:rFonts w:ascii="Palatino Linotype" w:hAnsi="Palatino Linotype" w:eastAsia="Times New Roman"/>
          <w:color w:val="000000" w:themeColor="text1"/>
        </w:rPr>
        <w:t>0</w:t>
      </w:r>
      <w:r w:rsidRPr="00391600">
        <w:rPr>
          <w:rFonts w:ascii="Palatino Linotype" w:hAnsi="Palatino Linotype" w:eastAsia="Times New Roman"/>
          <w:color w:val="000000" w:themeColor="text1"/>
        </w:rPr>
        <w:t xml:space="preserve"> days. CEC shall commensurately modify its 2024 and 2025 Gas RD&amp;D Plans with this information and attach to its Advice Letter: 1) a track-change version of its original Plan; 2) a clean version of its updated Plan; 3) a table describing the changes it has made aligned with the ordering paragraph and page number.</w:t>
      </w:r>
    </w:p>
    <w:p w:rsidRPr="00391600" w:rsidR="006221F8" w:rsidP="00FA0B66" w:rsidRDefault="00DC71A0" w14:paraId="786D6517" w14:textId="275F46F4">
      <w:pPr>
        <w:pStyle w:val="ListParagraph"/>
        <w:numPr>
          <w:ilvl w:val="0"/>
          <w:numId w:val="5"/>
        </w:numPr>
        <w:spacing w:after="0"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If, at the time this Resolution is issued, the CEC has encumbered or spent a portion of the approximately $31M in </w:t>
      </w:r>
      <w:r w:rsidRPr="00391600" w:rsidR="44F8751B">
        <w:rPr>
          <w:rFonts w:ascii="Palatino Linotype" w:hAnsi="Palatino Linotype" w:eastAsia="Palatino Linotype"/>
          <w:color w:val="000000" w:themeColor="text1"/>
        </w:rPr>
        <w:t xml:space="preserve">identified </w:t>
      </w:r>
      <w:r w:rsidRPr="00391600" w:rsidR="00B51630">
        <w:rPr>
          <w:rFonts w:ascii="Palatino Linotype" w:hAnsi="Palatino Linotype" w:eastAsia="Palatino Linotype"/>
          <w:color w:val="000000" w:themeColor="text1"/>
        </w:rPr>
        <w:t xml:space="preserve">unencumbered and </w:t>
      </w:r>
      <w:r w:rsidRPr="00391600">
        <w:rPr>
          <w:rFonts w:ascii="Palatino Linotype" w:hAnsi="Palatino Linotype" w:eastAsia="Palatino Linotype"/>
          <w:color w:val="000000" w:themeColor="text1"/>
        </w:rPr>
        <w:t xml:space="preserve">unspent funds since reporting balances to the CPUC on April 30, 2026, the CEC shall provide updated balances to Energy Division in its Tier 2 ALs in the format </w:t>
      </w:r>
      <w:r w:rsidRPr="00391600" w:rsidR="00E86DC2">
        <w:rPr>
          <w:rFonts w:ascii="Palatino Linotype" w:hAnsi="Palatino Linotype" w:eastAsia="Palatino Linotype"/>
          <w:color w:val="000000" w:themeColor="text1"/>
        </w:rPr>
        <w:t>of</w:t>
      </w:r>
      <w:r w:rsidRPr="00391600">
        <w:rPr>
          <w:rFonts w:ascii="Palatino Linotype" w:hAnsi="Palatino Linotype" w:eastAsia="Palatino Linotype"/>
          <w:color w:val="000000" w:themeColor="text1"/>
        </w:rPr>
        <w:t xml:space="preserve"> Appendix </w:t>
      </w:r>
      <w:r w:rsidRPr="00391600" w:rsidR="00037C5F">
        <w:rPr>
          <w:rFonts w:ascii="Palatino Linotype" w:hAnsi="Palatino Linotype" w:eastAsia="Palatino Linotype"/>
          <w:color w:val="000000" w:themeColor="text1"/>
        </w:rPr>
        <w:t>F</w:t>
      </w:r>
      <w:r w:rsidRPr="00391600" w:rsidR="006221F8">
        <w:rPr>
          <w:rFonts w:ascii="Palatino Linotype" w:hAnsi="Palatino Linotype" w:eastAsia="Palatino Linotype"/>
          <w:color w:val="000000" w:themeColor="text1"/>
        </w:rPr>
        <w:t xml:space="preserve">. Energy Division is authorized to modify the calculations of CEC’s 2025 Plan budget commensurately based on the balances of unspent funds in addition to commercial benefits according to the methods described in this Resolution. </w:t>
      </w:r>
      <w:r w:rsidRPr="00391600" w:rsidR="00287AF4">
        <w:rPr>
          <w:rFonts w:ascii="Palatino Linotype" w:hAnsi="Palatino Linotype" w:eastAsia="Palatino Linotype"/>
          <w:color w:val="000000" w:themeColor="text1"/>
        </w:rPr>
        <w:t xml:space="preserve">In its </w:t>
      </w:r>
      <w:proofErr w:type="gramStart"/>
      <w:r w:rsidRPr="00391600" w:rsidR="00287AF4">
        <w:rPr>
          <w:rFonts w:ascii="Palatino Linotype" w:hAnsi="Palatino Linotype" w:eastAsia="Palatino Linotype"/>
          <w:color w:val="000000" w:themeColor="text1"/>
        </w:rPr>
        <w:t>reporting</w:t>
      </w:r>
      <w:proofErr w:type="gramEnd"/>
      <w:r w:rsidRPr="00391600" w:rsidR="00287AF4">
        <w:rPr>
          <w:rFonts w:ascii="Palatino Linotype" w:hAnsi="Palatino Linotype" w:eastAsia="Palatino Linotype"/>
          <w:color w:val="000000" w:themeColor="text1"/>
        </w:rPr>
        <w:t xml:space="preserve"> o</w:t>
      </w:r>
      <w:r w:rsidRPr="00391600" w:rsidR="00E61E0A">
        <w:rPr>
          <w:rFonts w:ascii="Palatino Linotype" w:hAnsi="Palatino Linotype" w:eastAsia="Palatino Linotype"/>
          <w:color w:val="000000" w:themeColor="text1"/>
        </w:rPr>
        <w:t>n</w:t>
      </w:r>
      <w:r w:rsidRPr="00391600" w:rsidR="00287AF4">
        <w:rPr>
          <w:rFonts w:ascii="Palatino Linotype" w:hAnsi="Palatino Linotype" w:eastAsia="Palatino Linotype"/>
          <w:color w:val="000000" w:themeColor="text1"/>
        </w:rPr>
        <w:t xml:space="preserve"> updated balances, the CEC shall: </w:t>
      </w:r>
    </w:p>
    <w:p w:rsidRPr="00391600" w:rsidR="00DC71A0" w:rsidP="006221F8" w:rsidRDefault="00287AF4" w14:paraId="103F28ED" w14:textId="35A58D02">
      <w:pPr>
        <w:pStyle w:val="ListParagraph"/>
        <w:numPr>
          <w:ilvl w:val="1"/>
          <w:numId w:val="5"/>
        </w:numPr>
        <w:spacing w:after="0" w:line="276" w:lineRule="auto"/>
        <w:rPr>
          <w:rFonts w:ascii="Palatino Linotype" w:hAnsi="Palatino Linotype" w:eastAsia="Palatino Linotype"/>
          <w:color w:val="000000" w:themeColor="text1"/>
        </w:rPr>
      </w:pPr>
      <w:proofErr w:type="gramStart"/>
      <w:r w:rsidRPr="00391600">
        <w:rPr>
          <w:rFonts w:ascii="Palatino Linotype" w:hAnsi="Palatino Linotype" w:eastAsia="Palatino Linotype"/>
          <w:color w:val="000000" w:themeColor="text1"/>
        </w:rPr>
        <w:t>R</w:t>
      </w:r>
      <w:r w:rsidRPr="00391600" w:rsidR="00DC71A0">
        <w:rPr>
          <w:rFonts w:ascii="Palatino Linotype" w:hAnsi="Palatino Linotype" w:eastAsia="Palatino Linotype"/>
          <w:color w:val="000000" w:themeColor="text1"/>
        </w:rPr>
        <w:t>eport</w:t>
      </w:r>
      <w:proofErr w:type="gramEnd"/>
      <w:r w:rsidRPr="00391600" w:rsidR="00DC71A0">
        <w:rPr>
          <w:rFonts w:ascii="Palatino Linotype" w:hAnsi="Palatino Linotype" w:eastAsia="Palatino Linotype"/>
          <w:color w:val="000000" w:themeColor="text1"/>
        </w:rPr>
        <w:t xml:space="preserve"> commercial benefits from </w:t>
      </w:r>
      <w:r w:rsidRPr="00391600" w:rsidR="765B5CB5">
        <w:rPr>
          <w:rFonts w:ascii="Palatino Linotype" w:hAnsi="Palatino Linotype" w:eastAsia="Palatino Linotype"/>
          <w:color w:val="000000" w:themeColor="text1"/>
        </w:rPr>
        <w:t xml:space="preserve">previous </w:t>
      </w:r>
      <w:r w:rsidRPr="00391600" w:rsidR="00DC71A0">
        <w:rPr>
          <w:rFonts w:ascii="Palatino Linotype" w:hAnsi="Palatino Linotype" w:eastAsia="Palatino Linotype"/>
          <w:color w:val="000000" w:themeColor="text1"/>
        </w:rPr>
        <w:t xml:space="preserve">Gas RD&amp;D investments or otherwise state that none have accrued. </w:t>
      </w:r>
    </w:p>
    <w:p w:rsidRPr="00391600" w:rsidR="00DB4869" w:rsidP="00DB4869" w:rsidRDefault="00DB4869" w14:paraId="78CA7E54" w14:textId="61FE4AEF">
      <w:pPr>
        <w:pStyle w:val="ListParagraph"/>
        <w:numPr>
          <w:ilvl w:val="1"/>
          <w:numId w:val="5"/>
        </w:numPr>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Denote which of the </w:t>
      </w:r>
      <w:r w:rsidRPr="00391600" w:rsidR="00B2788A">
        <w:rPr>
          <w:rFonts w:ascii="Palatino Linotype" w:hAnsi="Palatino Linotype" w:eastAsia="Palatino Linotype"/>
          <w:color w:val="000000" w:themeColor="text1"/>
        </w:rPr>
        <w:t xml:space="preserve">identified </w:t>
      </w:r>
      <w:r w:rsidRPr="00391600">
        <w:rPr>
          <w:rFonts w:ascii="Palatino Linotype" w:hAnsi="Palatino Linotype" w:eastAsia="Palatino Linotype"/>
          <w:color w:val="000000" w:themeColor="text1"/>
        </w:rPr>
        <w:t>Unspent Encumbered Funds (amounting to $7,733,165 as of April 2026) are either: </w:t>
      </w:r>
    </w:p>
    <w:p w:rsidRPr="00391600" w:rsidR="0039673A" w:rsidP="0039673A" w:rsidRDefault="0039673A" w14:paraId="690947A6" w14:textId="77777777">
      <w:pPr>
        <w:pStyle w:val="ListParagraph"/>
        <w:numPr>
          <w:ilvl w:val="2"/>
          <w:numId w:val="5"/>
        </w:numPr>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Disencumbered, which shall be used in full to offset new/additional ratepayer costs for these Plans. </w:t>
      </w:r>
    </w:p>
    <w:p w:rsidRPr="00391600" w:rsidR="00F556EF" w:rsidP="00F556EF" w:rsidRDefault="00ED7FEB" w14:paraId="7B3CF348" w14:textId="6965660A">
      <w:pPr>
        <w:pStyle w:val="ListParagraph"/>
        <w:numPr>
          <w:ilvl w:val="2"/>
          <w:numId w:val="5"/>
        </w:numPr>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Associated with</w:t>
      </w:r>
      <w:r w:rsidRPr="00391600" w:rsidR="00DB4869">
        <w:rPr>
          <w:rFonts w:ascii="Palatino Linotype" w:hAnsi="Palatino Linotype" w:eastAsia="Palatino Linotype"/>
          <w:color w:val="000000" w:themeColor="text1"/>
        </w:rPr>
        <w:t xml:space="preserve"> currently active projects,</w:t>
      </w:r>
      <w:r w:rsidRPr="00391600" w:rsidR="00F556EF">
        <w:rPr>
          <w:rFonts w:ascii="Palatino Linotype" w:hAnsi="Palatino Linotype" w:eastAsia="Palatino Linotype" w:cs="Palatino Linotype"/>
          <w:color w:val="000000" w:themeColor="text1"/>
        </w:rPr>
        <w:t xml:space="preserve"> for which the CEC shall request of Energy Division a limited extension of these timeframes, including justification for the additional time needed and</w:t>
      </w:r>
      <w:r w:rsidRPr="00391600" w:rsidR="00F556EF">
        <w:rPr>
          <w:rFonts w:ascii="Palatino Linotype" w:hAnsi="Palatino Linotype"/>
          <w:color w:val="000000" w:themeColor="text1"/>
        </w:rPr>
        <w:t xml:space="preserve"> an attestation that spending on these projects is anticipated to be completed within a specific requested reasonable timeframe </w:t>
      </w:r>
      <w:r w:rsidR="0016317B">
        <w:rPr>
          <w:rFonts w:ascii="Palatino Linotype" w:hAnsi="Palatino Linotype"/>
          <w:color w:val="000000" w:themeColor="text1"/>
        </w:rPr>
        <w:br/>
      </w:r>
      <w:r w:rsidRPr="00391600" w:rsidR="00F556EF">
        <w:rPr>
          <w:rFonts w:ascii="Palatino Linotype" w:hAnsi="Palatino Linotype"/>
          <w:color w:val="000000" w:themeColor="text1"/>
        </w:rPr>
        <w:t xml:space="preserve">(e.g., within one additional year). </w:t>
      </w:r>
      <w:r w:rsidRPr="00391600" w:rsidR="00F556EF">
        <w:rPr>
          <w:rFonts w:ascii="Palatino Linotype" w:hAnsi="Palatino Linotype" w:eastAsia="Palatino Linotype" w:cs="Palatino Linotype"/>
          <w:color w:val="000000" w:themeColor="text1"/>
        </w:rPr>
        <w:t xml:space="preserve">If funds are not anticipated to be </w:t>
      </w:r>
      <w:r w:rsidRPr="00391600" w:rsidR="00F556EF">
        <w:rPr>
          <w:rFonts w:ascii="Palatino Linotype" w:hAnsi="Palatino Linotype" w:eastAsia="Palatino Linotype" w:cs="Palatino Linotype"/>
          <w:color w:val="000000" w:themeColor="text1"/>
        </w:rPr>
        <w:lastRenderedPageBreak/>
        <w:t>and/or ultimately are not spent within the defined extended timeframe, the Commission expects these funds will be used to offset ratepayer costs for subsequent Gas RD&amp;D Plans.</w:t>
      </w:r>
    </w:p>
    <w:p w:rsidRPr="00391600" w:rsidR="007A0188" w:rsidP="00F96D4B" w:rsidRDefault="007C5EC3" w14:paraId="452B034D" w14:textId="34CD8F30">
      <w:pPr>
        <w:pStyle w:val="ListParagraph"/>
        <w:numPr>
          <w:ilvl w:val="0"/>
          <w:numId w:val="5"/>
        </w:numPr>
        <w:spacing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If </w:t>
      </w:r>
      <w:r w:rsidRPr="00391600" w:rsidR="00A4335B">
        <w:rPr>
          <w:rFonts w:ascii="Palatino Linotype" w:hAnsi="Palatino Linotype" w:eastAsia="Palatino Linotype"/>
          <w:color w:val="000000" w:themeColor="text1"/>
        </w:rPr>
        <w:t xml:space="preserve">the CEC has recently spent or newly encumbered more than </w:t>
      </w:r>
      <w:r w:rsidRPr="00391600" w:rsidR="00C61CA9">
        <w:rPr>
          <w:rFonts w:ascii="Palatino Linotype" w:hAnsi="Palatino Linotype" w:eastAsia="Palatino Linotype"/>
          <w:color w:val="000000" w:themeColor="text1"/>
        </w:rPr>
        <w:t xml:space="preserve">$9,476,690 of the </w:t>
      </w:r>
      <w:r w:rsidRPr="00391600" w:rsidR="006E0FFB">
        <w:rPr>
          <w:rFonts w:ascii="Palatino Linotype" w:hAnsi="Palatino Linotype" w:eastAsia="Palatino Linotype"/>
          <w:color w:val="000000" w:themeColor="text1"/>
        </w:rPr>
        <w:t>$</w:t>
      </w:r>
      <w:r w:rsidRPr="00391600" w:rsidR="006E0FFB">
        <w:rPr>
          <w:rFonts w:ascii="Palatino Linotype" w:hAnsi="Palatino Linotype"/>
          <w:color w:val="000000" w:themeColor="text1"/>
        </w:rPr>
        <w:t>31,076,690</w:t>
      </w:r>
      <w:r w:rsidRPr="00391600" w:rsidDel="006E0FFB" w:rsidR="00A4335B">
        <w:rPr>
          <w:rFonts w:ascii="Palatino Linotype" w:hAnsi="Palatino Linotype" w:eastAsia="Palatino Linotype"/>
          <w:color w:val="000000" w:themeColor="text1"/>
        </w:rPr>
        <w:t xml:space="preserve"> </w:t>
      </w:r>
      <w:r w:rsidRPr="00391600" w:rsidR="00A4335B">
        <w:rPr>
          <w:rFonts w:ascii="Palatino Linotype" w:hAnsi="Palatino Linotype" w:eastAsia="Palatino Linotype"/>
          <w:color w:val="000000" w:themeColor="text1"/>
        </w:rPr>
        <w:t>in</w:t>
      </w:r>
      <w:r w:rsidRPr="00391600" w:rsidR="006E0FFB">
        <w:rPr>
          <w:rFonts w:ascii="Palatino Linotype" w:hAnsi="Palatino Linotype" w:eastAsia="Palatino Linotype"/>
          <w:color w:val="000000" w:themeColor="text1"/>
        </w:rPr>
        <w:t xml:space="preserve"> previously</w:t>
      </w:r>
      <w:r w:rsidRPr="00391600" w:rsidR="00A4335B">
        <w:rPr>
          <w:rFonts w:ascii="Palatino Linotype" w:hAnsi="Palatino Linotype" w:eastAsia="Palatino Linotype"/>
          <w:color w:val="000000" w:themeColor="text1"/>
        </w:rPr>
        <w:t xml:space="preserve"> identified </w:t>
      </w:r>
      <w:r w:rsidRPr="00391600" w:rsidR="001C73CC">
        <w:rPr>
          <w:rFonts w:ascii="Palatino Linotype" w:hAnsi="Palatino Linotype" w:eastAsia="Palatino Linotype"/>
          <w:color w:val="000000" w:themeColor="text1"/>
        </w:rPr>
        <w:t xml:space="preserve">unencumbered and </w:t>
      </w:r>
      <w:r w:rsidRPr="00391600" w:rsidR="00A4335B">
        <w:rPr>
          <w:rFonts w:ascii="Palatino Linotype" w:hAnsi="Palatino Linotype" w:eastAsia="Palatino Linotype"/>
          <w:color w:val="000000" w:themeColor="text1"/>
        </w:rPr>
        <w:t>unspent funds</w:t>
      </w:r>
      <w:r w:rsidRPr="00391600" w:rsidR="00C61CA9">
        <w:rPr>
          <w:rFonts w:ascii="Palatino Linotype" w:hAnsi="Palatino Linotype" w:eastAsia="Palatino Linotype"/>
          <w:color w:val="000000" w:themeColor="text1"/>
        </w:rPr>
        <w:t>, resulting in a balance of less than $21.6</w:t>
      </w:r>
      <w:r w:rsidRPr="00391600" w:rsidR="001C73CC">
        <w:rPr>
          <w:rFonts w:ascii="Palatino Linotype" w:hAnsi="Palatino Linotype" w:eastAsia="Palatino Linotype"/>
          <w:color w:val="000000" w:themeColor="text1"/>
        </w:rPr>
        <w:t xml:space="preserve"> million</w:t>
      </w:r>
      <w:r w:rsidRPr="00391600" w:rsidR="00C61CA9">
        <w:rPr>
          <w:rFonts w:ascii="Palatino Linotype" w:hAnsi="Palatino Linotype" w:eastAsia="Palatino Linotype"/>
          <w:color w:val="000000" w:themeColor="text1"/>
        </w:rPr>
        <w:t xml:space="preserve"> to offset </w:t>
      </w:r>
      <w:r w:rsidRPr="00391600" w:rsidR="00770D67">
        <w:rPr>
          <w:rFonts w:ascii="Palatino Linotype" w:hAnsi="Palatino Linotype" w:eastAsia="Palatino Linotype"/>
          <w:color w:val="000000" w:themeColor="text1"/>
        </w:rPr>
        <w:t>Initiative funds for the CEC’s 2024 Plan</w:t>
      </w:r>
      <w:r w:rsidRPr="00391600" w:rsidR="00686F4B">
        <w:rPr>
          <w:rFonts w:ascii="Palatino Linotype" w:hAnsi="Palatino Linotype" w:eastAsia="Palatino Linotype"/>
          <w:color w:val="000000" w:themeColor="text1"/>
        </w:rPr>
        <w:t xml:space="preserve"> in full</w:t>
      </w:r>
      <w:r w:rsidRPr="00391600" w:rsidR="00770D67">
        <w:rPr>
          <w:rFonts w:ascii="Palatino Linotype" w:hAnsi="Palatino Linotype" w:eastAsia="Palatino Linotype"/>
          <w:color w:val="000000" w:themeColor="text1"/>
        </w:rPr>
        <w:t xml:space="preserve">, Energy Division is also </w:t>
      </w:r>
      <w:r w:rsidRPr="00391600" w:rsidR="00686F4B">
        <w:rPr>
          <w:rFonts w:ascii="Palatino Linotype" w:hAnsi="Palatino Linotype" w:eastAsia="Palatino Linotype"/>
          <w:color w:val="000000" w:themeColor="text1"/>
        </w:rPr>
        <w:t>authorized to modify the calculations of CEC’s 2024 Plan budget commensurately</w:t>
      </w:r>
      <w:r w:rsidRPr="00391600" w:rsidDel="00686F4B" w:rsidR="00686F4B">
        <w:rPr>
          <w:rFonts w:ascii="Palatino Linotype" w:hAnsi="Palatino Linotype" w:eastAsia="Palatino Linotype"/>
          <w:color w:val="000000" w:themeColor="text1"/>
        </w:rPr>
        <w:t xml:space="preserve"> </w:t>
      </w:r>
      <w:r w:rsidRPr="00391600" w:rsidR="001C105B">
        <w:rPr>
          <w:rFonts w:ascii="Palatino Linotype" w:hAnsi="Palatino Linotype" w:eastAsia="Palatino Linotype"/>
          <w:color w:val="000000" w:themeColor="text1"/>
        </w:rPr>
        <w:t xml:space="preserve">to supplement </w:t>
      </w:r>
      <w:r w:rsidRPr="00391600" w:rsidR="001C73CC">
        <w:rPr>
          <w:rFonts w:ascii="Palatino Linotype" w:hAnsi="Palatino Linotype" w:eastAsia="Palatino Linotype"/>
          <w:color w:val="000000" w:themeColor="text1"/>
        </w:rPr>
        <w:t>repurposed</w:t>
      </w:r>
      <w:r w:rsidRPr="00391600" w:rsidR="001C105B">
        <w:rPr>
          <w:rFonts w:ascii="Palatino Linotype" w:hAnsi="Palatino Linotype" w:eastAsia="Palatino Linotype"/>
          <w:color w:val="000000" w:themeColor="text1"/>
        </w:rPr>
        <w:t xml:space="preserve"> funds with new ratepayer funds </w:t>
      </w:r>
      <w:r w:rsidRPr="00391600" w:rsidR="00986E03">
        <w:rPr>
          <w:rFonts w:ascii="Palatino Linotype" w:hAnsi="Palatino Linotype" w:eastAsia="Palatino Linotype"/>
          <w:color w:val="000000" w:themeColor="text1"/>
        </w:rPr>
        <w:t>to fulfill the CEC’s total $24</w:t>
      </w:r>
      <w:r w:rsidRPr="00391600" w:rsidR="001C73CC">
        <w:rPr>
          <w:rFonts w:ascii="Palatino Linotype" w:hAnsi="Palatino Linotype" w:eastAsia="Palatino Linotype"/>
          <w:color w:val="000000" w:themeColor="text1"/>
        </w:rPr>
        <w:t xml:space="preserve"> million</w:t>
      </w:r>
      <w:r w:rsidRPr="00391600" w:rsidR="00986E03">
        <w:rPr>
          <w:rFonts w:ascii="Palatino Linotype" w:hAnsi="Palatino Linotype" w:eastAsia="Palatino Linotype"/>
          <w:color w:val="000000" w:themeColor="text1"/>
        </w:rPr>
        <w:t xml:space="preserve"> 2024 Plan budget.</w:t>
      </w:r>
    </w:p>
    <w:p w:rsidRPr="00391600" w:rsidR="00FA0B66" w:rsidP="00FA0B66" w:rsidRDefault="00FA0B66" w14:paraId="6ADF3FC2" w14:textId="580BB239">
      <w:pPr>
        <w:pStyle w:val="ListParagraph"/>
        <w:numPr>
          <w:ilvl w:val="0"/>
          <w:numId w:val="5"/>
        </w:numPr>
        <w:spacing w:after="0" w:line="276" w:lineRule="auto"/>
        <w:rPr>
          <w:rFonts w:ascii="Palatino Linotype" w:hAnsi="Palatino Linotype" w:eastAsia="Palatino Linotype"/>
          <w:color w:val="000000" w:themeColor="text1"/>
        </w:rPr>
      </w:pPr>
      <w:r w:rsidRPr="00391600">
        <w:rPr>
          <w:rFonts w:ascii="Palatino Linotype" w:hAnsi="Palatino Linotype" w:eastAsia="Palatino Linotype"/>
          <w:color w:val="000000" w:themeColor="text1"/>
        </w:rPr>
        <w:t xml:space="preserve">Upon Commission approval, CEC shall not fund hydrogen-related RD&amp;D under its proposed 2024 Plan </w:t>
      </w:r>
      <w:r w:rsidRPr="00391600">
        <w:rPr>
          <w:rFonts w:ascii="Palatino Linotype" w:hAnsi="Palatino Linotype" w:eastAsia="Palatino Linotype"/>
          <w:i/>
          <w:color w:val="000000" w:themeColor="text1"/>
        </w:rPr>
        <w:t>Fuel-Flexible Distributed Power Generation</w:t>
      </w:r>
      <w:r w:rsidRPr="00391600">
        <w:rPr>
          <w:rFonts w:ascii="Palatino Linotype" w:hAnsi="Palatino Linotype" w:eastAsia="Palatino Linotype"/>
          <w:color w:val="000000" w:themeColor="text1"/>
        </w:rPr>
        <w:t xml:space="preserve"> Initiative as the Commission has not provided guidance on the appropriate role of gas ratepayers in funding hydrogen RD&amp;D, particula</w:t>
      </w:r>
      <w:r w:rsidRPr="00391600" w:rsidR="000429B2">
        <w:rPr>
          <w:rFonts w:ascii="Palatino Linotype" w:hAnsi="Palatino Linotype" w:eastAsia="Palatino Linotype"/>
          <w:color w:val="000000" w:themeColor="text1"/>
        </w:rPr>
        <w:t xml:space="preserve">rly </w:t>
      </w:r>
      <w:r w:rsidRPr="00391600">
        <w:rPr>
          <w:rFonts w:ascii="Palatino Linotype" w:hAnsi="Palatino Linotype" w:eastAsia="Palatino Linotype"/>
          <w:color w:val="000000" w:themeColor="text1"/>
        </w:rPr>
        <w:t>as these projects would have further implications for ratepayer funding, including in future Gas RD&amp;D Plans.</w:t>
      </w:r>
    </w:p>
    <w:p w:rsidRPr="00391600" w:rsidR="00E8506E" w:rsidP="00A71CC5" w:rsidRDefault="00990EA3" w14:paraId="7DD81D20" w14:textId="2492B7FD">
      <w:pPr>
        <w:pStyle w:val="10sp0"/>
        <w:numPr>
          <w:ilvl w:val="0"/>
          <w:numId w:val="5"/>
        </w:numPr>
        <w:spacing w:after="0" w:line="276" w:lineRule="auto"/>
        <w:rPr>
          <w:rFonts w:ascii="Palatino Linotype" w:hAnsi="Palatino Linotype" w:eastAsia="Palatino Linotype"/>
          <w:color w:val="000000" w:themeColor="text1"/>
        </w:rPr>
      </w:pPr>
      <w:r w:rsidRPr="00391600">
        <w:rPr>
          <w:rFonts w:ascii="Palatino Linotype" w:hAnsi="Palatino Linotype" w:eastAsia="Times New Roman"/>
          <w:color w:val="000000" w:themeColor="text1"/>
        </w:rPr>
        <w:t>In alignment with the</w:t>
      </w:r>
      <w:r w:rsidRPr="00391600" w:rsidR="009C4B71">
        <w:rPr>
          <w:rFonts w:ascii="Palatino Linotype" w:hAnsi="Palatino Linotype" w:eastAsia="Times New Roman"/>
          <w:color w:val="000000" w:themeColor="text1"/>
        </w:rPr>
        <w:t xml:space="preserve"> requirements outlined in the</w:t>
      </w:r>
      <w:r w:rsidRPr="00391600" w:rsidR="00E8506E">
        <w:rPr>
          <w:rFonts w:ascii="Palatino Linotype" w:hAnsi="Palatino Linotype" w:eastAsia="Times New Roman"/>
          <w:color w:val="000000" w:themeColor="text1"/>
        </w:rPr>
        <w:t xml:space="preserve"> </w:t>
      </w:r>
      <w:r w:rsidRPr="00391600" w:rsidR="005C63D4">
        <w:rPr>
          <w:rFonts w:ascii="Palatino Linotype" w:hAnsi="Palatino Linotype" w:eastAsia="Times New Roman"/>
          <w:color w:val="000000" w:themeColor="text1"/>
        </w:rPr>
        <w:t xml:space="preserve">Consolidated Guidance for Future CEC Gas RD&amp;D Compliance Filings </w:t>
      </w:r>
      <w:r w:rsidRPr="00391600" w:rsidR="00E8506E">
        <w:rPr>
          <w:rFonts w:ascii="Palatino Linotype" w:hAnsi="Palatino Linotype" w:eastAsia="Times New Roman"/>
          <w:color w:val="000000" w:themeColor="text1"/>
        </w:rPr>
        <w:t>section of this Resolution</w:t>
      </w:r>
      <w:r w:rsidRPr="00391600" w:rsidR="009C4B71">
        <w:rPr>
          <w:rFonts w:ascii="Palatino Linotype" w:hAnsi="Palatino Linotype" w:eastAsia="Times New Roman"/>
          <w:color w:val="000000" w:themeColor="text1"/>
        </w:rPr>
        <w:t xml:space="preserve">, </w:t>
      </w:r>
      <w:r w:rsidRPr="00391600" w:rsidR="00195AA8">
        <w:rPr>
          <w:rFonts w:ascii="Palatino Linotype" w:hAnsi="Palatino Linotype" w:eastAsia="Times New Roman"/>
          <w:color w:val="000000" w:themeColor="text1"/>
        </w:rPr>
        <w:t xml:space="preserve">the </w:t>
      </w:r>
      <w:r w:rsidRPr="00391600" w:rsidR="009C4B71">
        <w:rPr>
          <w:rFonts w:ascii="Palatino Linotype" w:hAnsi="Palatino Linotype" w:eastAsia="Times New Roman"/>
          <w:color w:val="000000" w:themeColor="text1"/>
        </w:rPr>
        <w:t xml:space="preserve">CEC shall: </w:t>
      </w:r>
      <w:r w:rsidRPr="00391600" w:rsidR="00A81369">
        <w:rPr>
          <w:rFonts w:ascii="Palatino Linotype" w:hAnsi="Palatino Linotype" w:eastAsia="Times New Roman"/>
          <w:color w:val="000000" w:themeColor="text1"/>
        </w:rPr>
        <w:t xml:space="preserve"> </w:t>
      </w:r>
    </w:p>
    <w:p w:rsidRPr="00391600" w:rsidR="00A81369" w:rsidP="00A556C9" w:rsidRDefault="00462816" w14:paraId="71B06ECD" w14:textId="1D8C9BD7">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Propose investments at the Initiative level and d</w:t>
      </w:r>
      <w:r w:rsidRPr="00391600" w:rsidR="00362A2B">
        <w:rPr>
          <w:rFonts w:ascii="Palatino Linotype" w:hAnsi="Palatino Linotype" w:eastAsia="Times New Roman"/>
          <w:color w:val="000000" w:themeColor="text1"/>
        </w:rPr>
        <w:t xml:space="preserve">emonstrate fulfillment of the Initiative Criteria for each proposed Initiative. </w:t>
      </w:r>
    </w:p>
    <w:p w:rsidRPr="00391600" w:rsidR="000C6147" w:rsidP="00A556C9" w:rsidRDefault="00A36CAD" w14:paraId="60BE8FC7" w14:textId="0CA317E5">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Conduct the detailed pre-submittal consultation process to promote coordinated strategic planning across administrators to facilitate a holistic investment planning approach.</w:t>
      </w:r>
    </w:p>
    <w:p w:rsidRPr="00391600" w:rsidR="000D120F" w:rsidP="00A556C9" w:rsidRDefault="00A81A36" w14:paraId="7895F0AD" w14:textId="649B8F23">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Submit via a letter to the Energy Division Director, Energy Division Central Files,</w:t>
      </w:r>
      <w:r w:rsidRPr="00391600">
        <w:rPr>
          <w:rFonts w:ascii="Palatino Linotype" w:hAnsi="Palatino Linotype" w:eastAsia="Times New Roman"/>
          <w:color w:val="000000" w:themeColor="text1"/>
          <w:vertAlign w:val="superscript"/>
        </w:rPr>
        <w:t>96</w:t>
      </w:r>
      <w:r w:rsidRPr="00391600">
        <w:rPr>
          <w:rFonts w:ascii="Palatino Linotype" w:hAnsi="Palatino Linotype" w:eastAsia="Times New Roman"/>
          <w:color w:val="000000" w:themeColor="text1"/>
        </w:rPr>
        <w:t xml:space="preserve"> and Staff its annual request to the SCO for quarterly transfers from the CPUC’s Gas Consumption Surcharge Fund to the CEC’s Public Interest RD&amp;D Fund</w:t>
      </w:r>
      <w:r w:rsidRPr="00391600" w:rsidR="00D47456">
        <w:rPr>
          <w:rFonts w:ascii="Palatino Linotype" w:hAnsi="Palatino Linotype" w:eastAsia="Times New Roman"/>
          <w:color w:val="000000" w:themeColor="text1"/>
        </w:rPr>
        <w:t xml:space="preserve">, reduced </w:t>
      </w:r>
      <w:r w:rsidRPr="00391600">
        <w:rPr>
          <w:rFonts w:ascii="Palatino Linotype" w:hAnsi="Palatino Linotype" w:eastAsia="Times New Roman"/>
          <w:color w:val="000000" w:themeColor="text1"/>
        </w:rPr>
        <w:t>by the amount of interest accrued on deposited amounts in the CEC’s Public Interest RD&amp;D Fund; commercial benefits which may have resulted from previous Gas RD&amp;D investments; and unencumbered and unspent funds required to be used prior to new/additional ratepayer funds as defined in this Resolution and verified by the Commission, and document these reductions in the letter.</w:t>
      </w:r>
    </w:p>
    <w:p w:rsidRPr="00391600" w:rsidR="00F67BA8" w:rsidP="00A556C9" w:rsidRDefault="00B61BC1" w14:paraId="38FD2AAD" w14:textId="5887BFCD">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Submit Tier 1 ALs semi-annually (by January 1</w:t>
      </w:r>
      <w:r w:rsidRPr="00391600" w:rsidR="00344148">
        <w:rPr>
          <w:rFonts w:ascii="Palatino Linotype" w:hAnsi="Palatino Linotype" w:eastAsia="Times New Roman"/>
          <w:color w:val="000000" w:themeColor="text1"/>
        </w:rPr>
        <w:t>5</w:t>
      </w:r>
      <w:r w:rsidRPr="00391600">
        <w:rPr>
          <w:rFonts w:ascii="Palatino Linotype" w:hAnsi="Palatino Linotype" w:eastAsia="Times New Roman"/>
          <w:color w:val="000000" w:themeColor="text1"/>
        </w:rPr>
        <w:t xml:space="preserve"> and July 1</w:t>
      </w:r>
      <w:r w:rsidRPr="00391600" w:rsidR="00344148">
        <w:rPr>
          <w:rFonts w:ascii="Palatino Linotype" w:hAnsi="Palatino Linotype" w:eastAsia="Times New Roman"/>
          <w:color w:val="000000" w:themeColor="text1"/>
        </w:rPr>
        <w:t>5</w:t>
      </w:r>
      <w:r w:rsidRPr="00391600">
        <w:rPr>
          <w:rFonts w:ascii="Palatino Linotype" w:hAnsi="Palatino Linotype" w:eastAsia="Times New Roman"/>
          <w:color w:val="000000" w:themeColor="text1"/>
        </w:rPr>
        <w:t xml:space="preserve">) with the following data </w:t>
      </w:r>
      <w:r w:rsidRPr="00391600" w:rsidR="00BB33C1">
        <w:rPr>
          <w:rFonts w:ascii="Palatino Linotype" w:hAnsi="Palatino Linotype" w:eastAsia="Times New Roman"/>
          <w:color w:val="000000" w:themeColor="text1"/>
        </w:rPr>
        <w:t xml:space="preserve">to support Energy Division staff’s oversight requirements: </w:t>
      </w:r>
    </w:p>
    <w:p w:rsidRPr="00391600" w:rsidR="00BB33C1" w:rsidP="00BB33C1" w:rsidRDefault="00750B4D" w14:paraId="3C05A50B" w14:textId="581FB53C">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lastRenderedPageBreak/>
        <w:t>Basic budget tracking information related</w:t>
      </w:r>
      <w:r w:rsidRPr="00391600" w:rsidR="00BB33C1">
        <w:rPr>
          <w:rFonts w:ascii="Palatino Linotype" w:hAnsi="Palatino Linotype" w:eastAsia="Times New Roman"/>
          <w:color w:val="000000" w:themeColor="text1"/>
        </w:rPr>
        <w:t xml:space="preserve"> to</w:t>
      </w:r>
      <w:r w:rsidRPr="00391600">
        <w:rPr>
          <w:rFonts w:ascii="Palatino Linotype" w:hAnsi="Palatino Linotype" w:eastAsia="Times New Roman"/>
          <w:color w:val="000000" w:themeColor="text1"/>
        </w:rPr>
        <w:t xml:space="preserve"> </w:t>
      </w:r>
      <w:r w:rsidRPr="00391600" w:rsidR="00BB33C1">
        <w:rPr>
          <w:rFonts w:ascii="Palatino Linotype" w:hAnsi="Palatino Linotype" w:eastAsia="Times New Roman"/>
          <w:color w:val="000000" w:themeColor="text1"/>
        </w:rPr>
        <w:t>previously approved Gas RD&amp;D Plans</w:t>
      </w:r>
      <w:r w:rsidRPr="00391600">
        <w:rPr>
          <w:rFonts w:ascii="Palatino Linotype" w:hAnsi="Palatino Linotype" w:eastAsia="Times New Roman"/>
          <w:color w:val="000000" w:themeColor="text1"/>
        </w:rPr>
        <w:t>, including</w:t>
      </w:r>
      <w:r w:rsidRPr="00391600" w:rsidR="00BB33C1">
        <w:rPr>
          <w:rFonts w:ascii="Palatino Linotype" w:hAnsi="Palatino Linotype" w:eastAsia="Times New Roman"/>
          <w:color w:val="000000" w:themeColor="text1"/>
        </w:rPr>
        <w:t>:</w:t>
      </w:r>
      <w:r w:rsidRPr="00391600" w:rsidR="001207B9">
        <w:rPr>
          <w:rStyle w:val="FootnoteReference"/>
          <w:rFonts w:ascii="Palatino Linotype" w:hAnsi="Palatino Linotype" w:eastAsia="Times New Roman"/>
          <w:color w:val="000000" w:themeColor="text1"/>
        </w:rPr>
        <w:footnoteReference w:id="160"/>
      </w:r>
      <w:r w:rsidRPr="00391600" w:rsidR="00BB33C1">
        <w:rPr>
          <w:rFonts w:ascii="Palatino Linotype" w:hAnsi="Palatino Linotype" w:eastAsia="Times New Roman"/>
          <w:color w:val="000000" w:themeColor="text1"/>
        </w:rPr>
        <w:t> </w:t>
      </w:r>
    </w:p>
    <w:p w:rsidRPr="00391600" w:rsidR="00B55B54" w:rsidP="00B55B54" w:rsidRDefault="00B55B54" w14:paraId="60448421" w14:textId="7F1F51C2">
      <w:pPr>
        <w:pStyle w:val="10spHanging05"/>
        <w:numPr>
          <w:ilvl w:val="3"/>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The balances of spent, unspent, encumbered, unencumbered, and disencumbered Gas RD&amp;D funds for each specific Initiative</w:t>
      </w:r>
      <w:r w:rsidRPr="00391600" w:rsidR="00C37325">
        <w:rPr>
          <w:rFonts w:ascii="Palatino Linotype" w:hAnsi="Palatino Linotype" w:eastAsia="Times New Roman"/>
          <w:color w:val="000000" w:themeColor="text1"/>
        </w:rPr>
        <w:t xml:space="preserve"> and Program Administration</w:t>
      </w:r>
      <w:r w:rsidRPr="00391600">
        <w:rPr>
          <w:rFonts w:ascii="Palatino Linotype" w:hAnsi="Palatino Linotype" w:eastAsia="Times New Roman"/>
          <w:color w:val="000000" w:themeColor="text1"/>
        </w:rPr>
        <w:t>, specifically identifying:  </w:t>
      </w:r>
    </w:p>
    <w:p w:rsidRPr="00391600" w:rsidR="008F1B97" w:rsidP="00B55B54" w:rsidRDefault="00B55B54" w14:paraId="5B3DD721" w14:textId="77777777">
      <w:pPr>
        <w:pStyle w:val="10spHanging05"/>
        <w:numPr>
          <w:ilvl w:val="4"/>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Unencumbered funds for which over two years have passed since Commission authorization</w:t>
      </w:r>
      <w:r w:rsidRPr="00391600" w:rsidR="000D6AFE">
        <w:rPr>
          <w:rFonts w:ascii="Palatino Linotype" w:hAnsi="Palatino Linotype" w:eastAsia="Times New Roman"/>
          <w:color w:val="000000" w:themeColor="text1"/>
        </w:rPr>
        <w:t>,</w:t>
      </w:r>
      <w:r w:rsidRPr="00391600">
        <w:rPr>
          <w:rFonts w:ascii="Palatino Linotype" w:hAnsi="Palatino Linotype" w:eastAsia="Times New Roman"/>
          <w:color w:val="000000" w:themeColor="text1"/>
        </w:rPr>
        <w:t xml:space="preserve"> and </w:t>
      </w:r>
    </w:p>
    <w:p w:rsidRPr="00391600" w:rsidR="00B55B54" w:rsidP="00B55B54" w:rsidRDefault="008F1B97" w14:paraId="3F8DCD9D" w14:textId="117AED13">
      <w:pPr>
        <w:pStyle w:val="10spHanging05"/>
        <w:numPr>
          <w:ilvl w:val="4"/>
          <w:numId w:val="5"/>
        </w:numPr>
        <w:spacing w:after="0" w:line="276" w:lineRule="auto"/>
        <w:rPr>
          <w:rFonts w:ascii="Palatino Linotype" w:hAnsi="Palatino Linotype" w:eastAsia="Times New Roman"/>
          <w:color w:val="000000" w:themeColor="text1"/>
        </w:rPr>
      </w:pPr>
      <w:r w:rsidRPr="00391600">
        <w:rPr>
          <w:rFonts w:ascii="Palatino Linotype" w:hAnsi="Palatino Linotype"/>
          <w:color w:val="000000" w:themeColor="text1"/>
        </w:rPr>
        <w:t xml:space="preserve">Unspent encumbered funds </w:t>
      </w:r>
      <w:r w:rsidRPr="00391600" w:rsidR="00B779C8">
        <w:rPr>
          <w:rFonts w:ascii="Palatino Linotype" w:hAnsi="Palatino Linotype"/>
          <w:color w:val="000000" w:themeColor="text1"/>
        </w:rPr>
        <w:t xml:space="preserve">for which over four years have passed since encumbrance: </w:t>
      </w:r>
      <w:r w:rsidRPr="00391600">
        <w:rPr>
          <w:rFonts w:ascii="Palatino Linotype" w:hAnsi="Palatino Linotype" w:eastAsia="Palatino Linotype" w:cs="Palatino Linotype"/>
          <w:color w:val="000000" w:themeColor="text1"/>
        </w:rPr>
        <w:t>In order to maintain the integrity of the timeframes, the CEC shall request of Energy Division a limited extension of these timeframes, including justification for the additional time needed and</w:t>
      </w:r>
      <w:r w:rsidRPr="00391600">
        <w:rPr>
          <w:rFonts w:ascii="Palatino Linotype" w:hAnsi="Palatino Linotype"/>
          <w:color w:val="000000" w:themeColor="text1"/>
        </w:rPr>
        <w:t xml:space="preserve"> an attestation that spending on these projects is anticipated to be completed within a specific requested reasonable timeframe (e.g., within one additional year). </w:t>
      </w:r>
      <w:r w:rsidRPr="00391600">
        <w:rPr>
          <w:rFonts w:ascii="Palatino Linotype" w:hAnsi="Palatino Linotype" w:eastAsia="Palatino Linotype" w:cs="Palatino Linotype"/>
          <w:color w:val="000000" w:themeColor="text1"/>
        </w:rPr>
        <w:t>If funds are not anticipated to be and/or ultimately are not spent within the defined extended timeframe, the Commission expects these funds will be used to offset ratepayer costs for subsequent Gas RD&amp;D Plans.</w:t>
      </w:r>
      <w:r w:rsidRPr="00391600" w:rsidR="00B55B54">
        <w:rPr>
          <w:rFonts w:ascii="Palatino Linotype" w:hAnsi="Palatino Linotype" w:eastAsia="Times New Roman"/>
          <w:color w:val="000000" w:themeColor="text1"/>
        </w:rPr>
        <w:t> </w:t>
      </w:r>
    </w:p>
    <w:p w:rsidRPr="00391600" w:rsidR="00BB33C1" w:rsidP="00BB33C1" w:rsidRDefault="00BB33C1" w14:paraId="7C4E3620" w14:textId="4224BF69">
      <w:pPr>
        <w:pStyle w:val="10spHanging05"/>
        <w:numPr>
          <w:ilvl w:val="3"/>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Commission-approved budget allocations</w:t>
      </w:r>
      <w:r w:rsidRPr="00391600" w:rsidR="42F2D1D1">
        <w:rPr>
          <w:rFonts w:ascii="Palatino Linotype" w:hAnsi="Palatino Linotype" w:eastAsia="Times New Roman"/>
          <w:color w:val="000000" w:themeColor="text1"/>
        </w:rPr>
        <w:t xml:space="preserve"> and</w:t>
      </w:r>
      <w:r w:rsidRPr="00391600">
        <w:rPr>
          <w:rFonts w:ascii="Palatino Linotype" w:hAnsi="Palatino Linotype" w:eastAsia="Times New Roman"/>
          <w:color w:val="000000" w:themeColor="text1"/>
        </w:rPr>
        <w:t xml:space="preserve"> approval dates</w:t>
      </w:r>
      <w:r w:rsidRPr="00391600" w:rsidR="00A123AF">
        <w:rPr>
          <w:rFonts w:ascii="Palatino Linotype" w:hAnsi="Palatino Linotype" w:eastAsia="Times New Roman"/>
          <w:color w:val="000000" w:themeColor="text1"/>
        </w:rPr>
        <w:t xml:space="preserve"> for each Plan and Initiative</w:t>
      </w:r>
      <w:r w:rsidRPr="00391600">
        <w:rPr>
          <w:rFonts w:ascii="Palatino Linotype" w:hAnsi="Palatino Linotype" w:eastAsia="Times New Roman"/>
          <w:color w:val="000000" w:themeColor="text1"/>
        </w:rPr>
        <w:t>.</w:t>
      </w:r>
    </w:p>
    <w:p w:rsidRPr="00391600" w:rsidR="00C7374D" w:rsidP="00DF23F8" w:rsidRDefault="003D4763" w14:paraId="463E551A" w14:textId="4160A26F">
      <w:pPr>
        <w:pStyle w:val="ListParagraph"/>
        <w:numPr>
          <w:ilvl w:val="3"/>
          <w:numId w:val="5"/>
        </w:numPr>
        <w:spacing w:after="0"/>
        <w:rPr>
          <w:rFonts w:ascii="Palatino Linotype" w:hAnsi="Palatino Linotype" w:eastAsia="Times New Roman" w:cs="Times New Roman"/>
          <w:color w:val="000000" w:themeColor="text1"/>
          <w:kern w:val="0"/>
          <w:szCs w:val="20"/>
          <w14:ligatures w14:val="none"/>
        </w:rPr>
      </w:pPr>
      <w:r w:rsidRPr="00391600">
        <w:rPr>
          <w:rFonts w:ascii="Palatino Linotype" w:hAnsi="Palatino Linotype" w:eastAsia="Times New Roman" w:cs="Times New Roman"/>
          <w:color w:val="000000" w:themeColor="text1"/>
          <w:kern w:val="0"/>
          <w:szCs w:val="20"/>
          <w14:ligatures w14:val="none"/>
        </w:rPr>
        <w:t>Requests to shift funds between Initiatives at or above 20% of the approved budget.</w:t>
      </w:r>
    </w:p>
    <w:p w:rsidRPr="00391600" w:rsidR="00B6024E" w:rsidP="00DF23F8" w:rsidRDefault="00DF23F8" w14:paraId="71DE0A54" w14:textId="05EC3473">
      <w:pPr>
        <w:pStyle w:val="ListParagraph"/>
        <w:numPr>
          <w:ilvl w:val="3"/>
          <w:numId w:val="5"/>
        </w:numPr>
        <w:spacing w:after="0"/>
        <w:rPr>
          <w:rFonts w:ascii="Palatino Linotype" w:hAnsi="Palatino Linotype" w:eastAsia="Times New Roman" w:cs="Times New Roman"/>
          <w:color w:val="000000" w:themeColor="text1"/>
          <w:kern w:val="0"/>
          <w:szCs w:val="20"/>
          <w14:ligatures w14:val="none"/>
        </w:rPr>
      </w:pPr>
      <w:r w:rsidRPr="00391600">
        <w:rPr>
          <w:rFonts w:ascii="Palatino Linotype" w:hAnsi="Palatino Linotype" w:eastAsia="Times New Roman" w:cs="Times New Roman"/>
          <w:color w:val="000000" w:themeColor="text1"/>
          <w:kern w:val="0"/>
          <w:szCs w:val="20"/>
          <w14:ligatures w14:val="none"/>
        </w:rPr>
        <w:t>Modified budgets per potential fund shifting.</w:t>
      </w:r>
    </w:p>
    <w:p w:rsidRPr="00391600" w:rsidR="00BB33C1" w:rsidP="00DF23F8" w:rsidRDefault="00BB33C1" w14:paraId="5F7F7331" w14:textId="238CF69F">
      <w:pPr>
        <w:pStyle w:val="10spHanging05"/>
        <w:numPr>
          <w:ilvl w:val="4"/>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For funding reallocated from approved Initiatives, the Plan and specific Initiative the funding has been reallocated to; relatedly, for funding reallocated to new Initiatives, the Plan and specific Initiative funding has been reallocated from.  </w:t>
      </w:r>
    </w:p>
    <w:p w:rsidRPr="00391600" w:rsidR="004F4826" w:rsidP="00BB33C1" w:rsidRDefault="009F4E1B" w14:paraId="4A71C1D8" w14:textId="29566019">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Interest accrued on Gas RD&amp;D program funds. </w:t>
      </w:r>
    </w:p>
    <w:p w:rsidRPr="00391600" w:rsidR="00BB33C1" w:rsidP="00BB33C1" w:rsidRDefault="00BB33C1" w14:paraId="37730B86" w14:textId="7BD86085">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lastRenderedPageBreak/>
        <w:t xml:space="preserve">Commercial benefits which may </w:t>
      </w:r>
      <w:r w:rsidRPr="00391600" w:rsidR="00B6024E">
        <w:rPr>
          <w:rFonts w:ascii="Palatino Linotype" w:hAnsi="Palatino Linotype" w:eastAsia="Times New Roman"/>
          <w:color w:val="000000" w:themeColor="text1"/>
        </w:rPr>
        <w:t>have</w:t>
      </w:r>
      <w:r w:rsidRPr="00391600">
        <w:rPr>
          <w:rFonts w:ascii="Palatino Linotype" w:hAnsi="Palatino Linotype" w:eastAsia="Times New Roman"/>
          <w:color w:val="000000" w:themeColor="text1"/>
        </w:rPr>
        <w:t xml:space="preserve"> result</w:t>
      </w:r>
      <w:r w:rsidRPr="00391600" w:rsidR="00B6024E">
        <w:rPr>
          <w:rFonts w:ascii="Palatino Linotype" w:hAnsi="Palatino Linotype" w:eastAsia="Times New Roman"/>
          <w:color w:val="000000" w:themeColor="text1"/>
        </w:rPr>
        <w:t>ed</w:t>
      </w:r>
      <w:r w:rsidRPr="00391600">
        <w:rPr>
          <w:rFonts w:ascii="Palatino Linotype" w:hAnsi="Palatino Linotype" w:eastAsia="Times New Roman"/>
          <w:color w:val="000000" w:themeColor="text1"/>
        </w:rPr>
        <w:t xml:space="preserve"> from </w:t>
      </w:r>
      <w:r w:rsidRPr="00391600" w:rsidR="00A4414B">
        <w:rPr>
          <w:rFonts w:ascii="Palatino Linotype" w:hAnsi="Palatino Linotype" w:eastAsia="Times New Roman"/>
          <w:color w:val="000000" w:themeColor="text1"/>
        </w:rPr>
        <w:t xml:space="preserve">previous </w:t>
      </w:r>
      <w:r w:rsidRPr="00391600">
        <w:rPr>
          <w:rFonts w:ascii="Palatino Linotype" w:hAnsi="Palatino Linotype" w:eastAsia="Times New Roman"/>
          <w:color w:val="000000" w:themeColor="text1"/>
        </w:rPr>
        <w:t>Gas RD&amp;D investments.</w:t>
      </w:r>
    </w:p>
    <w:p w:rsidRPr="00391600" w:rsidR="009F4E1B" w:rsidP="00BB33C1" w:rsidRDefault="009F4E1B" w14:paraId="0DD51F4F" w14:textId="4672C195">
      <w:pPr>
        <w:pStyle w:val="10spHanging05"/>
        <w:numPr>
          <w:ilvl w:val="2"/>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Requests to modify research topics for Initiatives in Commission-approved Plans. </w:t>
      </w:r>
    </w:p>
    <w:p w:rsidRPr="00391600" w:rsidR="00816F68" w:rsidP="002538F0" w:rsidRDefault="00816F68" w14:paraId="523718B2" w14:textId="783115D8">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The CEC shall submit draft GFO materials via a letter directly to the Energy Division Director, Energy Division Central Files, and Staff including identification of the associated funding Plan year and Initiative. The letters should facilitate consultation early in solicitation scoping and concept development in addition to during later phases involving notices of proposed awards and agreement document development prior to CEC Business Meeting approval. Given this process has commonly lasted upwards of one year from Plan approval, upon CPUC request, the CEC should also explore memorandums of understanding (MOUs) to protect confidentiality as necessary while allowing for information sharing during intermediary steps, such as drafting solicitation packages and evaluating applicants.</w:t>
      </w:r>
    </w:p>
    <w:p w:rsidRPr="00391600" w:rsidR="002538F0" w:rsidP="002538F0" w:rsidRDefault="007B55AC" w14:paraId="316B7F65" w14:textId="39963334">
      <w:pPr>
        <w:pStyle w:val="10spHanging05"/>
        <w:numPr>
          <w:ilvl w:val="1"/>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Palatino Linotype"/>
          <w:color w:val="000000" w:themeColor="text1"/>
        </w:rPr>
        <w:t>Submit Gas RD&amp;D Annual Reports to Energy Division by June 1 annually for the previous calendar year</w:t>
      </w:r>
      <w:r w:rsidRPr="00391600" w:rsidR="00A7311B">
        <w:rPr>
          <w:rFonts w:ascii="Palatino Linotype" w:hAnsi="Palatino Linotype" w:eastAsia="Palatino Linotype"/>
          <w:color w:val="000000" w:themeColor="text1"/>
        </w:rPr>
        <w:t>, utilizing a standardized template provided by Energy Division</w:t>
      </w:r>
      <w:r w:rsidRPr="00391600">
        <w:rPr>
          <w:rFonts w:ascii="Palatino Linotype" w:hAnsi="Palatino Linotype" w:eastAsia="Palatino Linotype"/>
          <w:color w:val="000000" w:themeColor="text1"/>
        </w:rPr>
        <w:t>.</w:t>
      </w:r>
      <w:r w:rsidRPr="00391600" w:rsidR="00D64F3D">
        <w:rPr>
          <w:rStyle w:val="FootnoteReference"/>
          <w:rFonts w:ascii="Palatino Linotype" w:hAnsi="Palatino Linotype" w:eastAsia="Palatino Linotype"/>
          <w:color w:val="000000" w:themeColor="text1"/>
        </w:rPr>
        <w:footnoteReference w:id="161"/>
      </w:r>
    </w:p>
    <w:p w:rsidRPr="00391600" w:rsidR="009F6257" w:rsidP="009F6257" w:rsidRDefault="009F6257" w14:paraId="56AD186D" w14:textId="4C3C1CAA">
      <w:pPr>
        <w:pStyle w:val="10spHanging05"/>
        <w:numPr>
          <w:ilvl w:val="1"/>
          <w:numId w:val="5"/>
        </w:numPr>
        <w:spacing w:after="0" w:line="276" w:lineRule="auto"/>
        <w:rPr>
          <w:rFonts w:ascii="Palatino Linotype" w:hAnsi="Palatino Linotype"/>
          <w:color w:val="000000" w:themeColor="text1"/>
        </w:rPr>
      </w:pPr>
      <w:r w:rsidRPr="00391600">
        <w:rPr>
          <w:rFonts w:ascii="Palatino Linotype" w:hAnsi="Palatino Linotype"/>
          <w:color w:val="000000" w:themeColor="text1"/>
        </w:rPr>
        <w:t xml:space="preserve">In the use of ratepayer funds, maintain supporting documentation for transparency that is easily auditable, including for grant recipients, and </w:t>
      </w:r>
      <w:proofErr w:type="gramStart"/>
      <w:r w:rsidRPr="00391600">
        <w:rPr>
          <w:rFonts w:ascii="Palatino Linotype" w:hAnsi="Palatino Linotype"/>
          <w:color w:val="000000" w:themeColor="text1"/>
        </w:rPr>
        <w:t>comply</w:t>
      </w:r>
      <w:proofErr w:type="gramEnd"/>
      <w:r w:rsidRPr="00391600">
        <w:rPr>
          <w:rFonts w:ascii="Palatino Linotype" w:hAnsi="Palatino Linotype"/>
          <w:color w:val="000000" w:themeColor="text1"/>
        </w:rPr>
        <w:t xml:space="preserve"> with state requirements and procedures.</w:t>
      </w:r>
    </w:p>
    <w:p w:rsidRPr="00391600" w:rsidR="00D46C43" w:rsidP="00A556C9" w:rsidRDefault="00D46C43" w14:paraId="77857E43" w14:textId="15150EDB">
      <w:pPr>
        <w:pStyle w:val="10spHanging05"/>
        <w:numPr>
          <w:ilvl w:val="0"/>
          <w:numId w:val="5"/>
        </w:numPr>
        <w:spacing w:after="0" w:line="276" w:lineRule="auto"/>
        <w:rPr>
          <w:rFonts w:ascii="Palatino Linotype" w:hAnsi="Palatino Linotype"/>
          <w:color w:val="000000" w:themeColor="text1"/>
        </w:rPr>
      </w:pPr>
      <w:r w:rsidRPr="00391600">
        <w:rPr>
          <w:rFonts w:ascii="Palatino Linotype" w:hAnsi="Palatino Linotype"/>
          <w:color w:val="000000" w:themeColor="text1"/>
        </w:rPr>
        <w:t>The CEC is no longer required to provide reporting on approved funding balances in its Annual Plans.</w:t>
      </w:r>
    </w:p>
    <w:p w:rsidRPr="00391600" w:rsidR="00F67CDF" w:rsidP="00A556C9" w:rsidRDefault="00D46C43" w14:paraId="281F6FF3" w14:textId="3639462F">
      <w:pPr>
        <w:pStyle w:val="10spHanging05"/>
        <w:numPr>
          <w:ilvl w:val="0"/>
          <w:numId w:val="5"/>
        </w:numPr>
        <w:spacing w:after="0" w:line="276" w:lineRule="auto"/>
        <w:rPr>
          <w:rFonts w:ascii="Palatino Linotype" w:hAnsi="Palatino Linotype"/>
          <w:color w:val="000000" w:themeColor="text1"/>
        </w:rPr>
      </w:pPr>
      <w:r w:rsidRPr="00391600">
        <w:rPr>
          <w:rFonts w:ascii="Palatino Linotype" w:hAnsi="Palatino Linotype" w:eastAsia="Palatino Linotype"/>
          <w:color w:val="000000" w:themeColor="text1"/>
        </w:rPr>
        <w:t xml:space="preserve">The </w:t>
      </w:r>
      <w:r w:rsidRPr="00391600" w:rsidR="56CC564E">
        <w:rPr>
          <w:rFonts w:ascii="Palatino Linotype" w:hAnsi="Palatino Linotype" w:eastAsia="Palatino Linotype"/>
          <w:color w:val="000000" w:themeColor="text1"/>
        </w:rPr>
        <w:t xml:space="preserve">CEC shall allocate funds towards its proportional share, </w:t>
      </w:r>
      <w:r w:rsidRPr="00391600" w:rsidR="56CC564E">
        <w:rPr>
          <w:rFonts w:ascii="Palatino Linotype" w:hAnsi="Palatino Linotype"/>
          <w:color w:val="000000" w:themeColor="text1"/>
        </w:rPr>
        <w:t>$184,511,</w:t>
      </w:r>
      <w:r w:rsidRPr="00391600" w:rsidR="56CC564E">
        <w:rPr>
          <w:rFonts w:ascii="Palatino Linotype" w:hAnsi="Palatino Linotype" w:eastAsia="Palatino Linotype"/>
          <w:color w:val="000000" w:themeColor="text1"/>
        </w:rPr>
        <w:t xml:space="preserve"> of developing a comprehensive Gas RD&amp;D Database of projects.</w:t>
      </w:r>
    </w:p>
    <w:p w:rsidRPr="00391600" w:rsidR="00F67CDF" w:rsidP="00A556C9" w:rsidRDefault="00F67CDF" w14:paraId="7CD6BFFE" w14:textId="21087077">
      <w:pPr>
        <w:pStyle w:val="10spHanging05"/>
        <w:numPr>
          <w:ilvl w:val="0"/>
          <w:numId w:val="5"/>
        </w:numPr>
        <w:spacing w:after="0" w:line="276" w:lineRule="auto"/>
        <w:rPr>
          <w:rFonts w:ascii="Palatino Linotype" w:hAnsi="Palatino Linotype"/>
          <w:color w:val="000000" w:themeColor="text1"/>
        </w:rPr>
      </w:pPr>
      <w:r w:rsidRPr="00391600">
        <w:rPr>
          <w:rFonts w:ascii="Palatino Linotype" w:hAnsi="Palatino Linotype"/>
          <w:color w:val="000000" w:themeColor="text1"/>
        </w:rPr>
        <w:t>Energy Division shall advise</w:t>
      </w:r>
      <w:r w:rsidRPr="00391600" w:rsidR="00C8304A">
        <w:rPr>
          <w:rFonts w:ascii="Palatino Linotype" w:hAnsi="Palatino Linotype"/>
          <w:color w:val="000000" w:themeColor="text1"/>
        </w:rPr>
        <w:t xml:space="preserve"> </w:t>
      </w:r>
      <w:r w:rsidRPr="00391600" w:rsidR="00D46C43">
        <w:rPr>
          <w:rFonts w:ascii="Palatino Linotype" w:hAnsi="Palatino Linotype"/>
          <w:color w:val="000000" w:themeColor="text1"/>
        </w:rPr>
        <w:t xml:space="preserve">the </w:t>
      </w:r>
      <w:r w:rsidRPr="00391600" w:rsidR="00C8304A">
        <w:rPr>
          <w:rFonts w:ascii="Palatino Linotype" w:hAnsi="Palatino Linotype"/>
          <w:color w:val="000000" w:themeColor="text1"/>
        </w:rPr>
        <w:t>CEC</w:t>
      </w:r>
      <w:r w:rsidRPr="00391600">
        <w:rPr>
          <w:rFonts w:ascii="Palatino Linotype" w:hAnsi="Palatino Linotype"/>
          <w:color w:val="000000" w:themeColor="text1"/>
        </w:rPr>
        <w:t xml:space="preserve"> on any reimbursement process to support a consolidated, comprehensive </w:t>
      </w:r>
      <w:r w:rsidRPr="00391600" w:rsidR="00660D77">
        <w:rPr>
          <w:rFonts w:ascii="Palatino Linotype" w:hAnsi="Palatino Linotype"/>
          <w:color w:val="000000" w:themeColor="text1"/>
        </w:rPr>
        <w:t>i</w:t>
      </w:r>
      <w:r w:rsidRPr="00391600">
        <w:rPr>
          <w:rFonts w:ascii="Palatino Linotype" w:hAnsi="Palatino Linotype"/>
          <w:color w:val="000000" w:themeColor="text1"/>
        </w:rPr>
        <w:t>ndependent Program Evaluation across all Gas RD&amp;D administrators to create efficiencies and improve transparency regarding the use of ratepayer funds.</w:t>
      </w:r>
    </w:p>
    <w:p w:rsidRPr="00391600" w:rsidR="00CB6C54" w:rsidP="00A556C9" w:rsidRDefault="00CB6C54" w14:paraId="49D11BD9" w14:textId="3A7B3D77">
      <w:pPr>
        <w:pStyle w:val="10spHanging05"/>
        <w:numPr>
          <w:ilvl w:val="0"/>
          <w:numId w:val="5"/>
        </w:numPr>
        <w:spacing w:after="0" w:line="276" w:lineRule="auto"/>
        <w:rPr>
          <w:rFonts w:ascii="Palatino Linotype" w:hAnsi="Palatino Linotype"/>
          <w:color w:val="000000" w:themeColor="text1"/>
        </w:rPr>
      </w:pPr>
      <w:r w:rsidRPr="00391600">
        <w:rPr>
          <w:rFonts w:ascii="Palatino Linotype" w:hAnsi="Palatino Linotype"/>
          <w:color w:val="000000" w:themeColor="text1"/>
        </w:rPr>
        <w:lastRenderedPageBreak/>
        <w:t xml:space="preserve">In consultation with Energy Division staff and the Database administrator, CEC shall allocate and reimburse additional funds in </w:t>
      </w:r>
      <w:proofErr w:type="gramStart"/>
      <w:r w:rsidRPr="00391600">
        <w:rPr>
          <w:rFonts w:ascii="Palatino Linotype" w:hAnsi="Palatino Linotype"/>
          <w:color w:val="000000" w:themeColor="text1"/>
        </w:rPr>
        <w:t>future Plans</w:t>
      </w:r>
      <w:proofErr w:type="gramEnd"/>
      <w:r w:rsidRPr="00391600">
        <w:rPr>
          <w:rFonts w:ascii="Palatino Linotype" w:hAnsi="Palatino Linotype"/>
          <w:color w:val="000000" w:themeColor="text1"/>
        </w:rPr>
        <w:t xml:space="preserve"> for its proportional share of the maintenance and operational needs of the Database once established. </w:t>
      </w:r>
    </w:p>
    <w:p w:rsidRPr="00391600" w:rsidR="009A6B41" w:rsidP="00A556C9" w:rsidRDefault="00387D25" w14:paraId="1899A730" w14:textId="0D3B2CCB">
      <w:pPr>
        <w:pStyle w:val="10spHanging05"/>
        <w:numPr>
          <w:ilvl w:val="0"/>
          <w:numId w:val="5"/>
        </w:numPr>
        <w:spacing w:after="0" w:line="276" w:lineRule="auto"/>
        <w:rPr>
          <w:rFonts w:ascii="Palatino Linotype" w:hAnsi="Palatino Linotype" w:eastAsia="Times New Roman"/>
          <w:color w:val="000000" w:themeColor="text1"/>
        </w:rPr>
      </w:pPr>
      <w:r w:rsidRPr="00391600">
        <w:rPr>
          <w:rFonts w:ascii="Palatino Linotype" w:hAnsi="Palatino Linotype" w:eastAsia="Times New Roman"/>
          <w:color w:val="000000" w:themeColor="text1"/>
        </w:rPr>
        <w:t>CEC</w:t>
      </w:r>
      <w:r w:rsidRPr="00391600" w:rsidR="00F10602">
        <w:rPr>
          <w:rFonts w:ascii="Palatino Linotype" w:hAnsi="Palatino Linotype" w:eastAsia="Times New Roman"/>
          <w:color w:val="000000" w:themeColor="text1"/>
        </w:rPr>
        <w:t xml:space="preserve">’s Advice Letters 12-G and 10-G-A proposing for CEC to record up to </w:t>
      </w:r>
      <w:r w:rsidR="00F76651">
        <w:rPr>
          <w:rFonts w:ascii="Palatino Linotype" w:hAnsi="Palatino Linotype" w:eastAsia="Times New Roman"/>
          <w:color w:val="000000" w:themeColor="text1"/>
        </w:rPr>
        <w:br/>
      </w:r>
      <w:r w:rsidRPr="00391600" w:rsidR="00F10602">
        <w:rPr>
          <w:rFonts w:ascii="Palatino Linotype" w:hAnsi="Palatino Linotype" w:eastAsia="Times New Roman"/>
          <w:color w:val="000000" w:themeColor="text1"/>
        </w:rPr>
        <w:t xml:space="preserve">$24 million for each FY 2024-2025 and FY 2025-2026 </w:t>
      </w:r>
      <w:r w:rsidRPr="00391600" w:rsidR="00963A57">
        <w:rPr>
          <w:rFonts w:ascii="Palatino Linotype" w:hAnsi="Palatino Linotype" w:eastAsia="Times New Roman"/>
          <w:color w:val="000000" w:themeColor="text1"/>
        </w:rPr>
        <w:t>in Gas RD&amp;D expenses are partially approved.</w:t>
      </w:r>
    </w:p>
    <w:p w:rsidRPr="00391600" w:rsidR="009A6B41" w:rsidP="003147DD" w:rsidRDefault="009A6B41" w14:paraId="40252AB0" w14:textId="77777777">
      <w:pPr>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391600" w:rsidR="00A76F4A" w:rsidP="003147DD" w:rsidRDefault="00A76F4A" w14:paraId="6B9B735A" w14:textId="77777777">
      <w:pPr>
        <w:keepNext/>
        <w:tabs>
          <w:tab w:val="left" w:pos="720"/>
          <w:tab w:val="left" w:pos="1296"/>
          <w:tab w:val="left" w:pos="2016"/>
          <w:tab w:val="left" w:pos="2736"/>
          <w:tab w:val="left" w:pos="3456"/>
          <w:tab w:val="left" w:pos="4176"/>
          <w:tab w:val="left" w:pos="5760"/>
        </w:tabs>
        <w:spacing w:before="240" w:after="0" w:line="276" w:lineRule="auto"/>
        <w:rPr>
          <w:rFonts w:ascii="Palatino Linotype" w:hAnsi="Palatino Linotype" w:eastAsia="Palatino Linotype" w:cs="Times New Roman"/>
          <w:kern w:val="0"/>
          <w14:ligatures w14:val="none"/>
        </w:rPr>
      </w:pPr>
      <w:r w:rsidRPr="00391600">
        <w:rPr>
          <w:rFonts w:ascii="Palatino Linotype" w:hAnsi="Palatino Linotype" w:eastAsia="Palatino Linotype" w:cs="Times New Roman"/>
          <w:kern w:val="0"/>
          <w14:ligatures w14:val="none"/>
        </w:rPr>
        <w:t>This Resolution is effective today.</w:t>
      </w:r>
    </w:p>
    <w:p w:rsidRPr="00391600" w:rsidR="00A76F4A" w:rsidP="003147DD" w:rsidRDefault="00A76F4A" w14:paraId="45A541E0"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391600" w:rsidR="00AC5B85" w:rsidP="003147DD" w:rsidRDefault="00AC5B85" w14:paraId="299EE29A"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391600" w:rsidR="00A76F4A" w:rsidP="003147DD" w:rsidRDefault="00A76F4A" w14:paraId="34F8C9C5" w14:textId="5A935289">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kern w:val="0"/>
          <w14:ligatures w14:val="none"/>
        </w:rPr>
        <w:tab/>
      </w:r>
      <w:r w:rsidRPr="00391600">
        <w:rPr>
          <w:rFonts w:ascii="Palatino Linotype" w:hAnsi="Palatino Linotype" w:eastAsia="Palatino Linotype" w:cs="Times New Roman"/>
          <w:color w:val="000000" w:themeColor="text1"/>
          <w:kern w:val="0"/>
          <w14:ligatures w14:val="none"/>
        </w:rPr>
        <w:t xml:space="preserve">Commissioner Signature blocks to be added </w:t>
      </w:r>
    </w:p>
    <w:p w:rsidRPr="00391600" w:rsidR="00A76F4A" w:rsidP="003147DD" w:rsidRDefault="00A76F4A" w14:paraId="47615040" w14:textId="7EF365BF">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r w:rsidRPr="00391600">
        <w:rPr>
          <w:rFonts w:ascii="Palatino Linotype" w:hAnsi="Palatino Linotype" w:eastAsia="Palatino Linotype" w:cs="Times New Roman"/>
          <w:color w:val="000000" w:themeColor="text1"/>
          <w:kern w:val="0"/>
          <w14:ligatures w14:val="none"/>
        </w:rPr>
        <w:tab/>
      </w:r>
      <w:r w:rsidRPr="00391600">
        <w:rPr>
          <w:rFonts w:ascii="Palatino Linotype" w:hAnsi="Palatino Linotype" w:eastAsia="Palatino Linotype" w:cs="Times New Roman"/>
          <w:color w:val="000000" w:themeColor="text1"/>
          <w:kern w:val="0"/>
          <w14:ligatures w14:val="none"/>
        </w:rPr>
        <w:tab/>
      </w:r>
      <w:r w:rsidRPr="00391600">
        <w:rPr>
          <w:rFonts w:ascii="Palatino Linotype" w:hAnsi="Palatino Linotype" w:eastAsia="Palatino Linotype" w:cs="Times New Roman"/>
          <w:color w:val="000000" w:themeColor="text1"/>
          <w:kern w:val="0"/>
          <w14:ligatures w14:val="none"/>
        </w:rPr>
        <w:tab/>
      </w:r>
      <w:r w:rsidRPr="00391600">
        <w:rPr>
          <w:rFonts w:ascii="Palatino Linotype" w:hAnsi="Palatino Linotype" w:eastAsia="Palatino Linotype" w:cs="Times New Roman"/>
          <w:color w:val="000000" w:themeColor="text1"/>
          <w:kern w:val="0"/>
          <w14:ligatures w14:val="none"/>
        </w:rPr>
        <w:tab/>
      </w:r>
      <w:r w:rsidRPr="00391600">
        <w:rPr>
          <w:rFonts w:ascii="Palatino Linotype" w:hAnsi="Palatino Linotype" w:eastAsia="Palatino Linotype" w:cs="Times New Roman"/>
          <w:color w:val="000000" w:themeColor="text1"/>
          <w:kern w:val="0"/>
          <w14:ligatures w14:val="none"/>
        </w:rPr>
        <w:tab/>
      </w:r>
      <w:r w:rsidRPr="00391600">
        <w:rPr>
          <w:rFonts w:ascii="Palatino Linotype" w:hAnsi="Palatino Linotype" w:eastAsia="Palatino Linotype" w:cs="Times New Roman"/>
          <w:color w:val="000000" w:themeColor="text1"/>
          <w:kern w:val="0"/>
          <w14:ligatures w14:val="none"/>
        </w:rPr>
        <w:tab/>
        <w:t>upon adoption of the resolution</w:t>
      </w:r>
      <w:r w:rsidRPr="00391600" w:rsidR="00CD2149">
        <w:rPr>
          <w:rFonts w:ascii="Palatino Linotype" w:hAnsi="Palatino Linotype" w:eastAsia="Palatino Linotype" w:cs="Times New Roman"/>
          <w:color w:val="000000" w:themeColor="text1"/>
          <w:kern w:val="0"/>
          <w14:ligatures w14:val="none"/>
        </w:rPr>
        <w:t>.</w:t>
      </w:r>
    </w:p>
    <w:p w:rsidRPr="00391600" w:rsidR="00A76F4A" w:rsidP="003147DD" w:rsidRDefault="00A76F4A" w14:paraId="7B507E3D"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000000" w:themeColor="text1"/>
          <w:kern w:val="0"/>
          <w14:ligatures w14:val="none"/>
        </w:rPr>
      </w:pPr>
    </w:p>
    <w:p w:rsidRPr="00391600" w:rsidR="00A76F4A" w:rsidP="003147DD" w:rsidRDefault="00A76F4A" w14:paraId="5A07E5F1"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391600" w:rsidR="00A76F4A" w:rsidP="003147DD" w:rsidRDefault="00A76F4A" w14:paraId="7C0D2B15"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391600" w:rsidR="00A76F4A" w:rsidP="003147DD" w:rsidRDefault="00A76F4A" w14:paraId="203AD159" w14:textId="2299403D">
      <w:pPr>
        <w:pStyle w:val="10sp0"/>
        <w:spacing w:after="480" w:line="276" w:lineRule="auto"/>
        <w:rPr>
          <w:rFonts w:ascii="Palatino Linotype" w:hAnsi="Palatino Linotype"/>
        </w:rPr>
      </w:pPr>
      <w:r w:rsidRPr="00391600">
        <w:rPr>
          <w:rFonts w:ascii="Palatino Linotype" w:hAnsi="Palatino Linotype"/>
        </w:rPr>
        <w:t xml:space="preserve">The foregoing resolution was duly introduced, passed and adopted at a conference of the Public Utilities Commission of the State of California held on </w:t>
      </w:r>
      <w:r w:rsidRPr="00391600" w:rsidR="00A078B7">
        <w:rPr>
          <w:rFonts w:ascii="Palatino Linotype" w:hAnsi="Palatino Linotype"/>
        </w:rPr>
        <w:t>October 29</w:t>
      </w:r>
      <w:r w:rsidRPr="00391600" w:rsidR="00C245C0">
        <w:rPr>
          <w:rFonts w:ascii="Palatino Linotype" w:hAnsi="Palatino Linotype"/>
        </w:rPr>
        <w:t>, 2026</w:t>
      </w:r>
      <w:r w:rsidRPr="00391600">
        <w:rPr>
          <w:rFonts w:ascii="Palatino Linotype" w:hAnsi="Palatino Linotype"/>
        </w:rPr>
        <w:t>; the following Commissioners voting favorably thereon:</w:t>
      </w:r>
    </w:p>
    <w:p w:rsidRPr="00391600" w:rsidR="00A76F4A" w:rsidP="00A067B3" w:rsidRDefault="00A76F4A" w14:paraId="7B2A2C97" w14:textId="77777777">
      <w:pPr>
        <w:spacing w:after="0" w:line="276" w:lineRule="auto"/>
        <w:rPr>
          <w:rFonts w:ascii="Palatino Linotype" w:hAnsi="Palatino Linotype"/>
        </w:rPr>
      </w:pPr>
    </w:p>
    <w:p w:rsidR="0070048E" w:rsidP="00A067B3" w:rsidRDefault="00A76F4A" w14:paraId="7258F496" w14:textId="77777777">
      <w:pPr>
        <w:spacing w:line="276" w:lineRule="auto"/>
        <w:rPr>
          <w:rFonts w:ascii="Palatino Linotype" w:hAnsi="Palatino Linotype" w:eastAsia="SimSun" w:cs="Times New Roman"/>
          <w:kern w:val="0"/>
          <w14:ligatures w14:val="none"/>
        </w:rPr>
      </w:pPr>
      <w:r w:rsidRPr="00391600">
        <w:rPr>
          <w:rFonts w:ascii="Palatino Linotype" w:hAnsi="Palatino Linotype" w:eastAsia="SimSun" w:cs="Times New Roman"/>
          <w:kern w:val="0"/>
          <w14:ligatures w14:val="none"/>
        </w:rPr>
        <w:t xml:space="preserve">Dated </w:t>
      </w:r>
      <w:r w:rsidRPr="00391600" w:rsidR="00D25FC5">
        <w:rPr>
          <w:rFonts w:ascii="Palatino Linotype" w:hAnsi="Palatino Linotype"/>
        </w:rPr>
        <w:t xml:space="preserve">October </w:t>
      </w:r>
      <w:r w:rsidR="00D677C0">
        <w:rPr>
          <w:rFonts w:ascii="Palatino Linotype" w:hAnsi="Palatino Linotype"/>
        </w:rPr>
        <w:t>29</w:t>
      </w:r>
      <w:r w:rsidRPr="00391600" w:rsidR="000B324C">
        <w:rPr>
          <w:rFonts w:ascii="Palatino Linotype" w:hAnsi="Palatino Linotype"/>
        </w:rPr>
        <w:t>, 2026</w:t>
      </w:r>
      <w:r w:rsidRPr="00391600">
        <w:rPr>
          <w:rFonts w:ascii="Palatino Linotype" w:hAnsi="Palatino Linotype" w:eastAsia="SimSun" w:cs="Times New Roman"/>
          <w:kern w:val="0"/>
          <w14:ligatures w14:val="none"/>
        </w:rPr>
        <w:t>, at</w:t>
      </w:r>
      <w:r w:rsidRPr="00391600" w:rsidR="000B324C">
        <w:rPr>
          <w:rFonts w:ascii="Palatino Linotype" w:hAnsi="Palatino Linotype" w:eastAsia="SimSun" w:cs="Times New Roman"/>
          <w:kern w:val="0"/>
          <w14:ligatures w14:val="none"/>
        </w:rPr>
        <w:t xml:space="preserve"> </w:t>
      </w:r>
      <w:r w:rsidRPr="00391600" w:rsidR="009934F3">
        <w:rPr>
          <w:rFonts w:ascii="Palatino Linotype" w:hAnsi="Palatino Linotype" w:eastAsia="SimSun" w:cs="Times New Roman"/>
          <w:kern w:val="0"/>
          <w14:ligatures w14:val="none"/>
        </w:rPr>
        <w:t>Sa</w:t>
      </w:r>
      <w:r w:rsidR="00D677C0">
        <w:rPr>
          <w:rFonts w:ascii="Palatino Linotype" w:hAnsi="Palatino Linotype" w:eastAsia="SimSun" w:cs="Times New Roman"/>
          <w:kern w:val="0"/>
          <w14:ligatures w14:val="none"/>
        </w:rPr>
        <w:t>n Francisco</w:t>
      </w:r>
      <w:r w:rsidRPr="00391600">
        <w:rPr>
          <w:rFonts w:ascii="Palatino Linotype" w:hAnsi="Palatino Linotype" w:eastAsia="SimSun" w:cs="Times New Roman"/>
          <w:kern w:val="0"/>
          <w14:ligatures w14:val="none"/>
        </w:rPr>
        <w:t>, California</w:t>
      </w:r>
    </w:p>
    <w:p w:rsidR="0070048E" w:rsidP="00A067B3" w:rsidRDefault="0070048E" w14:paraId="396D7812" w14:textId="77777777">
      <w:pPr>
        <w:spacing w:line="276" w:lineRule="auto"/>
        <w:rPr>
          <w:rFonts w:ascii="Palatino Linotype" w:hAnsi="Palatino Linotype" w:eastAsia="SimSun" w:cs="Times New Roman"/>
          <w:kern w:val="0"/>
          <w14:ligatures w14:val="none"/>
        </w:rPr>
      </w:pPr>
    </w:p>
    <w:p w:rsidR="0070048E" w:rsidP="00A067B3" w:rsidRDefault="0070048E" w14:paraId="093F6C23" w14:textId="77777777">
      <w:pPr>
        <w:spacing w:line="276" w:lineRule="auto"/>
        <w:rPr>
          <w:rFonts w:ascii="Palatino Linotype" w:hAnsi="Palatino Linotype"/>
        </w:rPr>
        <w:sectPr w:rsidR="0070048E" w:rsidSect="000C4CBF">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rsidR="0070048E" w:rsidP="00A067B3" w:rsidRDefault="0070048E" w14:paraId="4520D30F" w14:textId="77777777">
      <w:pPr>
        <w:spacing w:line="276" w:lineRule="auto"/>
        <w:rPr>
          <w:rFonts w:ascii="Palatino Linotype" w:hAnsi="Palatino Linotype"/>
        </w:rPr>
      </w:pPr>
    </w:p>
    <w:p w:rsidR="0070048E" w:rsidP="00A067B3" w:rsidRDefault="0070048E" w14:paraId="1AF97E06" w14:textId="77777777">
      <w:pPr>
        <w:spacing w:line="276" w:lineRule="auto"/>
        <w:rPr>
          <w:rFonts w:ascii="Palatino Linotype" w:hAnsi="Palatino Linotype"/>
        </w:rPr>
      </w:pPr>
    </w:p>
    <w:p w:rsidR="0070048E" w:rsidP="00A067B3" w:rsidRDefault="0070048E" w14:paraId="5A6DCB63" w14:textId="77777777">
      <w:pPr>
        <w:spacing w:line="276" w:lineRule="auto"/>
        <w:rPr>
          <w:rFonts w:ascii="Palatino Linotype" w:hAnsi="Palatino Linotype"/>
        </w:rPr>
      </w:pPr>
    </w:p>
    <w:p w:rsidR="0070048E" w:rsidP="00A067B3" w:rsidRDefault="0070048E" w14:paraId="138FAECA" w14:textId="77777777">
      <w:pPr>
        <w:spacing w:line="276" w:lineRule="auto"/>
        <w:rPr>
          <w:rFonts w:ascii="Palatino Linotype" w:hAnsi="Palatino Linotype"/>
        </w:rPr>
      </w:pPr>
    </w:p>
    <w:p w:rsidR="0070048E" w:rsidP="00A067B3" w:rsidRDefault="0070048E" w14:paraId="1B1648A6" w14:textId="77777777">
      <w:pPr>
        <w:spacing w:line="276" w:lineRule="auto"/>
        <w:rPr>
          <w:rFonts w:ascii="Palatino Linotype" w:hAnsi="Palatino Linotype"/>
        </w:rPr>
      </w:pPr>
    </w:p>
    <w:p w:rsidR="0070048E" w:rsidP="00A067B3" w:rsidRDefault="0070048E" w14:paraId="7E3517B3" w14:textId="77777777">
      <w:pPr>
        <w:spacing w:line="276" w:lineRule="auto"/>
        <w:rPr>
          <w:rFonts w:ascii="Palatino Linotype" w:hAnsi="Palatino Linotype"/>
        </w:rPr>
      </w:pPr>
    </w:p>
    <w:p w:rsidR="003775B9" w:rsidP="0070048E" w:rsidRDefault="0070048E" w14:paraId="5FA33A71" w14:textId="60215B8A">
      <w:pPr>
        <w:spacing w:line="276" w:lineRule="auto"/>
        <w:jc w:val="center"/>
        <w:rPr>
          <w:rFonts w:ascii="Palatino Linotype" w:hAnsi="Palatino Linotype"/>
          <w:sz w:val="44"/>
          <w:szCs w:val="44"/>
        </w:rPr>
      </w:pPr>
      <w:r w:rsidRPr="0070048E">
        <w:rPr>
          <w:rFonts w:ascii="Palatino Linotype" w:hAnsi="Palatino Linotype"/>
          <w:sz w:val="44"/>
          <w:szCs w:val="44"/>
        </w:rPr>
        <w:t>APPENDIX A</w:t>
      </w:r>
    </w:p>
    <w:p w:rsidR="00F02731" w:rsidP="0070048E" w:rsidRDefault="00F02731" w14:paraId="708FF734" w14:textId="77777777">
      <w:pPr>
        <w:spacing w:line="276" w:lineRule="auto"/>
        <w:jc w:val="center"/>
        <w:rPr>
          <w:rFonts w:ascii="Palatino Linotype" w:hAnsi="Palatino Linotype"/>
          <w:sz w:val="44"/>
          <w:szCs w:val="44"/>
        </w:rPr>
      </w:pPr>
    </w:p>
    <w:p w:rsidR="0070048E" w:rsidP="0070048E" w:rsidRDefault="0070048E" w14:paraId="6BF19371" w14:textId="77777777">
      <w:pPr>
        <w:jc w:val="center"/>
        <w:rPr>
          <w:rFonts w:ascii="Palatino Linotype" w:hAnsi="Palatino Linotype"/>
          <w:b/>
          <w:bCs/>
          <w:sz w:val="44"/>
          <w:szCs w:val="44"/>
        </w:rPr>
      </w:pPr>
    </w:p>
    <w:p w:rsidRPr="0070048E" w:rsidR="0070048E" w:rsidP="0070048E" w:rsidRDefault="0070048E" w14:paraId="2562B6DF" w14:textId="77777777">
      <w:pPr>
        <w:jc w:val="center"/>
        <w:rPr>
          <w:rFonts w:ascii="Palatino Linotype" w:hAnsi="Palatino Linotype"/>
          <w:b/>
          <w:bCs/>
          <w:sz w:val="44"/>
          <w:szCs w:val="44"/>
        </w:rPr>
        <w:sectPr w:rsidRPr="0070048E" w:rsidR="0070048E" w:rsidSect="002E1692">
          <w:headerReference w:type="default" r:id="rId16"/>
          <w:footerReference w:type="default" r:id="rId17"/>
          <w:headerReference w:type="first" r:id="rId18"/>
          <w:footerReference w:type="first" r:id="rId19"/>
          <w:pgSz w:w="12240" w:h="15840"/>
          <w:pgMar w:top="1440" w:right="1440" w:bottom="1440" w:left="1440" w:header="720" w:footer="720" w:gutter="0"/>
          <w:pgNumType w:start="1"/>
          <w:cols w:space="720"/>
          <w:docGrid w:linePitch="360"/>
        </w:sectPr>
      </w:pPr>
    </w:p>
    <w:p w:rsidRPr="00391600" w:rsidR="00521CDB" w:rsidP="00521CDB" w:rsidRDefault="00521CDB" w14:paraId="382ABA21" w14:textId="45FDA8BC">
      <w:pPr>
        <w:spacing w:line="276" w:lineRule="auto"/>
        <w:rPr>
          <w:rFonts w:ascii="Palatino Linotype" w:hAnsi="Palatino Linotype" w:eastAsia="Palatino Linotype" w:cs="Times New Roman"/>
          <w:b/>
          <w:sz w:val="22"/>
          <w:szCs w:val="22"/>
        </w:rPr>
      </w:pPr>
      <w:r w:rsidRPr="00391600">
        <w:rPr>
          <w:rFonts w:ascii="Palatino Linotype" w:hAnsi="Palatino Linotype" w:eastAsia="Palatino Linotype" w:cs="Times New Roman"/>
          <w:b/>
        </w:rPr>
        <w:lastRenderedPageBreak/>
        <w:t xml:space="preserve">APPENDIX </w:t>
      </w:r>
      <w:r w:rsidRPr="00391600" w:rsidR="000E0EBD">
        <w:rPr>
          <w:rFonts w:ascii="Palatino Linotype" w:hAnsi="Palatino Linotype" w:eastAsia="Palatino Linotype" w:cs="Times New Roman"/>
          <w:b/>
        </w:rPr>
        <w:t>A</w:t>
      </w:r>
      <w:r w:rsidRPr="00391600">
        <w:rPr>
          <w:rFonts w:ascii="Palatino Linotype" w:hAnsi="Palatino Linotype" w:eastAsia="Palatino Linotype" w:cs="Times New Roman"/>
          <w:b/>
        </w:rPr>
        <w:t xml:space="preserve">: </w:t>
      </w:r>
      <w:r w:rsidRPr="00391600">
        <w:rPr>
          <w:rFonts w:ascii="Palatino Linotype" w:hAnsi="Palatino Linotype" w:eastAsia="Palatino Linotype" w:cs="Times New Roman"/>
          <w:b/>
          <w:kern w:val="0"/>
          <w14:ligatures w14:val="none"/>
        </w:rPr>
        <w:t>Key CPUC Gas RD&amp;D Resolution Requirements</w:t>
      </w:r>
    </w:p>
    <w:p w:rsidRPr="00391600" w:rsidR="00BC7ABB" w:rsidP="00521CDB" w:rsidRDefault="00521CDB" w14:paraId="5A91F528" w14:textId="74974C48">
      <w:pPr>
        <w:spacing w:after="0" w:line="276" w:lineRule="auto"/>
        <w:rPr>
          <w:rFonts w:ascii="Palatino Linotype" w:hAnsi="Palatino Linotype" w:eastAsia="Palatino Linotype" w:cs="Times New Roman"/>
          <w:bCs/>
          <w:i/>
          <w:iCs/>
          <w:color w:val="0070C0"/>
          <w:kern w:val="0"/>
          <w:sz w:val="20"/>
          <w:szCs w:val="20"/>
          <w14:ligatures w14:val="none"/>
        </w:rPr>
      </w:pPr>
      <w:r w:rsidRPr="00391600">
        <w:rPr>
          <w:rFonts w:ascii="Palatino Linotype" w:hAnsi="Palatino Linotype" w:eastAsia="Palatino Linotype" w:cs="Times New Roman"/>
          <w:i/>
          <w:iCs/>
          <w:kern w:val="0"/>
          <w:sz w:val="20"/>
          <w:szCs w:val="20"/>
          <w14:ligatures w14:val="none"/>
        </w:rPr>
        <w:t xml:space="preserve">The Commission set requirements for CEC’s Gas RD&amp;D Program via </w:t>
      </w:r>
      <w:r w:rsidRPr="00391600" w:rsidR="00BF2A11">
        <w:rPr>
          <w:rFonts w:ascii="Palatino Linotype" w:hAnsi="Palatino Linotype" w:eastAsia="Palatino Linotype" w:cs="Times New Roman"/>
          <w:i/>
          <w:iCs/>
          <w:kern w:val="0"/>
          <w:sz w:val="20"/>
          <w:szCs w:val="20"/>
          <w14:ligatures w14:val="none"/>
        </w:rPr>
        <w:t>r</w:t>
      </w:r>
      <w:r w:rsidRPr="00391600">
        <w:rPr>
          <w:rFonts w:ascii="Palatino Linotype" w:hAnsi="Palatino Linotype" w:eastAsia="Palatino Linotype" w:cs="Times New Roman"/>
          <w:i/>
          <w:iCs/>
          <w:kern w:val="0"/>
          <w:sz w:val="20"/>
          <w:szCs w:val="20"/>
          <w14:ligatures w14:val="none"/>
        </w:rPr>
        <w:t>esolutions approving CEC’s Gas RD&amp;D Plans, beginning in 20</w:t>
      </w:r>
      <w:r w:rsidRPr="00391600">
        <w:rPr>
          <w:rFonts w:ascii="Palatino Linotype" w:hAnsi="Palatino Linotype" w:eastAsia="Palatino Linotype" w:cs="Times New Roman"/>
          <w:i/>
          <w:iCs/>
          <w:color w:val="000000" w:themeColor="text1"/>
          <w:kern w:val="0"/>
          <w:sz w:val="20"/>
          <w:szCs w:val="20"/>
          <w14:ligatures w14:val="none"/>
        </w:rPr>
        <w:t>04.</w:t>
      </w:r>
      <w:r w:rsidRPr="00391600">
        <w:rPr>
          <w:rStyle w:val="FootnoteReference"/>
          <w:rFonts w:ascii="Palatino Linotype" w:hAnsi="Palatino Linotype" w:eastAsia="Palatino Linotype" w:cs="Times New Roman"/>
          <w:i/>
          <w:iCs/>
          <w:color w:val="000000" w:themeColor="text1"/>
          <w:kern w:val="0"/>
          <w:sz w:val="20"/>
          <w:szCs w:val="20"/>
          <w14:ligatures w14:val="none"/>
        </w:rPr>
        <w:footnoteReference w:id="162"/>
      </w:r>
      <w:r w:rsidRPr="00391600">
        <w:rPr>
          <w:rFonts w:ascii="Palatino Linotype" w:hAnsi="Palatino Linotype" w:eastAsia="Palatino Linotype" w:cs="Times New Roman"/>
          <w:i/>
          <w:iCs/>
          <w:color w:val="000000" w:themeColor="text1"/>
          <w:kern w:val="0"/>
          <w:sz w:val="20"/>
          <w:szCs w:val="20"/>
          <w14:ligatures w14:val="none"/>
        </w:rPr>
        <w:t xml:space="preserve"> All applicable Commission requirements set via </w:t>
      </w:r>
      <w:r w:rsidRPr="00391600" w:rsidR="00BF2A11">
        <w:rPr>
          <w:rFonts w:ascii="Palatino Linotype" w:hAnsi="Palatino Linotype" w:eastAsia="Palatino Linotype" w:cs="Times New Roman"/>
          <w:i/>
          <w:iCs/>
          <w:color w:val="000000" w:themeColor="text1"/>
          <w:kern w:val="0"/>
          <w:sz w:val="20"/>
          <w:szCs w:val="20"/>
          <w14:ligatures w14:val="none"/>
        </w:rPr>
        <w:t>r</w:t>
      </w:r>
      <w:r w:rsidRPr="00391600">
        <w:rPr>
          <w:rFonts w:ascii="Palatino Linotype" w:hAnsi="Palatino Linotype" w:eastAsia="Palatino Linotype" w:cs="Times New Roman"/>
          <w:i/>
          <w:iCs/>
          <w:color w:val="000000" w:themeColor="text1"/>
          <w:kern w:val="0"/>
          <w:sz w:val="20"/>
          <w:szCs w:val="20"/>
          <w14:ligatures w14:val="none"/>
        </w:rPr>
        <w:t xml:space="preserve">esolution were rigorously reviewed to identify the following key orders for the Commission’s evaluation of CEC’s proposed Plans: </w:t>
      </w:r>
    </w:p>
    <w:p w:rsidRPr="00391600" w:rsidR="00521CDB" w:rsidP="00521CDB" w:rsidRDefault="00521CDB" w14:paraId="529CCC56" w14:textId="77777777">
      <w:pPr>
        <w:spacing w:after="0" w:line="276" w:lineRule="auto"/>
        <w:rPr>
          <w:rFonts w:ascii="Palatino Linotype" w:hAnsi="Palatino Linotype" w:eastAsia="Palatino Linotype" w:cs="Times New Roman"/>
          <w:bCs/>
          <w:i/>
          <w:iCs/>
          <w:color w:val="0070C0"/>
          <w:kern w:val="0"/>
          <w:sz w:val="20"/>
          <w:szCs w:val="20"/>
          <w14:ligatures w14:val="none"/>
        </w:rPr>
      </w:pPr>
    </w:p>
    <w:tbl>
      <w:tblPr>
        <w:tblStyle w:val="TableGrid"/>
        <w:tblW w:w="0" w:type="auto"/>
        <w:tblLook w:val="04A0" w:firstRow="1" w:lastRow="0" w:firstColumn="1" w:lastColumn="0" w:noHBand="0" w:noVBand="1"/>
      </w:tblPr>
      <w:tblGrid>
        <w:gridCol w:w="3412"/>
        <w:gridCol w:w="5938"/>
      </w:tblGrid>
      <w:tr w:rsidRPr="00391600" w:rsidR="000119E7" w:rsidTr="6FAFEDE3" w14:paraId="02C5BEAF" w14:textId="77777777">
        <w:tc>
          <w:tcPr>
            <w:tcW w:w="3412" w:type="dxa"/>
          </w:tcPr>
          <w:p w:rsidRPr="00391600" w:rsidR="000119E7" w:rsidRDefault="000119E7" w14:paraId="1D732957" w14:textId="77777777">
            <w:pPr>
              <w:rPr>
                <w:rFonts w:ascii="Palatino Linotype" w:hAnsi="Palatino Linotype" w:eastAsia="Palatino Linotype" w:cs="Times New Roman"/>
                <w:b/>
                <w:sz w:val="20"/>
                <w:szCs w:val="20"/>
              </w:rPr>
            </w:pPr>
            <w:r w:rsidRPr="00391600">
              <w:rPr>
                <w:rFonts w:ascii="Palatino Linotype" w:hAnsi="Palatino Linotype" w:eastAsia="Palatino Linotype" w:cs="Times New Roman"/>
                <w:b/>
                <w:sz w:val="20"/>
                <w:szCs w:val="20"/>
              </w:rPr>
              <w:t>Resolution</w:t>
            </w:r>
          </w:p>
        </w:tc>
        <w:tc>
          <w:tcPr>
            <w:tcW w:w="5938" w:type="dxa"/>
          </w:tcPr>
          <w:p w:rsidRPr="00391600" w:rsidR="000119E7" w:rsidRDefault="000119E7" w14:paraId="6605ACDE" w14:textId="77777777">
            <w:pPr>
              <w:rPr>
                <w:rFonts w:ascii="Palatino Linotype" w:hAnsi="Palatino Linotype" w:eastAsia="Palatino Linotype" w:cs="Times New Roman"/>
                <w:b/>
                <w:sz w:val="20"/>
                <w:szCs w:val="20"/>
              </w:rPr>
            </w:pPr>
            <w:r w:rsidRPr="00391600">
              <w:rPr>
                <w:rFonts w:ascii="Palatino Linotype" w:hAnsi="Palatino Linotype" w:eastAsia="Palatino Linotype" w:cs="Times New Roman"/>
                <w:b/>
                <w:sz w:val="20"/>
                <w:szCs w:val="20"/>
              </w:rPr>
              <w:t>Commission Order/Requirement</w:t>
            </w:r>
          </w:p>
        </w:tc>
      </w:tr>
      <w:tr w:rsidRPr="00391600" w:rsidR="000119E7" w:rsidTr="6FAFEDE3" w14:paraId="2EBD510F" w14:textId="77777777">
        <w:tc>
          <w:tcPr>
            <w:tcW w:w="3412" w:type="dxa"/>
          </w:tcPr>
          <w:p w:rsidRPr="00391600" w:rsidR="000119E7" w:rsidRDefault="000119E7" w14:paraId="7730E09D" w14:textId="77777777">
            <w:pPr>
              <w:rPr>
                <w:rFonts w:ascii="Palatino Linotype" w:hAnsi="Palatino Linotype" w:eastAsia="Palatino Linotype" w:cs="Times New Roman"/>
                <w:bCs/>
                <w:sz w:val="20"/>
                <w:szCs w:val="20"/>
              </w:rPr>
            </w:pPr>
            <w:hyperlink w:history="1" r:id="rId20">
              <w:r w:rsidRPr="00391600">
                <w:rPr>
                  <w:rStyle w:val="Hyperlink"/>
                  <w:rFonts w:ascii="Palatino Linotype" w:hAnsi="Palatino Linotype"/>
                  <w:sz w:val="20"/>
                  <w:szCs w:val="20"/>
                </w:rPr>
                <w:t>Resolution G-3394</w:t>
              </w:r>
            </w:hyperlink>
            <w:r w:rsidRPr="00391600">
              <w:rPr>
                <w:rFonts w:ascii="Palatino Linotype" w:hAnsi="Palatino Linotype"/>
                <w:sz w:val="20"/>
                <w:szCs w:val="20"/>
              </w:rPr>
              <w:t xml:space="preserve"> (2006)</w:t>
            </w:r>
            <w:r w:rsidRPr="00391600">
              <w:rPr>
                <w:rFonts w:ascii="Palatino Linotype" w:hAnsi="Palatino Linotype"/>
                <w:color w:val="000000" w:themeColor="text1"/>
                <w:sz w:val="20"/>
                <w:szCs w:val="20"/>
              </w:rPr>
              <w:t>: Approving CEC’s FY 2007-2008 Gas RD&amp;D Plan</w:t>
            </w:r>
          </w:p>
        </w:tc>
        <w:tc>
          <w:tcPr>
            <w:tcW w:w="5938" w:type="dxa"/>
          </w:tcPr>
          <w:p w:rsidRPr="00391600" w:rsidR="000119E7" w:rsidRDefault="6C7AEF65" w14:paraId="2925EB36" w14:textId="134FC43F">
            <w:pPr>
              <w:rPr>
                <w:rFonts w:ascii="Palatino Linotype" w:hAnsi="Palatino Linotype" w:eastAsia="Palatino Linotype" w:cs="Times New Roman"/>
                <w:bCs/>
                <w:sz w:val="20"/>
                <w:szCs w:val="20"/>
              </w:rPr>
            </w:pPr>
            <w:r w:rsidRPr="00391600">
              <w:rPr>
                <w:rFonts w:ascii="Palatino Linotype" w:hAnsi="Palatino Linotype" w:eastAsia="Palatino Linotype" w:cs="Times New Roman"/>
                <w:b/>
                <w:bCs/>
                <w:sz w:val="20"/>
                <w:szCs w:val="20"/>
              </w:rPr>
              <w:t>OP 2</w:t>
            </w:r>
            <w:r w:rsidRPr="00391600">
              <w:rPr>
                <w:rFonts w:ascii="Palatino Linotype" w:hAnsi="Palatino Linotype" w:eastAsia="Palatino Linotype" w:cs="Times New Roman"/>
                <w:sz w:val="20"/>
                <w:szCs w:val="20"/>
              </w:rPr>
              <w:t xml:space="preserve">. </w:t>
            </w:r>
            <w:r w:rsidRPr="00391600">
              <w:rPr>
                <w:rFonts w:ascii="Palatino Linotype" w:hAnsi="Palatino Linotype" w:eastAsia="Palatino Linotype" w:cs="Times New Roman"/>
                <w:kern w:val="0"/>
                <w:sz w:val="20"/>
                <w:szCs w:val="20"/>
                <w14:ligatures w14:val="none"/>
              </w:rPr>
              <w:t>The CEC shall submit its Annual [Plan] by March 31st, and its Annual [Report] by October 31st,</w:t>
            </w:r>
            <w:r w:rsidRPr="00391600" w:rsidR="7EE26509">
              <w:rPr>
                <w:rStyle w:val="FootnoteReference"/>
                <w:rFonts w:ascii="Palatino Linotype" w:hAnsi="Palatino Linotype" w:eastAsia="Palatino Linotype" w:cs="Times New Roman"/>
                <w:sz w:val="20"/>
                <w:szCs w:val="20"/>
              </w:rPr>
              <w:t xml:space="preserve"> </w:t>
            </w:r>
            <w:r w:rsidRPr="00391600" w:rsidR="00186D4F">
              <w:rPr>
                <w:rStyle w:val="FootnoteReference"/>
                <w:rFonts w:ascii="Palatino Linotype" w:hAnsi="Palatino Linotype" w:eastAsia="Palatino Linotype" w:cs="Times New Roman"/>
                <w:sz w:val="20"/>
                <w:szCs w:val="20"/>
              </w:rPr>
              <w:footnoteReference w:id="163"/>
            </w:r>
            <w:r w:rsidRPr="00391600">
              <w:rPr>
                <w:rFonts w:ascii="Palatino Linotype" w:hAnsi="Palatino Linotype" w:eastAsia="Palatino Linotype" w:cs="Times New Roman"/>
                <w:kern w:val="0"/>
                <w:sz w:val="20"/>
                <w:szCs w:val="20"/>
                <w14:ligatures w14:val="none"/>
              </w:rPr>
              <w:t xml:space="preserve"> beginning in 2008</w:t>
            </w:r>
            <w:r w:rsidRPr="00391600">
              <w:rPr>
                <w:rFonts w:ascii="Palatino Linotype" w:hAnsi="Palatino Linotype" w:eastAsia="Palatino Linotype" w:cs="Times New Roman"/>
                <w:sz w:val="20"/>
                <w:szCs w:val="20"/>
              </w:rPr>
              <w:t>.</w:t>
            </w:r>
          </w:p>
        </w:tc>
      </w:tr>
      <w:tr w:rsidRPr="00391600" w:rsidR="000119E7" w:rsidTr="6FAFEDE3" w14:paraId="0D8CB783" w14:textId="77777777">
        <w:tc>
          <w:tcPr>
            <w:tcW w:w="3412" w:type="dxa"/>
          </w:tcPr>
          <w:p w:rsidRPr="00391600" w:rsidR="000119E7" w:rsidRDefault="000119E7" w14:paraId="2FDB6924" w14:textId="77777777">
            <w:pPr>
              <w:rPr>
                <w:rFonts w:ascii="Palatino Linotype" w:hAnsi="Palatino Linotype" w:eastAsia="Palatino Linotype" w:cs="Times New Roman"/>
                <w:bCs/>
                <w:sz w:val="20"/>
                <w:szCs w:val="20"/>
              </w:rPr>
            </w:pPr>
            <w:hyperlink w:history="1" r:id="rId21">
              <w:r w:rsidRPr="00391600">
                <w:rPr>
                  <w:rStyle w:val="Hyperlink"/>
                  <w:rFonts w:ascii="Palatino Linotype" w:hAnsi="Palatino Linotype"/>
                  <w:sz w:val="20"/>
                  <w:szCs w:val="20"/>
                </w:rPr>
                <w:t>Resolution G-3484</w:t>
              </w:r>
            </w:hyperlink>
            <w:r w:rsidRPr="00391600">
              <w:rPr>
                <w:rFonts w:ascii="Palatino Linotype" w:hAnsi="Palatino Linotype"/>
                <w:sz w:val="20"/>
                <w:szCs w:val="20"/>
              </w:rPr>
              <w:t xml:space="preserve"> (2013): Approving CEC’s FY 2013-2014 Gas RD&amp;D Plan</w:t>
            </w:r>
          </w:p>
        </w:tc>
        <w:tc>
          <w:tcPr>
            <w:tcW w:w="5938" w:type="dxa"/>
          </w:tcPr>
          <w:p w:rsidRPr="00391600" w:rsidR="000119E7" w:rsidRDefault="6C7AEF65" w14:paraId="0F5D68DE" w14:textId="77777777">
            <w:pPr>
              <w:rPr>
                <w:rFonts w:ascii="Palatino Linotype" w:hAnsi="Palatino Linotype" w:eastAsia="Palatino Linotype" w:cs="Times New Roman"/>
                <w:bCs/>
                <w:sz w:val="20"/>
                <w:szCs w:val="20"/>
              </w:rPr>
            </w:pPr>
            <w:r w:rsidRPr="00391600">
              <w:rPr>
                <w:rFonts w:ascii="Palatino Linotype" w:hAnsi="Palatino Linotype" w:eastAsia="Palatino Linotype" w:cs="Times New Roman"/>
                <w:sz w:val="20"/>
                <w:szCs w:val="20"/>
              </w:rPr>
              <w:t>In the interest of transparency, the CEC shall give an accounting of unspent PIER Natural Gas R&amp;D funds in each future year proposed budget, beginning with the proposed budget for Fiscal Year 2014-2015. The CPUC understands that the CEC has two years to encumber PIER Natural Gas R&amp;D funds with projects and an additional four years before such funds expire.</w:t>
            </w:r>
            <w:r w:rsidRPr="00391600" w:rsidR="000119E7">
              <w:rPr>
                <w:rStyle w:val="FootnoteReference"/>
                <w:rFonts w:ascii="Palatino Linotype" w:hAnsi="Palatino Linotype" w:eastAsia="Palatino Linotype" w:cs="Times New Roman"/>
                <w:sz w:val="20"/>
                <w:szCs w:val="20"/>
              </w:rPr>
              <w:footnoteReference w:id="164"/>
            </w:r>
            <w:r w:rsidRPr="00391600">
              <w:rPr>
                <w:rFonts w:ascii="Palatino Linotype" w:hAnsi="Palatino Linotype" w:eastAsia="Palatino Linotype" w:cs="Times New Roman"/>
                <w:sz w:val="20"/>
                <w:szCs w:val="20"/>
              </w:rPr>
              <w:t xml:space="preserve"> Beginning with the Fiscal Year 2014-2015 proposed budget, the CEC shall include in its proposed budget an account, by research area, of then-current unspent funds in the PIER Natural Gas R&amp;D program, including encumbrances and expiration dates.</w:t>
            </w:r>
            <w:r w:rsidRPr="00391600" w:rsidR="000119E7">
              <w:rPr>
                <w:rStyle w:val="FootnoteReference"/>
                <w:rFonts w:ascii="Palatino Linotype" w:hAnsi="Palatino Linotype" w:eastAsia="Palatino Linotype" w:cs="Times New Roman"/>
                <w:sz w:val="20"/>
                <w:szCs w:val="20"/>
              </w:rPr>
              <w:footnoteReference w:id="165"/>
            </w:r>
            <w:r w:rsidRPr="00391600">
              <w:rPr>
                <w:rFonts w:ascii="Palatino Linotype" w:hAnsi="Palatino Linotype" w:eastAsia="Palatino Linotype" w:cs="Times New Roman"/>
                <w:sz w:val="20"/>
                <w:szCs w:val="20"/>
              </w:rPr>
              <w:t xml:space="preserve"> The intent of this requirement is to show that the CEC has spent its cumulative authorized budgets in the areas in which the money was authorized and to provide an accounting of the status of cumulative unspent funds. This requirement shall remain in place for each fiscal year’s proposed budget, until otherwise directed by the CPUC (</w:t>
            </w:r>
            <w:r w:rsidRPr="00391600">
              <w:rPr>
                <w:rFonts w:ascii="Palatino Linotype" w:hAnsi="Palatino Linotype" w:eastAsia="Palatino Linotype" w:cs="Times New Roman"/>
                <w:b/>
                <w:bCs/>
                <w:sz w:val="20"/>
                <w:szCs w:val="20"/>
              </w:rPr>
              <w:t>p. 5-6</w:t>
            </w:r>
            <w:r w:rsidRPr="00391600">
              <w:rPr>
                <w:rFonts w:ascii="Palatino Linotype" w:hAnsi="Palatino Linotype" w:eastAsia="Palatino Linotype" w:cs="Times New Roman"/>
                <w:sz w:val="20"/>
                <w:szCs w:val="20"/>
              </w:rPr>
              <w:t>).</w:t>
            </w:r>
          </w:p>
        </w:tc>
      </w:tr>
      <w:tr w:rsidRPr="00391600" w:rsidR="000119E7" w:rsidTr="6FAFEDE3" w14:paraId="5D58A78F" w14:textId="77777777">
        <w:tc>
          <w:tcPr>
            <w:tcW w:w="3412" w:type="dxa"/>
            <w:vMerge w:val="restart"/>
          </w:tcPr>
          <w:p w:rsidRPr="00391600" w:rsidR="000119E7" w:rsidRDefault="000119E7" w14:paraId="6A68CC2B" w14:textId="77777777">
            <w:pPr>
              <w:rPr>
                <w:rFonts w:ascii="Palatino Linotype" w:hAnsi="Palatino Linotype" w:eastAsia="Palatino Linotype" w:cs="Times New Roman"/>
                <w:bCs/>
                <w:sz w:val="20"/>
                <w:szCs w:val="20"/>
              </w:rPr>
            </w:pPr>
            <w:hyperlink w:tgtFrame="_blank" w:history="1" r:id="rId22">
              <w:r w:rsidRPr="00391600">
                <w:rPr>
                  <w:rStyle w:val="Hyperlink"/>
                  <w:rFonts w:ascii="Palatino Linotype" w:hAnsi="Palatino Linotype"/>
                  <w:sz w:val="20"/>
                  <w:szCs w:val="20"/>
                </w:rPr>
                <w:t>Resolution G-3571</w:t>
              </w:r>
            </w:hyperlink>
            <w:r w:rsidRPr="00391600">
              <w:rPr>
                <w:rFonts w:ascii="Palatino Linotype" w:hAnsi="Palatino Linotype"/>
                <w:sz w:val="20"/>
                <w:szCs w:val="20"/>
              </w:rPr>
              <w:t xml:space="preserve"> (2020): Approving CEC’s FY 2021-2021 Gas RD&amp;D Plan.</w:t>
            </w:r>
          </w:p>
        </w:tc>
        <w:tc>
          <w:tcPr>
            <w:tcW w:w="5938" w:type="dxa"/>
          </w:tcPr>
          <w:p w:rsidRPr="00391600" w:rsidR="000119E7" w:rsidRDefault="000119E7" w14:paraId="516D7492" w14:textId="77777777">
            <w:pPr>
              <w:rPr>
                <w:rFonts w:ascii="Palatino Linotype" w:hAnsi="Palatino Linotype" w:eastAsia="Palatino Linotype" w:cs="Times New Roman"/>
                <w:bCs/>
                <w:sz w:val="20"/>
                <w:szCs w:val="20"/>
              </w:rPr>
            </w:pPr>
            <w:r w:rsidRPr="00391600">
              <w:rPr>
                <w:rFonts w:ascii="Palatino Linotype" w:hAnsi="Palatino Linotype" w:eastAsia="Palatino Linotype" w:cs="Times New Roman"/>
                <w:b/>
                <w:sz w:val="20"/>
                <w:szCs w:val="20"/>
              </w:rPr>
              <w:t>OP 5</w:t>
            </w:r>
            <w:r w:rsidRPr="00391600">
              <w:rPr>
                <w:rFonts w:ascii="Palatino Linotype" w:hAnsi="Palatino Linotype" w:eastAsia="Palatino Linotype" w:cs="Times New Roman"/>
                <w:bCs/>
                <w:sz w:val="20"/>
                <w:szCs w:val="20"/>
              </w:rPr>
              <w:t xml:space="preserve">. In developing all future Natural Gas R&amp;D Plans, the CPUC requests that the CEC: </w:t>
            </w:r>
          </w:p>
          <w:p w:rsidRPr="00391600" w:rsidR="000119E7" w:rsidP="00BB33C1" w:rsidRDefault="6C7AEF65" w14:paraId="6F1DF4E8" w14:textId="77777777">
            <w:pPr>
              <w:pStyle w:val="ListParagraph"/>
              <w:numPr>
                <w:ilvl w:val="0"/>
                <w:numId w:val="42"/>
              </w:numPr>
              <w:rPr>
                <w:rFonts w:ascii="Palatino Linotype" w:hAnsi="Palatino Linotype" w:eastAsia="Palatino Linotype" w:cs="Times New Roman"/>
                <w:bCs/>
                <w:sz w:val="20"/>
                <w:szCs w:val="20"/>
              </w:rPr>
            </w:pPr>
            <w:r w:rsidRPr="00391600">
              <w:rPr>
                <w:rFonts w:ascii="Palatino Linotype" w:hAnsi="Palatino Linotype" w:eastAsia="Palatino Linotype" w:cs="Times New Roman"/>
                <w:sz w:val="20"/>
                <w:szCs w:val="20"/>
              </w:rPr>
              <w:lastRenderedPageBreak/>
              <w:t>At least three weeks in advance of the public workshop on the proposed budget plan, coordinate with CPUC staff on development of the Draft Plan.</w:t>
            </w:r>
            <w:r w:rsidRPr="00391600" w:rsidR="000119E7">
              <w:rPr>
                <w:rStyle w:val="FootnoteReference"/>
                <w:rFonts w:ascii="Palatino Linotype" w:hAnsi="Palatino Linotype" w:eastAsia="Palatino Linotype" w:cs="Times New Roman"/>
                <w:sz w:val="20"/>
                <w:szCs w:val="20"/>
              </w:rPr>
              <w:footnoteReference w:id="166"/>
            </w:r>
            <w:r w:rsidRPr="00391600">
              <w:rPr>
                <w:rFonts w:ascii="Palatino Linotype" w:hAnsi="Palatino Linotype" w:eastAsia="Palatino Linotype" w:cs="Times New Roman"/>
                <w:sz w:val="20"/>
                <w:szCs w:val="20"/>
              </w:rPr>
              <w:t xml:space="preserve">   </w:t>
            </w:r>
          </w:p>
          <w:p w:rsidRPr="00391600" w:rsidR="000119E7" w:rsidP="00BB33C1" w:rsidRDefault="000119E7" w14:paraId="6B494963" w14:textId="77777777">
            <w:pPr>
              <w:pStyle w:val="ListParagraph"/>
              <w:numPr>
                <w:ilvl w:val="0"/>
                <w:numId w:val="42"/>
              </w:numPr>
              <w:rPr>
                <w:rFonts w:ascii="Palatino Linotype" w:hAnsi="Palatino Linotype" w:eastAsia="Palatino Linotype" w:cs="Times New Roman"/>
                <w:bCs/>
                <w:sz w:val="20"/>
                <w:szCs w:val="20"/>
              </w:rPr>
            </w:pPr>
            <w:r w:rsidRPr="00391600">
              <w:rPr>
                <w:rFonts w:ascii="Palatino Linotype" w:hAnsi="Palatino Linotype" w:eastAsia="Palatino Linotype" w:cs="Times New Roman"/>
                <w:bCs/>
                <w:sz w:val="20"/>
                <w:szCs w:val="20"/>
              </w:rPr>
              <w:t xml:space="preserve">Post the Natural Gas Research and Development Program: Proposed Budget Plan publicly on their website and notify CPUC of the web address when requesting approval of the plan.  </w:t>
            </w:r>
          </w:p>
          <w:p w:rsidRPr="00391600" w:rsidR="000119E7" w:rsidP="00BB33C1" w:rsidRDefault="000119E7" w14:paraId="75914463" w14:textId="77777777">
            <w:pPr>
              <w:pStyle w:val="ListParagraph"/>
              <w:numPr>
                <w:ilvl w:val="0"/>
                <w:numId w:val="42"/>
              </w:numPr>
              <w:rPr>
                <w:rFonts w:ascii="Palatino Linotype" w:hAnsi="Palatino Linotype" w:eastAsia="Palatino Linotype" w:cs="Times New Roman"/>
                <w:bCs/>
                <w:sz w:val="20"/>
                <w:szCs w:val="20"/>
              </w:rPr>
            </w:pPr>
            <w:r w:rsidRPr="00391600">
              <w:rPr>
                <w:rFonts w:ascii="Palatino Linotype" w:hAnsi="Palatino Linotype" w:eastAsia="Palatino Linotype" w:cs="Times New Roman"/>
                <w:b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91600" w:rsidR="000119E7" w:rsidP="00BB33C1" w:rsidRDefault="000119E7" w14:paraId="60F979AE" w14:textId="77777777">
            <w:pPr>
              <w:pStyle w:val="ListParagraph"/>
              <w:numPr>
                <w:ilvl w:val="0"/>
                <w:numId w:val="42"/>
              </w:numPr>
              <w:rPr>
                <w:rFonts w:ascii="Palatino Linotype" w:hAnsi="Palatino Linotype" w:eastAsia="Palatino Linotype" w:cs="Times New Roman"/>
                <w:bCs/>
                <w:sz w:val="20"/>
                <w:szCs w:val="20"/>
              </w:rPr>
            </w:pPr>
            <w:r w:rsidRPr="00391600">
              <w:rPr>
                <w:rFonts w:ascii="Palatino Linotype" w:hAnsi="Palatino Linotype" w:eastAsia="Palatino Linotype" w:cs="Times New Roman"/>
                <w:bCs/>
                <w:sz w:val="20"/>
                <w:szCs w:val="20"/>
              </w:rPr>
              <w:t>Consult with Energy Division staff on which CPUC listservs from ongoing CPUC proceedings the CEC should notice their proposed plan to.</w:t>
            </w:r>
          </w:p>
          <w:p w:rsidRPr="00391600" w:rsidR="000119E7" w:rsidP="00BB33C1" w:rsidRDefault="6C7AEF65" w14:paraId="5DBE01D1" w14:textId="77777777">
            <w:pPr>
              <w:pStyle w:val="ListParagraph"/>
              <w:numPr>
                <w:ilvl w:val="0"/>
                <w:numId w:val="42"/>
              </w:numPr>
              <w:rPr>
                <w:rFonts w:ascii="Palatino Linotype" w:hAnsi="Palatino Linotype" w:eastAsia="Palatino Linotype" w:cs="Times New Roman"/>
                <w:bCs/>
                <w:sz w:val="20"/>
                <w:szCs w:val="20"/>
              </w:rPr>
            </w:pPr>
            <w:r w:rsidRPr="00391600">
              <w:rPr>
                <w:rFonts w:ascii="Palatino Linotype" w:hAnsi="Palatino Linotype" w:eastAsia="Palatino Linotype" w:cs="Times New Roman"/>
                <w:sz w:val="20"/>
                <w:szCs w:val="20"/>
              </w:rPr>
              <w:t>Consult with CPUC staff to allow for the option of presenting the Natural Gas Research and Development Program: Proposed Budget Plan to the CPUC Commissioners during a CPUC Commissioner Committee Meeting.</w:t>
            </w:r>
            <w:r w:rsidRPr="00391600" w:rsidR="000119E7">
              <w:rPr>
                <w:rStyle w:val="FootnoteReference"/>
                <w:rFonts w:ascii="Palatino Linotype" w:hAnsi="Palatino Linotype" w:eastAsia="Palatino Linotype" w:cs="Times New Roman"/>
                <w:sz w:val="20"/>
                <w:szCs w:val="20"/>
              </w:rPr>
              <w:footnoteReference w:id="167"/>
            </w:r>
            <w:r w:rsidRPr="00391600">
              <w:rPr>
                <w:rFonts w:ascii="Palatino Linotype" w:hAnsi="Palatino Linotype" w:eastAsia="Palatino Linotype" w:cs="Times New Roman"/>
                <w:sz w:val="20"/>
                <w:szCs w:val="20"/>
              </w:rPr>
              <w:t xml:space="preserve">  </w:t>
            </w:r>
          </w:p>
        </w:tc>
      </w:tr>
      <w:tr w:rsidRPr="00391600" w:rsidR="000119E7" w:rsidTr="6FAFEDE3" w14:paraId="08D1CAC5" w14:textId="77777777">
        <w:tc>
          <w:tcPr>
            <w:tcW w:w="3412" w:type="dxa"/>
            <w:vMerge/>
          </w:tcPr>
          <w:p w:rsidRPr="00391600" w:rsidR="000119E7" w:rsidRDefault="000119E7" w14:paraId="2D2103B9" w14:textId="77777777">
            <w:pPr>
              <w:rPr>
                <w:rFonts w:ascii="Palatino Linotype" w:hAnsi="Palatino Linotype" w:eastAsia="Palatino Linotype" w:cs="Times New Roman"/>
                <w:bCs/>
                <w:sz w:val="20"/>
                <w:szCs w:val="20"/>
              </w:rPr>
            </w:pPr>
          </w:p>
        </w:tc>
        <w:tc>
          <w:tcPr>
            <w:tcW w:w="5938" w:type="dxa"/>
          </w:tcPr>
          <w:p w:rsidRPr="00391600" w:rsidR="000119E7" w:rsidRDefault="000119E7" w14:paraId="6698A3D3" w14:textId="77777777">
            <w:pPr>
              <w:rPr>
                <w:rFonts w:ascii="Palatino Linotype" w:hAnsi="Palatino Linotype" w:eastAsia="Palatino Linotype" w:cs="Times New Roman"/>
                <w:bCs/>
                <w:sz w:val="20"/>
                <w:szCs w:val="20"/>
              </w:rPr>
            </w:pPr>
            <w:r w:rsidRPr="00391600">
              <w:rPr>
                <w:rFonts w:ascii="Palatino Linotype" w:hAnsi="Palatino Linotype" w:eastAsia="Palatino Linotype" w:cs="Times New Roman"/>
                <w:b/>
                <w:sz w:val="20"/>
                <w:szCs w:val="20"/>
              </w:rPr>
              <w:t>OP 6.</w:t>
            </w:r>
            <w:r w:rsidRPr="00391600">
              <w:rPr>
                <w:rFonts w:ascii="Palatino Linotype" w:hAnsi="Palatino Linotype" w:eastAsia="Palatino Linotype" w:cs="Times New Roman"/>
                <w:bCs/>
                <w:sz w:val="20"/>
                <w:szCs w:val="20"/>
              </w:rPr>
              <w:t xml:space="preserve"> In developing the future Natural Gas R&amp;D Plans, the CPUC requests that the CEC submit future Natural Gas R&amp;D Plans via the Tier 3 Advice Letter/business letter process.</w:t>
            </w:r>
          </w:p>
        </w:tc>
      </w:tr>
      <w:tr w:rsidRPr="00391600" w:rsidR="000119E7" w:rsidTr="6FAFEDE3" w14:paraId="10BC22F2" w14:textId="77777777">
        <w:tc>
          <w:tcPr>
            <w:tcW w:w="3412" w:type="dxa"/>
            <w:vMerge w:val="restart"/>
          </w:tcPr>
          <w:p w:rsidRPr="00391600" w:rsidR="000119E7" w:rsidRDefault="000119E7" w14:paraId="735C975E" w14:textId="77777777">
            <w:pPr>
              <w:rPr>
                <w:rFonts w:ascii="Palatino Linotype" w:hAnsi="Palatino Linotype" w:eastAsia="Palatino Linotype" w:cs="Times New Roman"/>
                <w:bCs/>
                <w:sz w:val="20"/>
                <w:szCs w:val="20"/>
              </w:rPr>
            </w:pPr>
            <w:hyperlink w:tgtFrame="_blank" w:history="1" r:id="rId23">
              <w:r w:rsidRPr="00391600">
                <w:rPr>
                  <w:rStyle w:val="Hyperlink"/>
                  <w:rFonts w:ascii="Palatino Linotype" w:hAnsi="Palatino Linotype"/>
                  <w:sz w:val="20"/>
                  <w:szCs w:val="20"/>
                </w:rPr>
                <w:t>Resolution G-3584</w:t>
              </w:r>
            </w:hyperlink>
            <w:r w:rsidRPr="00391600">
              <w:rPr>
                <w:rFonts w:ascii="Palatino Linotype" w:hAnsi="Palatino Linotype"/>
                <w:sz w:val="20"/>
                <w:szCs w:val="20"/>
              </w:rPr>
              <w:t xml:space="preserve"> (2021): Approving CEC’s FY 2021-2022 Gas RD&amp;D Plan</w:t>
            </w:r>
          </w:p>
        </w:tc>
        <w:tc>
          <w:tcPr>
            <w:tcW w:w="5938" w:type="dxa"/>
          </w:tcPr>
          <w:p w:rsidRPr="00391600" w:rsidR="000119E7" w:rsidRDefault="6C7AEF65" w14:paraId="4227ED01" w14:textId="77777777">
            <w:pPr>
              <w:rPr>
                <w:rFonts w:ascii="Palatino Linotype" w:hAnsi="Palatino Linotype" w:eastAsia="Palatino Linotype" w:cs="Times New Roman"/>
                <w:bCs/>
                <w:color w:val="000000" w:themeColor="text1"/>
                <w:sz w:val="20"/>
                <w:szCs w:val="20"/>
              </w:rPr>
            </w:pPr>
            <w:r w:rsidRPr="00391600">
              <w:rPr>
                <w:rFonts w:ascii="Palatino Linotype" w:hAnsi="Palatino Linotype" w:eastAsia="Palatino Linotype" w:cs="Times New Roman"/>
                <w:b/>
                <w:bCs/>
                <w:color w:val="000000" w:themeColor="text1"/>
                <w:kern w:val="0"/>
                <w:sz w:val="20"/>
                <w:szCs w:val="20"/>
                <w14:ligatures w14:val="none"/>
              </w:rPr>
              <w:t>OP 5</w:t>
            </w:r>
            <w:r w:rsidRPr="00391600">
              <w:rPr>
                <w:rFonts w:ascii="Palatino Linotype" w:hAnsi="Palatino Linotype" w:eastAsia="Palatino Linotype" w:cs="Times New Roman"/>
                <w:color w:val="000000" w:themeColor="text1"/>
                <w:kern w:val="0"/>
                <w:sz w:val="20"/>
                <w:szCs w:val="20"/>
                <w14:ligatures w14:val="none"/>
              </w:rPr>
              <w:t>. In developing the Fiscal Year 2022-2023 Gas R&amp;D Plan, the CEC shall: a) Consider the Assembly Bill 3232 (Friedman, 2018) report.</w:t>
            </w:r>
            <w:r w:rsidRPr="00391600" w:rsidR="000119E7">
              <w:rPr>
                <w:rStyle w:val="FootnoteReference"/>
                <w:rFonts w:ascii="Palatino Linotype" w:hAnsi="Palatino Linotype" w:eastAsia="Palatino Linotype" w:cs="Times New Roman"/>
                <w:color w:val="000000" w:themeColor="text1"/>
                <w:kern w:val="0"/>
                <w:sz w:val="20"/>
                <w:szCs w:val="20"/>
                <w14:ligatures w14:val="none"/>
              </w:rPr>
              <w:footnoteReference w:id="168"/>
            </w:r>
            <w:r w:rsidRPr="00391600">
              <w:rPr>
                <w:rFonts w:ascii="Palatino Linotype" w:hAnsi="Palatino Linotype" w:eastAsia="Palatino Linotype" w:cs="Times New Roman"/>
                <w:color w:val="000000" w:themeColor="text1"/>
                <w:kern w:val="0"/>
                <w:sz w:val="20"/>
                <w:szCs w:val="20"/>
                <w14:ligatures w14:val="none"/>
              </w:rPr>
              <w:t xml:space="preserve">  </w:t>
            </w:r>
          </w:p>
        </w:tc>
      </w:tr>
      <w:tr w:rsidRPr="00391600" w:rsidR="000119E7" w:rsidTr="6FAFEDE3" w14:paraId="002713FB" w14:textId="77777777">
        <w:tc>
          <w:tcPr>
            <w:tcW w:w="3412" w:type="dxa"/>
            <w:vMerge/>
          </w:tcPr>
          <w:p w:rsidRPr="00391600" w:rsidR="000119E7" w:rsidRDefault="000119E7" w14:paraId="1C9560C1" w14:textId="77777777">
            <w:pPr>
              <w:rPr>
                <w:rFonts w:ascii="Palatino Linotype" w:hAnsi="Palatino Linotype" w:eastAsia="Palatino Linotype" w:cs="Times New Roman"/>
                <w:bCs/>
                <w:sz w:val="20"/>
                <w:szCs w:val="20"/>
              </w:rPr>
            </w:pPr>
          </w:p>
        </w:tc>
        <w:tc>
          <w:tcPr>
            <w:tcW w:w="5938" w:type="dxa"/>
          </w:tcPr>
          <w:p w:rsidRPr="00391600" w:rsidR="000119E7" w:rsidRDefault="6C7AEF65" w14:paraId="29AD807D" w14:textId="77777777">
            <w:pPr>
              <w:rPr>
                <w:rFonts w:ascii="Palatino Linotype" w:hAnsi="Palatino Linotype" w:eastAsia="Palatino Linotype" w:cs="Times New Roman"/>
                <w:bCs/>
                <w:color w:val="000000" w:themeColor="text1"/>
                <w:sz w:val="20"/>
                <w:szCs w:val="20"/>
              </w:rPr>
            </w:pPr>
            <w:r w:rsidRPr="00391600">
              <w:rPr>
                <w:rFonts w:ascii="Palatino Linotype" w:hAnsi="Palatino Linotype" w:eastAsia="Palatino Linotype" w:cs="Times New Roman"/>
                <w:b/>
                <w:bCs/>
                <w:color w:val="000000" w:themeColor="text1"/>
                <w:kern w:val="0"/>
                <w:sz w:val="20"/>
                <w:szCs w:val="20"/>
                <w14:ligatures w14:val="none"/>
              </w:rPr>
              <w:t>OP 6</w:t>
            </w:r>
            <w:r w:rsidRPr="00391600">
              <w:rPr>
                <w:rFonts w:ascii="Palatino Linotype" w:hAnsi="Palatino Linotype" w:eastAsia="Palatino Linotype" w:cs="Times New Roman"/>
                <w:color w:val="000000" w:themeColor="text1"/>
                <w:kern w:val="0"/>
                <w:sz w:val="20"/>
                <w:szCs w:val="20"/>
                <w14:ligatures w14:val="none"/>
              </w:rPr>
              <w:t xml:space="preserve">. In developing future Gas R&amp;D plans, the CEC shall: a) Consider the Long-Term Technological Development Strategy to Meet Aggressive </w:t>
            </w:r>
            <w:proofErr w:type="gramStart"/>
            <w:r w:rsidRPr="00391600">
              <w:rPr>
                <w:rFonts w:ascii="Palatino Linotype" w:hAnsi="Palatino Linotype" w:eastAsia="Palatino Linotype" w:cs="Times New Roman"/>
                <w:color w:val="000000" w:themeColor="text1"/>
                <w:kern w:val="0"/>
                <w:sz w:val="20"/>
                <w:szCs w:val="20"/>
                <w14:ligatures w14:val="none"/>
              </w:rPr>
              <w:t>Statewide Decarbonization</w:t>
            </w:r>
            <w:proofErr w:type="gramEnd"/>
            <w:r w:rsidRPr="00391600">
              <w:rPr>
                <w:rFonts w:ascii="Palatino Linotype" w:hAnsi="Palatino Linotype" w:eastAsia="Palatino Linotype" w:cs="Times New Roman"/>
                <w:color w:val="000000" w:themeColor="text1"/>
                <w:kern w:val="0"/>
                <w:sz w:val="20"/>
                <w:szCs w:val="20"/>
                <w14:ligatures w14:val="none"/>
              </w:rPr>
              <w:t xml:space="preserve"> Goals as it becomes available.</w:t>
            </w:r>
            <w:r w:rsidRPr="00391600" w:rsidR="000119E7">
              <w:rPr>
                <w:rStyle w:val="FootnoteReference"/>
                <w:rFonts w:ascii="Palatino Linotype" w:hAnsi="Palatino Linotype" w:eastAsia="Palatino Linotype" w:cs="Times New Roman"/>
                <w:color w:val="000000" w:themeColor="text1"/>
                <w:kern w:val="0"/>
                <w:sz w:val="20"/>
                <w:szCs w:val="20"/>
                <w14:ligatures w14:val="none"/>
              </w:rPr>
              <w:footnoteReference w:id="169"/>
            </w:r>
            <w:r w:rsidRPr="00391600">
              <w:rPr>
                <w:rFonts w:ascii="Palatino Linotype" w:hAnsi="Palatino Linotype" w:eastAsia="Palatino Linotype" w:cs="Times New Roman"/>
                <w:color w:val="000000" w:themeColor="text1"/>
                <w:kern w:val="0"/>
                <w:sz w:val="20"/>
                <w:szCs w:val="20"/>
                <w14:ligatures w14:val="none"/>
              </w:rPr>
              <w:t xml:space="preserve"> </w:t>
            </w:r>
          </w:p>
        </w:tc>
      </w:tr>
      <w:tr w:rsidRPr="00391600" w:rsidR="009124ED" w:rsidTr="6FAFEDE3" w14:paraId="75183895" w14:textId="77777777">
        <w:tc>
          <w:tcPr>
            <w:tcW w:w="3412" w:type="dxa"/>
            <w:vMerge w:val="restart"/>
          </w:tcPr>
          <w:p w:rsidRPr="00391600" w:rsidR="009124ED" w:rsidRDefault="009124ED" w14:paraId="62FCD619" w14:textId="1C6FE78A">
            <w:pPr>
              <w:rPr>
                <w:rFonts w:ascii="Palatino Linotype" w:hAnsi="Palatino Linotype"/>
              </w:rPr>
            </w:pPr>
            <w:hyperlink w:history="1" r:id="rId24">
              <w:r w:rsidRPr="00391600">
                <w:rPr>
                  <w:rStyle w:val="Hyperlink"/>
                  <w:rFonts w:ascii="Palatino Linotype" w:hAnsi="Palatino Linotype"/>
                  <w:sz w:val="20"/>
                  <w:szCs w:val="20"/>
                </w:rPr>
                <w:t>Resolution G-3592</w:t>
              </w:r>
            </w:hyperlink>
            <w:r w:rsidRPr="00391600">
              <w:rPr>
                <w:rFonts w:ascii="Palatino Linotype" w:hAnsi="Palatino Linotype"/>
                <w:sz w:val="20"/>
                <w:szCs w:val="20"/>
              </w:rPr>
              <w:t xml:space="preserve"> (2023): Approving CEC’s FY 2022-2023 Gas RD&amp;D Plan</w:t>
            </w:r>
          </w:p>
        </w:tc>
        <w:tc>
          <w:tcPr>
            <w:tcW w:w="5938" w:type="dxa"/>
          </w:tcPr>
          <w:p w:rsidRPr="00391600" w:rsidR="009124ED" w:rsidRDefault="271B8696" w14:paraId="18AE62FD" w14:textId="2B9F4AF8">
            <w:pPr>
              <w:pStyle w:val="paragraph"/>
              <w:spacing w:before="0" w:beforeAutospacing="0" w:after="0" w:afterAutospacing="0"/>
              <w:textAlignment w:val="baseline"/>
              <w:rPr>
                <w:rFonts w:ascii="Palatino Linotype" w:hAnsi="Palatino Linotype"/>
                <w:b/>
                <w:bCs/>
                <w:sz w:val="20"/>
                <w:szCs w:val="20"/>
              </w:rPr>
            </w:pPr>
            <w:r w:rsidRPr="00391600">
              <w:rPr>
                <w:rFonts w:ascii="Palatino Linotype" w:hAnsi="Palatino Linotype"/>
                <w:b/>
                <w:bCs/>
                <w:sz w:val="20"/>
                <w:szCs w:val="20"/>
              </w:rPr>
              <w:t xml:space="preserve">OP 2. </w:t>
            </w:r>
            <w:r w:rsidRPr="00391600" w:rsidR="6829CA2A">
              <w:rPr>
                <w:rFonts w:ascii="Palatino Linotype" w:hAnsi="Palatino Linotype"/>
                <w:sz w:val="20"/>
                <w:szCs w:val="20"/>
              </w:rPr>
              <w:t>The CEC’s administrative budget is capped at 10 percent of the total budget of $24 million, or $2.4 million.</w:t>
            </w:r>
            <w:r w:rsidRPr="00391600" w:rsidR="00BF13C9">
              <w:rPr>
                <w:rStyle w:val="FootnoteReference"/>
                <w:rFonts w:ascii="Palatino Linotype" w:hAnsi="Palatino Linotype"/>
                <w:sz w:val="20"/>
                <w:szCs w:val="20"/>
              </w:rPr>
              <w:footnoteReference w:id="170"/>
            </w:r>
          </w:p>
        </w:tc>
      </w:tr>
      <w:tr w:rsidRPr="00391600" w:rsidR="009124ED" w:rsidTr="6FAFEDE3" w14:paraId="2B3960CA" w14:textId="77777777">
        <w:tc>
          <w:tcPr>
            <w:tcW w:w="3412" w:type="dxa"/>
            <w:vMerge/>
          </w:tcPr>
          <w:p w:rsidRPr="00391600" w:rsidR="009124ED" w:rsidRDefault="009124ED" w14:paraId="76362C1E" w14:textId="24FEA97C">
            <w:pPr>
              <w:rPr>
                <w:rFonts w:ascii="Palatino Linotype" w:hAnsi="Palatino Linotype" w:eastAsia="Palatino Linotype" w:cs="Times New Roman"/>
                <w:bCs/>
                <w:sz w:val="20"/>
                <w:szCs w:val="20"/>
              </w:rPr>
            </w:pPr>
          </w:p>
        </w:tc>
        <w:tc>
          <w:tcPr>
            <w:tcW w:w="5938" w:type="dxa"/>
          </w:tcPr>
          <w:p w:rsidRPr="00391600" w:rsidR="009124ED" w:rsidRDefault="271B8696" w14:paraId="174773FD" w14:textId="77777777">
            <w:pPr>
              <w:pStyle w:val="paragraph"/>
              <w:spacing w:before="0" w:beforeAutospacing="0" w:after="0" w:afterAutospacing="0"/>
              <w:textAlignment w:val="baseline"/>
              <w:rPr>
                <w:rFonts w:ascii="Palatino Linotype" w:hAnsi="Palatino Linotype"/>
                <w:sz w:val="20"/>
                <w:szCs w:val="20"/>
              </w:rPr>
            </w:pPr>
            <w:r w:rsidRPr="00391600">
              <w:rPr>
                <w:rFonts w:ascii="Palatino Linotype" w:hAnsi="Palatino Linotype"/>
                <w:b/>
                <w:bCs/>
                <w:sz w:val="20"/>
                <w:szCs w:val="20"/>
              </w:rPr>
              <w:t>OP 5a</w:t>
            </w:r>
            <w:r w:rsidRPr="00391600">
              <w:rPr>
                <w:rFonts w:ascii="Palatino Linotype" w:hAnsi="Palatino Linotype"/>
                <w:sz w:val="20"/>
                <w:szCs w:val="20"/>
              </w:rPr>
              <w:t xml:space="preserve">. Identify and engage appropriate disadvantaged community stakeholders to provide increased input on how to administer the program equitably. The CEC shall include details on how disadvantaged community stakeholders and DACAG input </w:t>
            </w:r>
            <w:proofErr w:type="gramStart"/>
            <w:r w:rsidRPr="00391600">
              <w:rPr>
                <w:rFonts w:ascii="Palatino Linotype" w:hAnsi="Palatino Linotype"/>
                <w:sz w:val="20"/>
                <w:szCs w:val="20"/>
              </w:rPr>
              <w:t>was</w:t>
            </w:r>
            <w:proofErr w:type="gramEnd"/>
            <w:r w:rsidRPr="00391600">
              <w:rPr>
                <w:rFonts w:ascii="Palatino Linotype" w:hAnsi="Palatino Linotype"/>
                <w:sz w:val="20"/>
                <w:szCs w:val="20"/>
              </w:rPr>
              <w:t xml:space="preserve"> incorporated into each Gas R&amp;D theme, as relevant to their input.</w:t>
            </w:r>
            <w:r w:rsidRPr="00391600" w:rsidR="009124ED">
              <w:rPr>
                <w:rStyle w:val="FootnoteReference"/>
                <w:rFonts w:ascii="Palatino Linotype" w:hAnsi="Palatino Linotype"/>
                <w:sz w:val="20"/>
                <w:szCs w:val="20"/>
              </w:rPr>
              <w:footnoteReference w:id="171"/>
            </w:r>
            <w:r w:rsidRPr="00391600">
              <w:rPr>
                <w:rFonts w:ascii="Palatino Linotype" w:hAnsi="Palatino Linotype"/>
                <w:sz w:val="20"/>
                <w:szCs w:val="20"/>
              </w:rPr>
              <w:t xml:space="preserve">  </w:t>
            </w:r>
          </w:p>
        </w:tc>
      </w:tr>
      <w:tr w:rsidRPr="00391600" w:rsidR="009124ED" w:rsidTr="6FAFEDE3" w14:paraId="48037FCD" w14:textId="77777777">
        <w:tc>
          <w:tcPr>
            <w:tcW w:w="3412" w:type="dxa"/>
            <w:vMerge/>
          </w:tcPr>
          <w:p w:rsidRPr="00391600" w:rsidR="009124ED" w:rsidRDefault="009124ED" w14:paraId="534301D8" w14:textId="77777777">
            <w:pPr>
              <w:rPr>
                <w:rFonts w:ascii="Palatino Linotype" w:hAnsi="Palatino Linotype" w:eastAsia="Palatino Linotype" w:cs="Times New Roman"/>
                <w:bCs/>
                <w:sz w:val="20"/>
                <w:szCs w:val="20"/>
              </w:rPr>
            </w:pPr>
          </w:p>
        </w:tc>
        <w:tc>
          <w:tcPr>
            <w:tcW w:w="5938" w:type="dxa"/>
          </w:tcPr>
          <w:p w:rsidRPr="00391600" w:rsidR="009124ED" w:rsidRDefault="271B8696" w14:paraId="4CAA9ADA"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391600">
              <w:rPr>
                <w:rStyle w:val="eop"/>
                <w:rFonts w:ascii="Palatino Linotype" w:hAnsi="Palatino Linotype"/>
                <w:b/>
                <w:bCs/>
                <w:color w:val="000000" w:themeColor="text1"/>
                <w:sz w:val="20"/>
                <w:szCs w:val="20"/>
              </w:rPr>
              <w:t>OP 5c &amp; d.</w:t>
            </w:r>
            <w:r w:rsidRPr="00391600">
              <w:rPr>
                <w:rStyle w:val="eop"/>
                <w:rFonts w:ascii="Palatino Linotype" w:hAnsi="Palatino Linotype"/>
                <w:color w:val="000000" w:themeColor="text1"/>
                <w:sz w:val="20"/>
                <w:szCs w:val="20"/>
              </w:rPr>
              <w:t xml:space="preserve"> 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w:t>
            </w:r>
            <w:r w:rsidRPr="00391600" w:rsidR="009124ED">
              <w:rPr>
                <w:rStyle w:val="FootnoteReference"/>
                <w:rFonts w:ascii="Palatino Linotype" w:hAnsi="Palatino Linotype"/>
                <w:color w:val="000000" w:themeColor="text1"/>
                <w:sz w:val="20"/>
                <w:szCs w:val="20"/>
              </w:rPr>
              <w:footnoteReference w:id="172"/>
            </w:r>
            <w:r w:rsidRPr="00391600">
              <w:rPr>
                <w:rStyle w:val="eop"/>
                <w:rFonts w:ascii="Palatino Linotype" w:hAnsi="Palatino Linotype"/>
                <w:color w:val="000000" w:themeColor="text1"/>
                <w:sz w:val="20"/>
                <w:szCs w:val="20"/>
              </w:rPr>
              <w:t xml:space="preserve"> </w:t>
            </w:r>
          </w:p>
        </w:tc>
      </w:tr>
      <w:tr w:rsidRPr="00391600" w:rsidR="009124ED" w:rsidTr="6FAFEDE3" w14:paraId="7D893E7F" w14:textId="77777777">
        <w:tc>
          <w:tcPr>
            <w:tcW w:w="3412" w:type="dxa"/>
            <w:vMerge/>
          </w:tcPr>
          <w:p w:rsidRPr="00391600" w:rsidR="009124ED" w:rsidRDefault="009124ED" w14:paraId="494AB6CF" w14:textId="77777777">
            <w:pPr>
              <w:rPr>
                <w:rFonts w:ascii="Palatino Linotype" w:hAnsi="Palatino Linotype" w:eastAsia="Palatino Linotype" w:cs="Times New Roman"/>
                <w:bCs/>
                <w:sz w:val="20"/>
                <w:szCs w:val="20"/>
              </w:rPr>
            </w:pPr>
          </w:p>
        </w:tc>
        <w:tc>
          <w:tcPr>
            <w:tcW w:w="5938" w:type="dxa"/>
          </w:tcPr>
          <w:p w:rsidRPr="00391600" w:rsidR="009124ED" w:rsidRDefault="271B8696" w14:paraId="52540D26"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391600">
              <w:rPr>
                <w:rStyle w:val="eop"/>
                <w:rFonts w:ascii="Palatino Linotype" w:hAnsi="Palatino Linotype"/>
                <w:b/>
                <w:bCs/>
                <w:color w:val="000000" w:themeColor="text1"/>
                <w:sz w:val="20"/>
                <w:szCs w:val="20"/>
              </w:rPr>
              <w:t>OP 5e</w:t>
            </w:r>
            <w:r w:rsidRPr="00391600">
              <w:rPr>
                <w:rStyle w:val="eop"/>
                <w:rFonts w:ascii="Palatino Linotype" w:hAnsi="Palatino Linotype"/>
                <w:color w:val="000000" w:themeColor="text1"/>
                <w:sz w:val="20"/>
                <w:szCs w:val="20"/>
              </w:rPr>
              <w:t>. Use the EPIC administrative budget template.</w:t>
            </w:r>
            <w:r w:rsidRPr="00391600" w:rsidR="009124ED">
              <w:rPr>
                <w:rStyle w:val="FootnoteReference"/>
                <w:rFonts w:ascii="Palatino Linotype" w:hAnsi="Palatino Linotype"/>
                <w:color w:val="000000" w:themeColor="text1"/>
                <w:sz w:val="20"/>
                <w:szCs w:val="20"/>
              </w:rPr>
              <w:footnoteReference w:id="173"/>
            </w:r>
            <w:r w:rsidRPr="00391600">
              <w:rPr>
                <w:rStyle w:val="eop"/>
                <w:rFonts w:ascii="Palatino Linotype" w:hAnsi="Palatino Linotype"/>
                <w:color w:val="000000" w:themeColor="text1"/>
                <w:sz w:val="20"/>
                <w:szCs w:val="20"/>
              </w:rPr>
              <w:t xml:space="preserve">  </w:t>
            </w:r>
          </w:p>
        </w:tc>
      </w:tr>
      <w:tr w:rsidRPr="00391600" w:rsidR="009124ED" w:rsidTr="6FAFEDE3" w14:paraId="4909CA32" w14:textId="77777777">
        <w:tc>
          <w:tcPr>
            <w:tcW w:w="3412" w:type="dxa"/>
            <w:vMerge/>
          </w:tcPr>
          <w:p w:rsidRPr="00391600" w:rsidR="009124ED" w:rsidRDefault="009124ED" w14:paraId="152F8A39" w14:textId="77777777">
            <w:pPr>
              <w:rPr>
                <w:rFonts w:ascii="Palatino Linotype" w:hAnsi="Palatino Linotype" w:eastAsia="Palatino Linotype" w:cs="Times New Roman"/>
                <w:bCs/>
                <w:sz w:val="20"/>
                <w:szCs w:val="20"/>
              </w:rPr>
            </w:pPr>
          </w:p>
        </w:tc>
        <w:tc>
          <w:tcPr>
            <w:tcW w:w="5938" w:type="dxa"/>
          </w:tcPr>
          <w:p w:rsidRPr="00391600" w:rsidR="009124ED" w:rsidRDefault="271B8696" w14:paraId="5BD65864"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391600">
              <w:rPr>
                <w:rFonts w:ascii="Palatino Linotype" w:hAnsi="Palatino Linotype"/>
                <w:b/>
                <w:bCs/>
                <w:color w:val="000000" w:themeColor="text1"/>
                <w:sz w:val="20"/>
                <w:szCs w:val="20"/>
              </w:rPr>
              <w:t>OP 7.</w:t>
            </w:r>
            <w:r w:rsidRPr="00391600">
              <w:rPr>
                <w:rFonts w:ascii="Palatino Linotype" w:hAnsi="Palatino Linotype"/>
                <w:color w:val="000000" w:themeColor="text1"/>
                <w:sz w:val="20"/>
                <w:szCs w:val="20"/>
              </w:rPr>
              <w:t xml:space="preserve"> In Fiscal Year 2023-2024 and all </w:t>
            </w:r>
            <w:proofErr w:type="gramStart"/>
            <w:r w:rsidRPr="00391600">
              <w:rPr>
                <w:rFonts w:ascii="Palatino Linotype" w:hAnsi="Palatino Linotype"/>
                <w:color w:val="000000" w:themeColor="text1"/>
                <w:sz w:val="20"/>
                <w:szCs w:val="20"/>
              </w:rPr>
              <w:t>future plans</w:t>
            </w:r>
            <w:proofErr w:type="gramEnd"/>
            <w:r w:rsidRPr="00391600">
              <w:rPr>
                <w:rFonts w:ascii="Palatino Linotype" w:hAnsi="Palatino Linotype"/>
                <w:color w:val="000000" w:themeColor="text1"/>
                <w:sz w:val="20"/>
                <w:szCs w:val="20"/>
              </w:rPr>
              <w:t>, the CEC shall identify 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The CEC shall also list all spent, encumbered, and uncommitted funds organized by Gas R&amp;D initiative. Unencumbered and unspent funds shall be utilized prior to the utilization of new and/or additional ratepayer funds.</w:t>
            </w:r>
            <w:r w:rsidRPr="00391600" w:rsidR="009124ED">
              <w:rPr>
                <w:rStyle w:val="FootnoteReference"/>
                <w:rFonts w:ascii="Palatino Linotype" w:hAnsi="Palatino Linotype"/>
                <w:color w:val="000000" w:themeColor="text1"/>
                <w:sz w:val="20"/>
                <w:szCs w:val="20"/>
              </w:rPr>
              <w:footnoteReference w:id="174"/>
            </w:r>
            <w:r w:rsidRPr="00391600">
              <w:rPr>
                <w:rFonts w:ascii="Palatino Linotype" w:hAnsi="Palatino Linotype"/>
                <w:color w:val="000000" w:themeColor="text1"/>
                <w:sz w:val="20"/>
                <w:szCs w:val="20"/>
              </w:rPr>
              <w:t xml:space="preserve">  </w:t>
            </w:r>
          </w:p>
        </w:tc>
      </w:tr>
      <w:tr w:rsidRPr="00391600" w:rsidR="000119E7" w:rsidTr="6FAFEDE3" w14:paraId="2F143FB2" w14:textId="77777777">
        <w:tc>
          <w:tcPr>
            <w:tcW w:w="3412" w:type="dxa"/>
            <w:vMerge w:val="restart"/>
          </w:tcPr>
          <w:p w:rsidRPr="00391600" w:rsidR="000119E7" w:rsidRDefault="000119E7" w14:paraId="179EC026" w14:textId="77777777">
            <w:pPr>
              <w:rPr>
                <w:rFonts w:ascii="Palatino Linotype" w:hAnsi="Palatino Linotype" w:eastAsia="Palatino Linotype" w:cs="Times New Roman"/>
                <w:bCs/>
                <w:sz w:val="20"/>
                <w:szCs w:val="20"/>
              </w:rPr>
            </w:pPr>
            <w:hyperlink w:history="1" r:id="rId25">
              <w:r w:rsidRPr="00391600">
                <w:rPr>
                  <w:rStyle w:val="Hyperlink"/>
                  <w:rFonts w:ascii="Palatino Linotype" w:hAnsi="Palatino Linotype"/>
                  <w:sz w:val="20"/>
                  <w:szCs w:val="20"/>
                </w:rPr>
                <w:t>Resolution G-3603</w:t>
              </w:r>
            </w:hyperlink>
            <w:r w:rsidRPr="00391600">
              <w:rPr>
                <w:rFonts w:ascii="Palatino Linotype" w:hAnsi="Palatino Linotype"/>
                <w:sz w:val="20"/>
                <w:szCs w:val="20"/>
              </w:rPr>
              <w:t xml:space="preserve"> (2024): Approving CEC’s FY 2023-2024 Gas RD&amp;D Plans</w:t>
            </w:r>
          </w:p>
        </w:tc>
        <w:tc>
          <w:tcPr>
            <w:tcW w:w="5938" w:type="dxa"/>
          </w:tcPr>
          <w:p w:rsidRPr="00391600" w:rsidR="000119E7" w:rsidRDefault="6C7AEF65" w14:paraId="403E3F6E" w14:textId="77777777">
            <w:pPr>
              <w:rPr>
                <w:rFonts w:ascii="Palatino Linotype" w:hAnsi="Palatino Linotype"/>
                <w:color w:val="000000" w:themeColor="text1"/>
                <w:sz w:val="20"/>
                <w:szCs w:val="20"/>
              </w:rPr>
            </w:pPr>
            <w:r w:rsidRPr="00391600">
              <w:rPr>
                <w:rStyle w:val="eop"/>
                <w:rFonts w:ascii="Palatino Linotype" w:hAnsi="Palatino Linotype"/>
                <w:b/>
                <w:bCs/>
                <w:color w:val="000000" w:themeColor="text1"/>
                <w:sz w:val="20"/>
                <w:szCs w:val="20"/>
              </w:rPr>
              <w:t>OP 4</w:t>
            </w:r>
            <w:r w:rsidRPr="00391600">
              <w:rPr>
                <w:rStyle w:val="eop"/>
                <w:rFonts w:ascii="Palatino Linotype" w:hAnsi="Palatino Linotype"/>
                <w:color w:val="000000" w:themeColor="text1"/>
                <w:sz w:val="20"/>
                <w:szCs w:val="20"/>
              </w:rPr>
              <w:t xml:space="preserve">. [The CEC] shall be proactive and specific in articulating its coordination and collaboration with the Investor-Owned Utilities (IOUs), and other Gas Research and Development (R&amp;D) entities, in advance of commencing its plan. The CEC shall meet with the administrators of other Gas R&amp;D programs and describe in its annual plan how its research complements </w:t>
            </w:r>
            <w:r w:rsidRPr="00391600">
              <w:rPr>
                <w:rStyle w:val="eop"/>
                <w:rFonts w:ascii="Palatino Linotype" w:hAnsi="Palatino Linotype"/>
                <w:color w:val="000000" w:themeColor="text1"/>
                <w:sz w:val="20"/>
                <w:szCs w:val="20"/>
              </w:rPr>
              <w:lastRenderedPageBreak/>
              <w:t>other Gas R&amp;D research occurring in California, consistent with CPUC policies and proceedings.</w:t>
            </w:r>
            <w:r w:rsidRPr="00391600" w:rsidR="000119E7">
              <w:rPr>
                <w:rStyle w:val="FootnoteReference"/>
                <w:rFonts w:ascii="Palatino Linotype" w:hAnsi="Palatino Linotype"/>
                <w:color w:val="000000" w:themeColor="text1"/>
                <w:sz w:val="20"/>
                <w:szCs w:val="20"/>
              </w:rPr>
              <w:footnoteReference w:id="175"/>
            </w:r>
            <w:r w:rsidRPr="00391600">
              <w:rPr>
                <w:rStyle w:val="eop"/>
                <w:rFonts w:ascii="Palatino Linotype" w:hAnsi="Palatino Linotype"/>
                <w:color w:val="000000" w:themeColor="text1"/>
                <w:sz w:val="20"/>
                <w:szCs w:val="20"/>
              </w:rPr>
              <w:t xml:space="preserve"> </w:t>
            </w:r>
          </w:p>
        </w:tc>
      </w:tr>
      <w:tr w:rsidRPr="00391600" w:rsidR="000119E7" w:rsidTr="6FAFEDE3" w14:paraId="2A565243" w14:textId="77777777">
        <w:tc>
          <w:tcPr>
            <w:tcW w:w="3412" w:type="dxa"/>
            <w:vMerge/>
          </w:tcPr>
          <w:p w:rsidRPr="00391600" w:rsidR="000119E7" w:rsidRDefault="000119E7" w14:paraId="36DC563F" w14:textId="77777777">
            <w:pPr>
              <w:rPr>
                <w:rFonts w:ascii="Palatino Linotype" w:hAnsi="Palatino Linotype" w:eastAsia="Palatino Linotype" w:cs="Times New Roman"/>
                <w:bCs/>
                <w:sz w:val="20"/>
                <w:szCs w:val="20"/>
              </w:rPr>
            </w:pPr>
          </w:p>
        </w:tc>
        <w:tc>
          <w:tcPr>
            <w:tcW w:w="5938" w:type="dxa"/>
          </w:tcPr>
          <w:p w:rsidRPr="00391600" w:rsidR="000119E7" w:rsidRDefault="000119E7" w14:paraId="3DE58CC6" w14:textId="77777777">
            <w:pPr>
              <w:pStyle w:val="paragraph"/>
              <w:spacing w:before="0" w:beforeAutospacing="0" w:after="0" w:afterAutospacing="0"/>
              <w:textAlignment w:val="baseline"/>
              <w:rPr>
                <w:rFonts w:ascii="Palatino Linotype" w:hAnsi="Palatino Linotype"/>
                <w:color w:val="000000" w:themeColor="text1"/>
                <w:sz w:val="20"/>
                <w:szCs w:val="20"/>
              </w:rPr>
            </w:pPr>
            <w:r w:rsidRPr="00391600">
              <w:rPr>
                <w:rStyle w:val="eop"/>
                <w:rFonts w:ascii="Palatino Linotype" w:hAnsi="Palatino Linotype"/>
                <w:b/>
                <w:bCs/>
                <w:color w:val="000000" w:themeColor="text1"/>
                <w:sz w:val="20"/>
                <w:szCs w:val="20"/>
              </w:rPr>
              <w:t>OP 5</w:t>
            </w:r>
            <w:r w:rsidRPr="00391600">
              <w:rPr>
                <w:rStyle w:val="eop"/>
                <w:rFonts w:ascii="Palatino Linotype" w:hAnsi="Palatino Linotype"/>
                <w:color w:val="000000" w:themeColor="text1"/>
                <w:sz w:val="20"/>
                <w:szCs w:val="20"/>
              </w:rPr>
              <w:t xml:space="preserve">. To ensure that research plans are coordinated, consistent, and aligned with CPUC policies and proceedings, the California Energy Commission shall coordinate with Energy Division and CPUC Staff in advance of commencing its plan. </w:t>
            </w:r>
          </w:p>
        </w:tc>
      </w:tr>
      <w:tr w:rsidRPr="00391600" w:rsidR="000119E7" w:rsidTr="6FAFEDE3" w14:paraId="4CE9327A" w14:textId="77777777">
        <w:tc>
          <w:tcPr>
            <w:tcW w:w="3412" w:type="dxa"/>
            <w:vMerge/>
          </w:tcPr>
          <w:p w:rsidRPr="00391600" w:rsidR="000119E7" w:rsidRDefault="000119E7" w14:paraId="4C9E8F02" w14:textId="77777777">
            <w:pPr>
              <w:rPr>
                <w:rFonts w:ascii="Palatino Linotype" w:hAnsi="Palatino Linotype" w:eastAsia="Palatino Linotype" w:cs="Times New Roman"/>
                <w:bCs/>
                <w:sz w:val="20"/>
                <w:szCs w:val="20"/>
              </w:rPr>
            </w:pPr>
          </w:p>
        </w:tc>
        <w:tc>
          <w:tcPr>
            <w:tcW w:w="5938" w:type="dxa"/>
          </w:tcPr>
          <w:p w:rsidRPr="00391600" w:rsidR="000119E7" w:rsidRDefault="6C7AEF65" w14:paraId="79E1222E" w14:textId="77777777">
            <w:pPr>
              <w:pStyle w:val="paragraph"/>
              <w:spacing w:before="0" w:beforeAutospacing="0" w:after="0" w:afterAutospacing="0"/>
              <w:textAlignment w:val="baseline"/>
              <w:rPr>
                <w:rStyle w:val="eop"/>
                <w:rFonts w:ascii="Palatino Linotype" w:hAnsi="Palatino Linotype"/>
                <w:color w:val="000000" w:themeColor="text1"/>
                <w:sz w:val="20"/>
                <w:szCs w:val="20"/>
              </w:rPr>
            </w:pPr>
            <w:r w:rsidRPr="00391600">
              <w:rPr>
                <w:rStyle w:val="eop"/>
                <w:rFonts w:ascii="Palatino Linotype" w:hAnsi="Palatino Linotype"/>
                <w:b/>
                <w:bCs/>
                <w:color w:val="000000" w:themeColor="text1"/>
                <w:sz w:val="20"/>
                <w:szCs w:val="20"/>
              </w:rPr>
              <w:t>OP 6.</w:t>
            </w:r>
            <w:r w:rsidRPr="00391600">
              <w:rPr>
                <w:rStyle w:val="eop"/>
                <w:rFonts w:ascii="Palatino Linotype" w:hAnsi="Palatino Linotype"/>
                <w:color w:val="000000" w:themeColor="text1"/>
                <w:sz w:val="20"/>
                <w:szCs w:val="20"/>
              </w:rPr>
              <w:t xml:space="preserve"> Once the Electric Program Investment Charge (EPIC) program’s Uniform Impact Analysis framework is approved by the Commission, the California Energy Commission shall </w:t>
            </w:r>
            <w:proofErr w:type="gramStart"/>
            <w:r w:rsidRPr="00391600">
              <w:rPr>
                <w:rStyle w:val="eop"/>
                <w:rFonts w:ascii="Palatino Linotype" w:hAnsi="Palatino Linotype"/>
                <w:color w:val="000000" w:themeColor="text1"/>
                <w:sz w:val="20"/>
                <w:szCs w:val="20"/>
              </w:rPr>
              <w:t>use this framework to demonstrate</w:t>
            </w:r>
            <w:proofErr w:type="gramEnd"/>
            <w:r w:rsidRPr="00391600">
              <w:rPr>
                <w:rStyle w:val="eop"/>
                <w:rFonts w:ascii="Palatino Linotype" w:hAnsi="Palatino Linotype"/>
                <w:color w:val="000000" w:themeColor="text1"/>
                <w:sz w:val="20"/>
                <w:szCs w:val="20"/>
              </w:rPr>
              <w:t xml:space="preserve"> outcomes of achieving its proposed benefits </w:t>
            </w:r>
            <w:proofErr w:type="gramStart"/>
            <w:r w:rsidRPr="00391600">
              <w:rPr>
                <w:rStyle w:val="eop"/>
                <w:rFonts w:ascii="Palatino Linotype" w:hAnsi="Palatino Linotype"/>
                <w:color w:val="000000" w:themeColor="text1"/>
                <w:sz w:val="20"/>
                <w:szCs w:val="20"/>
              </w:rPr>
              <w:t>for</w:t>
            </w:r>
            <w:proofErr w:type="gramEnd"/>
            <w:r w:rsidRPr="00391600">
              <w:rPr>
                <w:rStyle w:val="eop"/>
                <w:rFonts w:ascii="Palatino Linotype" w:hAnsi="Palatino Linotype"/>
                <w:color w:val="000000" w:themeColor="text1"/>
                <w:sz w:val="20"/>
                <w:szCs w:val="20"/>
              </w:rPr>
              <w:t xml:space="preserve"> </w:t>
            </w:r>
            <w:proofErr w:type="gramStart"/>
            <w:r w:rsidRPr="00391600">
              <w:rPr>
                <w:rStyle w:val="eop"/>
                <w:rFonts w:ascii="Palatino Linotype" w:hAnsi="Palatino Linotype"/>
                <w:color w:val="000000" w:themeColor="text1"/>
                <w:sz w:val="20"/>
                <w:szCs w:val="20"/>
              </w:rPr>
              <w:t>all current</w:t>
            </w:r>
            <w:proofErr w:type="gramEnd"/>
            <w:r w:rsidRPr="00391600">
              <w:rPr>
                <w:rStyle w:val="eop"/>
                <w:rFonts w:ascii="Palatino Linotype" w:hAnsi="Palatino Linotype"/>
                <w:color w:val="000000" w:themeColor="text1"/>
                <w:sz w:val="20"/>
                <w:szCs w:val="20"/>
              </w:rPr>
              <w:t xml:space="preserve"> and future research projects including through quantitative methodologies.</w:t>
            </w:r>
            <w:r w:rsidRPr="00391600" w:rsidR="000119E7">
              <w:rPr>
                <w:rStyle w:val="FootnoteReference"/>
                <w:rFonts w:ascii="Palatino Linotype" w:hAnsi="Palatino Linotype"/>
                <w:color w:val="000000" w:themeColor="text1"/>
                <w:sz w:val="20"/>
                <w:szCs w:val="20"/>
              </w:rPr>
              <w:footnoteReference w:id="176"/>
            </w:r>
            <w:r w:rsidRPr="00391600">
              <w:rPr>
                <w:rStyle w:val="eop"/>
                <w:rFonts w:ascii="Palatino Linotype" w:hAnsi="Palatino Linotype"/>
                <w:color w:val="000000" w:themeColor="text1"/>
                <w:sz w:val="20"/>
                <w:szCs w:val="20"/>
              </w:rPr>
              <w:t xml:space="preserve"> </w:t>
            </w:r>
          </w:p>
        </w:tc>
      </w:tr>
    </w:tbl>
    <w:p w:rsidR="000119E7" w:rsidP="00C245C0" w:rsidRDefault="000119E7" w14:paraId="0E67AF49" w14:textId="77777777">
      <w:pPr>
        <w:spacing w:before="240"/>
        <w:rPr>
          <w:rFonts w:ascii="Palatino Linotype" w:hAnsi="Palatino Linotype"/>
          <w:b/>
          <w:bCs/>
        </w:rPr>
      </w:pPr>
    </w:p>
    <w:p w:rsidR="00C91F44" w:rsidP="00C245C0" w:rsidRDefault="00C91F44" w14:paraId="5BEFEBD2" w14:textId="77777777">
      <w:pPr>
        <w:spacing w:before="240"/>
        <w:rPr>
          <w:rFonts w:ascii="Palatino Linotype" w:hAnsi="Palatino Linotype"/>
          <w:b/>
          <w:bCs/>
        </w:rPr>
      </w:pPr>
    </w:p>
    <w:p w:rsidR="000D0BB2" w:rsidP="00C245C0" w:rsidRDefault="000D0BB2" w14:paraId="65E2DCA1" w14:textId="77777777">
      <w:pPr>
        <w:spacing w:before="240"/>
        <w:rPr>
          <w:rFonts w:ascii="Palatino Linotype" w:hAnsi="Palatino Linotype"/>
          <w:b/>
          <w:bCs/>
        </w:rPr>
        <w:sectPr w:rsidR="000D0BB2" w:rsidSect="00930C35">
          <w:footerReference w:type="first" r:id="rId26"/>
          <w:pgSz w:w="12240" w:h="15840"/>
          <w:pgMar w:top="1440" w:right="1440" w:bottom="1440" w:left="1440" w:header="720" w:footer="720" w:gutter="0"/>
          <w:cols w:space="720"/>
          <w:titlePg/>
          <w:docGrid w:linePitch="360"/>
        </w:sectPr>
      </w:pPr>
    </w:p>
    <w:p w:rsidR="00C91F44" w:rsidP="00C245C0" w:rsidRDefault="00C91F44" w14:paraId="37777FA5" w14:textId="77777777">
      <w:pPr>
        <w:spacing w:before="240"/>
        <w:rPr>
          <w:rFonts w:ascii="Palatino Linotype" w:hAnsi="Palatino Linotype"/>
          <w:b/>
          <w:bCs/>
        </w:rPr>
      </w:pPr>
    </w:p>
    <w:p w:rsidR="000D0BB2" w:rsidP="00C245C0" w:rsidRDefault="000D0BB2" w14:paraId="1488122E" w14:textId="77777777">
      <w:pPr>
        <w:spacing w:before="240"/>
        <w:rPr>
          <w:rFonts w:ascii="Palatino Linotype" w:hAnsi="Palatino Linotype"/>
          <w:b/>
          <w:bCs/>
        </w:rPr>
      </w:pPr>
    </w:p>
    <w:p w:rsidR="000D0BB2" w:rsidP="00C245C0" w:rsidRDefault="000D0BB2" w14:paraId="5FAB1186" w14:textId="77777777">
      <w:pPr>
        <w:spacing w:before="240"/>
        <w:rPr>
          <w:rFonts w:ascii="Palatino Linotype" w:hAnsi="Palatino Linotype"/>
          <w:b/>
          <w:bCs/>
        </w:rPr>
      </w:pPr>
    </w:p>
    <w:p w:rsidR="000D0BB2" w:rsidP="00C245C0" w:rsidRDefault="000D0BB2" w14:paraId="75CEFADE" w14:textId="77777777">
      <w:pPr>
        <w:spacing w:before="240"/>
        <w:rPr>
          <w:rFonts w:ascii="Palatino Linotype" w:hAnsi="Palatino Linotype"/>
          <w:b/>
          <w:bCs/>
        </w:rPr>
      </w:pPr>
    </w:p>
    <w:p w:rsidRPr="000D0BB2" w:rsidR="000D0BB2" w:rsidP="000D0BB2" w:rsidRDefault="000D0BB2" w14:paraId="2B6AEEEA" w14:textId="2B4302E3">
      <w:pPr>
        <w:spacing w:line="276" w:lineRule="auto"/>
        <w:jc w:val="center"/>
        <w:rPr>
          <w:rFonts w:ascii="Palatino Linotype" w:hAnsi="Palatino Linotype"/>
          <w:sz w:val="44"/>
          <w:szCs w:val="44"/>
        </w:rPr>
      </w:pPr>
      <w:r w:rsidRPr="000D0BB2">
        <w:rPr>
          <w:rFonts w:ascii="Palatino Linotype" w:hAnsi="Palatino Linotype"/>
          <w:sz w:val="44"/>
          <w:szCs w:val="44"/>
        </w:rPr>
        <w:t>APPENDIX B</w:t>
      </w:r>
    </w:p>
    <w:p w:rsidR="000D0BB2" w:rsidP="00C245C0" w:rsidRDefault="000D0BB2" w14:paraId="4E7B503A" w14:textId="77777777">
      <w:pPr>
        <w:spacing w:before="240"/>
        <w:rPr>
          <w:rFonts w:ascii="Palatino Linotype" w:hAnsi="Palatino Linotype"/>
          <w:b/>
          <w:bCs/>
        </w:rPr>
      </w:pPr>
    </w:p>
    <w:p w:rsidR="000D0BB2" w:rsidP="00C245C0" w:rsidRDefault="000D0BB2" w14:paraId="0A28E381" w14:textId="77777777">
      <w:pPr>
        <w:spacing w:before="240"/>
        <w:rPr>
          <w:rFonts w:ascii="Palatino Linotype" w:hAnsi="Palatino Linotype"/>
          <w:b/>
          <w:bCs/>
        </w:rPr>
        <w:sectPr w:rsidR="000D0BB2" w:rsidSect="002E1692">
          <w:footerReference w:type="first" r:id="rId27"/>
          <w:pgSz w:w="12240" w:h="15840"/>
          <w:pgMar w:top="1440" w:right="1440" w:bottom="1440" w:left="1440" w:header="720" w:footer="720" w:gutter="0"/>
          <w:pgNumType w:start="1"/>
          <w:cols w:space="720"/>
          <w:titlePg/>
          <w:docGrid w:linePitch="360"/>
        </w:sectPr>
      </w:pPr>
    </w:p>
    <w:p w:rsidRPr="00391600" w:rsidR="00930C35" w:rsidP="00C245C0" w:rsidRDefault="00930C35" w14:paraId="570E6180" w14:textId="5DCA0A4A">
      <w:pPr>
        <w:spacing w:before="240"/>
        <w:rPr>
          <w:rFonts w:ascii="Palatino Linotype" w:hAnsi="Palatino Linotype"/>
          <w:b/>
          <w:bCs/>
        </w:rPr>
      </w:pPr>
      <w:r w:rsidRPr="00391600">
        <w:rPr>
          <w:rFonts w:ascii="Palatino Linotype" w:hAnsi="Palatino Linotype"/>
          <w:b/>
          <w:bCs/>
        </w:rPr>
        <w:lastRenderedPageBreak/>
        <w:t>APPENDIX</w:t>
      </w:r>
      <w:r w:rsidRPr="00391600">
        <w:rPr>
          <w:rFonts w:ascii="Palatino Linotype" w:hAnsi="Palatino Linotype"/>
          <w:b/>
          <w:bCs/>
          <w:color w:val="000000" w:themeColor="text1"/>
        </w:rPr>
        <w:t xml:space="preserve"> </w:t>
      </w:r>
      <w:r w:rsidRPr="00391600" w:rsidR="000E0EBD">
        <w:rPr>
          <w:rFonts w:ascii="Palatino Linotype" w:hAnsi="Palatino Linotype"/>
          <w:b/>
          <w:bCs/>
          <w:color w:val="000000" w:themeColor="text1"/>
        </w:rPr>
        <w:t>B</w:t>
      </w:r>
      <w:r w:rsidRPr="00391600">
        <w:rPr>
          <w:rFonts w:ascii="Palatino Linotype" w:hAnsi="Palatino Linotype"/>
          <w:b/>
          <w:bCs/>
        </w:rPr>
        <w:t>: Administrative Budget Cost Categories</w:t>
      </w:r>
    </w:p>
    <w:tbl>
      <w:tblPr>
        <w:tblStyle w:val="TableGrid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5"/>
        <w:gridCol w:w="2430"/>
      </w:tblGrid>
      <w:tr w:rsidRPr="00391600" w:rsidR="00930C35" w:rsidTr="00DD36A7" w14:paraId="3CFFD635" w14:textId="77777777">
        <w:trPr>
          <w:trHeight w:val="331"/>
        </w:trPr>
        <w:tc>
          <w:tcPr>
            <w:tcW w:w="6925" w:type="dxa"/>
            <w:vAlign w:val="center"/>
          </w:tcPr>
          <w:p w:rsidRPr="00391600" w:rsidR="00930C35" w:rsidP="00DD36A7" w:rsidRDefault="00930C35" w14:paraId="5DBF5932" w14:textId="77777777">
            <w:pPr>
              <w:rPr>
                <w:rFonts w:ascii="Palatino Linotype" w:hAnsi="Palatino Linotype"/>
                <w:b/>
                <w:sz w:val="20"/>
                <w:szCs w:val="20"/>
              </w:rPr>
            </w:pPr>
            <w:r w:rsidRPr="00391600">
              <w:rPr>
                <w:rFonts w:ascii="Palatino Linotype" w:hAnsi="Palatino Linotype"/>
                <w:b/>
                <w:sz w:val="20"/>
                <w:szCs w:val="20"/>
              </w:rPr>
              <w:t>Program Administrative Cost Budget Item</w:t>
            </w:r>
          </w:p>
        </w:tc>
        <w:tc>
          <w:tcPr>
            <w:tcW w:w="2430" w:type="dxa"/>
            <w:vAlign w:val="center"/>
          </w:tcPr>
          <w:p w:rsidRPr="00391600" w:rsidR="00930C35" w:rsidP="00DD36A7" w:rsidRDefault="00930C35" w14:paraId="10CDAA02" w14:textId="77777777">
            <w:pPr>
              <w:rPr>
                <w:rFonts w:ascii="Palatino Linotype" w:hAnsi="Palatino Linotype"/>
                <w:b/>
                <w:sz w:val="20"/>
                <w:szCs w:val="20"/>
              </w:rPr>
            </w:pPr>
            <w:r w:rsidRPr="00391600">
              <w:rPr>
                <w:rFonts w:ascii="Palatino Linotype" w:hAnsi="Palatino Linotype"/>
                <w:b/>
                <w:sz w:val="20"/>
                <w:szCs w:val="20"/>
              </w:rPr>
              <w:t>Calendar Year ($)</w:t>
            </w:r>
          </w:p>
        </w:tc>
      </w:tr>
      <w:tr w:rsidRPr="00391600" w:rsidR="00930C35" w:rsidTr="00DD36A7" w14:paraId="48584CC1" w14:textId="77777777">
        <w:trPr>
          <w:trHeight w:val="331"/>
        </w:trPr>
        <w:tc>
          <w:tcPr>
            <w:tcW w:w="6925" w:type="dxa"/>
            <w:vAlign w:val="center"/>
          </w:tcPr>
          <w:p w:rsidRPr="00391600" w:rsidR="00930C35" w:rsidP="00DD36A7" w:rsidRDefault="00930C35" w14:paraId="3DC99408" w14:textId="77777777">
            <w:pPr>
              <w:rPr>
                <w:rFonts w:ascii="Palatino Linotype" w:hAnsi="Palatino Linotype"/>
                <w:sz w:val="20"/>
                <w:szCs w:val="20"/>
              </w:rPr>
            </w:pPr>
            <w:r w:rsidRPr="00391600">
              <w:rPr>
                <w:rFonts w:ascii="Palatino Linotype" w:hAnsi="Palatino Linotype"/>
                <w:sz w:val="20"/>
                <w:szCs w:val="20"/>
              </w:rPr>
              <w:t>Investment Plan Development</w:t>
            </w:r>
          </w:p>
        </w:tc>
        <w:tc>
          <w:tcPr>
            <w:tcW w:w="2430" w:type="dxa"/>
            <w:vAlign w:val="center"/>
          </w:tcPr>
          <w:p w:rsidRPr="00391600" w:rsidR="00930C35" w:rsidP="00DD36A7" w:rsidRDefault="00930C35" w14:paraId="7940DC81" w14:textId="77777777">
            <w:pPr>
              <w:rPr>
                <w:rFonts w:ascii="Palatino Linotype" w:hAnsi="Palatino Linotype"/>
                <w:b/>
                <w:sz w:val="20"/>
                <w:szCs w:val="20"/>
              </w:rPr>
            </w:pPr>
          </w:p>
        </w:tc>
      </w:tr>
      <w:tr w:rsidRPr="00391600" w:rsidR="00930C35" w:rsidTr="00DD36A7" w14:paraId="1086129C" w14:textId="77777777">
        <w:trPr>
          <w:trHeight w:val="331"/>
        </w:trPr>
        <w:tc>
          <w:tcPr>
            <w:tcW w:w="6925" w:type="dxa"/>
            <w:vAlign w:val="center"/>
          </w:tcPr>
          <w:p w:rsidRPr="00391600" w:rsidR="00930C35" w:rsidP="00DD36A7" w:rsidRDefault="00930C35" w14:paraId="7E8566BF" w14:textId="77777777">
            <w:pPr>
              <w:rPr>
                <w:rFonts w:ascii="Palatino Linotype" w:hAnsi="Palatino Linotype"/>
                <w:sz w:val="20"/>
                <w:szCs w:val="20"/>
              </w:rPr>
            </w:pPr>
            <w:r w:rsidRPr="00391600">
              <w:rPr>
                <w:rFonts w:ascii="Palatino Linotype" w:hAnsi="Palatino Linotype"/>
                <w:sz w:val="20"/>
                <w:szCs w:val="20"/>
              </w:rPr>
              <w:t xml:space="preserve">Project Planning and Initiation </w:t>
            </w:r>
          </w:p>
        </w:tc>
        <w:tc>
          <w:tcPr>
            <w:tcW w:w="2430" w:type="dxa"/>
            <w:vAlign w:val="center"/>
          </w:tcPr>
          <w:p w:rsidRPr="00391600" w:rsidR="00930C35" w:rsidP="00DD36A7" w:rsidRDefault="00930C35" w14:paraId="5EC39709" w14:textId="77777777">
            <w:pPr>
              <w:rPr>
                <w:rFonts w:ascii="Palatino Linotype" w:hAnsi="Palatino Linotype"/>
                <w:b/>
                <w:sz w:val="20"/>
                <w:szCs w:val="20"/>
              </w:rPr>
            </w:pPr>
          </w:p>
        </w:tc>
      </w:tr>
      <w:tr w:rsidRPr="00391600" w:rsidR="00930C35" w:rsidTr="00DD36A7" w14:paraId="1AC82E51" w14:textId="77777777">
        <w:trPr>
          <w:trHeight w:val="331"/>
        </w:trPr>
        <w:tc>
          <w:tcPr>
            <w:tcW w:w="6925" w:type="dxa"/>
            <w:vAlign w:val="center"/>
          </w:tcPr>
          <w:p w:rsidRPr="00391600" w:rsidR="00930C35" w:rsidP="00DD36A7" w:rsidRDefault="00930C35" w14:paraId="02849217" w14:textId="77777777">
            <w:pPr>
              <w:rPr>
                <w:rFonts w:ascii="Palatino Linotype" w:hAnsi="Palatino Linotype"/>
                <w:sz w:val="20"/>
                <w:szCs w:val="20"/>
              </w:rPr>
            </w:pPr>
            <w:r w:rsidRPr="00391600">
              <w:rPr>
                <w:rFonts w:ascii="Palatino Linotype" w:hAnsi="Palatino Linotype"/>
                <w:sz w:val="20"/>
                <w:szCs w:val="20"/>
              </w:rPr>
              <w:t>Project Oversight and Governance</w:t>
            </w:r>
          </w:p>
        </w:tc>
        <w:tc>
          <w:tcPr>
            <w:tcW w:w="2430" w:type="dxa"/>
            <w:vAlign w:val="center"/>
          </w:tcPr>
          <w:p w:rsidRPr="00391600" w:rsidR="00930C35" w:rsidP="00DD36A7" w:rsidRDefault="00930C35" w14:paraId="32E51E4D" w14:textId="77777777">
            <w:pPr>
              <w:rPr>
                <w:rFonts w:ascii="Palatino Linotype" w:hAnsi="Palatino Linotype"/>
                <w:b/>
                <w:sz w:val="20"/>
                <w:szCs w:val="20"/>
              </w:rPr>
            </w:pPr>
          </w:p>
        </w:tc>
      </w:tr>
      <w:tr w:rsidRPr="00391600" w:rsidR="00930C35" w:rsidTr="00DD36A7" w14:paraId="703B2EAE" w14:textId="77777777">
        <w:trPr>
          <w:trHeight w:val="331"/>
        </w:trPr>
        <w:tc>
          <w:tcPr>
            <w:tcW w:w="6925" w:type="dxa"/>
            <w:vAlign w:val="center"/>
          </w:tcPr>
          <w:p w:rsidRPr="00391600" w:rsidR="00930C35" w:rsidP="00DD36A7" w:rsidRDefault="00930C35" w14:paraId="0CA5A8B4" w14:textId="77777777">
            <w:pPr>
              <w:rPr>
                <w:rFonts w:ascii="Palatino Linotype" w:hAnsi="Palatino Linotype"/>
                <w:sz w:val="20"/>
                <w:szCs w:val="20"/>
              </w:rPr>
            </w:pPr>
            <w:r w:rsidRPr="00391600">
              <w:rPr>
                <w:rFonts w:ascii="Palatino Linotype" w:hAnsi="Palatino Linotype"/>
                <w:sz w:val="20"/>
                <w:szCs w:val="20"/>
              </w:rPr>
              <w:t>Stakeholder Communication, Engagement, and Outreach</w:t>
            </w:r>
          </w:p>
        </w:tc>
        <w:tc>
          <w:tcPr>
            <w:tcW w:w="2430" w:type="dxa"/>
            <w:vAlign w:val="center"/>
          </w:tcPr>
          <w:p w:rsidRPr="00391600" w:rsidR="00930C35" w:rsidP="00DD36A7" w:rsidRDefault="00930C35" w14:paraId="4A45BB9C" w14:textId="77777777">
            <w:pPr>
              <w:rPr>
                <w:rFonts w:ascii="Palatino Linotype" w:hAnsi="Palatino Linotype"/>
                <w:b/>
                <w:sz w:val="20"/>
                <w:szCs w:val="20"/>
              </w:rPr>
            </w:pPr>
          </w:p>
        </w:tc>
      </w:tr>
      <w:tr w:rsidRPr="00391600" w:rsidR="00930C35" w:rsidTr="00DD36A7" w14:paraId="7E50E104" w14:textId="77777777">
        <w:trPr>
          <w:trHeight w:val="331"/>
        </w:trPr>
        <w:tc>
          <w:tcPr>
            <w:tcW w:w="6925" w:type="dxa"/>
            <w:vAlign w:val="center"/>
          </w:tcPr>
          <w:p w:rsidRPr="00391600" w:rsidR="00930C35" w:rsidP="00DD36A7" w:rsidRDefault="00930C35" w14:paraId="297AAF57" w14:textId="77777777">
            <w:pPr>
              <w:rPr>
                <w:rFonts w:ascii="Palatino Linotype" w:hAnsi="Palatino Linotype"/>
                <w:sz w:val="20"/>
                <w:szCs w:val="20"/>
              </w:rPr>
            </w:pPr>
            <w:r w:rsidRPr="00391600">
              <w:rPr>
                <w:rFonts w:ascii="Palatino Linotype" w:hAnsi="Palatino Linotype"/>
                <w:sz w:val="20"/>
                <w:szCs w:val="20"/>
              </w:rPr>
              <w:t>Regulatory Support Compliance</w:t>
            </w:r>
          </w:p>
        </w:tc>
        <w:tc>
          <w:tcPr>
            <w:tcW w:w="2430" w:type="dxa"/>
            <w:vAlign w:val="center"/>
          </w:tcPr>
          <w:p w:rsidRPr="00391600" w:rsidR="00930C35" w:rsidP="00DD36A7" w:rsidRDefault="00930C35" w14:paraId="62A56642" w14:textId="77777777">
            <w:pPr>
              <w:rPr>
                <w:rFonts w:ascii="Palatino Linotype" w:hAnsi="Palatino Linotype"/>
                <w:b/>
                <w:sz w:val="20"/>
                <w:szCs w:val="20"/>
              </w:rPr>
            </w:pPr>
          </w:p>
        </w:tc>
      </w:tr>
      <w:tr w:rsidRPr="00391600" w:rsidR="00930C35" w:rsidTr="00DD36A7" w14:paraId="5B9F0802" w14:textId="77777777">
        <w:trPr>
          <w:trHeight w:val="331"/>
        </w:trPr>
        <w:tc>
          <w:tcPr>
            <w:tcW w:w="6925" w:type="dxa"/>
            <w:vAlign w:val="center"/>
          </w:tcPr>
          <w:p w:rsidRPr="00391600" w:rsidR="00930C35" w:rsidP="00DD36A7" w:rsidRDefault="00930C35" w14:paraId="7FD55DFF" w14:textId="77777777">
            <w:pPr>
              <w:rPr>
                <w:rFonts w:ascii="Palatino Linotype" w:hAnsi="Palatino Linotype"/>
                <w:sz w:val="20"/>
                <w:szCs w:val="20"/>
              </w:rPr>
            </w:pPr>
            <w:r w:rsidRPr="00391600">
              <w:rPr>
                <w:rFonts w:ascii="Palatino Linotype" w:hAnsi="Palatino Linotype"/>
                <w:sz w:val="20"/>
                <w:szCs w:val="20"/>
              </w:rPr>
              <w:t>Internal Management Coordination</w:t>
            </w:r>
          </w:p>
        </w:tc>
        <w:tc>
          <w:tcPr>
            <w:tcW w:w="2430" w:type="dxa"/>
            <w:vAlign w:val="center"/>
          </w:tcPr>
          <w:p w:rsidRPr="00391600" w:rsidR="00930C35" w:rsidP="00DD36A7" w:rsidRDefault="00930C35" w14:paraId="3783F01B" w14:textId="77777777">
            <w:pPr>
              <w:rPr>
                <w:rFonts w:ascii="Palatino Linotype" w:hAnsi="Palatino Linotype"/>
                <w:b/>
                <w:sz w:val="20"/>
                <w:szCs w:val="20"/>
              </w:rPr>
            </w:pPr>
          </w:p>
        </w:tc>
      </w:tr>
      <w:tr w:rsidRPr="00391600" w:rsidR="00930C35" w:rsidTr="00DD36A7" w14:paraId="30C35304" w14:textId="77777777">
        <w:trPr>
          <w:trHeight w:val="331"/>
        </w:trPr>
        <w:tc>
          <w:tcPr>
            <w:tcW w:w="6925" w:type="dxa"/>
            <w:vAlign w:val="center"/>
          </w:tcPr>
          <w:p w:rsidRPr="00391600" w:rsidR="00930C35" w:rsidP="00DD36A7" w:rsidRDefault="00930C35" w14:paraId="7F032A83" w14:textId="77777777">
            <w:pPr>
              <w:rPr>
                <w:rFonts w:ascii="Palatino Linotype" w:hAnsi="Palatino Linotype"/>
                <w:sz w:val="20"/>
                <w:szCs w:val="20"/>
              </w:rPr>
            </w:pPr>
            <w:r w:rsidRPr="00391600">
              <w:rPr>
                <w:rFonts w:ascii="Palatino Linotype" w:hAnsi="Palatino Linotype"/>
                <w:sz w:val="20"/>
                <w:szCs w:val="20"/>
              </w:rPr>
              <w:t>Program and Process Coordination and Improvement</w:t>
            </w:r>
          </w:p>
        </w:tc>
        <w:tc>
          <w:tcPr>
            <w:tcW w:w="2430" w:type="dxa"/>
            <w:vAlign w:val="center"/>
          </w:tcPr>
          <w:p w:rsidRPr="00391600" w:rsidR="00930C35" w:rsidP="00DD36A7" w:rsidRDefault="00930C35" w14:paraId="3782D21C" w14:textId="77777777">
            <w:pPr>
              <w:rPr>
                <w:rFonts w:ascii="Palatino Linotype" w:hAnsi="Palatino Linotype"/>
                <w:b/>
                <w:sz w:val="20"/>
                <w:szCs w:val="20"/>
              </w:rPr>
            </w:pPr>
          </w:p>
        </w:tc>
      </w:tr>
      <w:tr w:rsidRPr="00391600" w:rsidR="00930C35" w:rsidTr="00DD36A7" w14:paraId="69BCB98C" w14:textId="77777777">
        <w:trPr>
          <w:trHeight w:val="331"/>
        </w:trPr>
        <w:tc>
          <w:tcPr>
            <w:tcW w:w="6925" w:type="dxa"/>
            <w:vAlign w:val="center"/>
          </w:tcPr>
          <w:p w:rsidRPr="00391600" w:rsidR="00930C35" w:rsidP="00DD36A7" w:rsidRDefault="00930C35" w14:paraId="505487EF" w14:textId="77777777">
            <w:pPr>
              <w:rPr>
                <w:rFonts w:ascii="Palatino Linotype" w:hAnsi="Palatino Linotype"/>
                <w:sz w:val="20"/>
                <w:szCs w:val="20"/>
              </w:rPr>
            </w:pPr>
            <w:r w:rsidRPr="00391600">
              <w:rPr>
                <w:rFonts w:ascii="Palatino Linotype" w:hAnsi="Palatino Linotype"/>
                <w:sz w:val="20"/>
                <w:szCs w:val="20"/>
              </w:rPr>
              <w:t>Administrative Activities</w:t>
            </w:r>
          </w:p>
        </w:tc>
        <w:tc>
          <w:tcPr>
            <w:tcW w:w="2430" w:type="dxa"/>
            <w:vAlign w:val="center"/>
          </w:tcPr>
          <w:p w:rsidRPr="00391600" w:rsidR="00930C35" w:rsidP="00DD36A7" w:rsidRDefault="00930C35" w14:paraId="55EFC09A" w14:textId="77777777">
            <w:pPr>
              <w:rPr>
                <w:rFonts w:ascii="Palatino Linotype" w:hAnsi="Palatino Linotype"/>
                <w:b/>
                <w:sz w:val="20"/>
                <w:szCs w:val="20"/>
              </w:rPr>
            </w:pPr>
          </w:p>
        </w:tc>
      </w:tr>
      <w:tr w:rsidRPr="00391600" w:rsidR="00930C35" w:rsidTr="00DD36A7" w14:paraId="7D19D85B" w14:textId="77777777">
        <w:trPr>
          <w:trHeight w:val="331"/>
        </w:trPr>
        <w:tc>
          <w:tcPr>
            <w:tcW w:w="6925" w:type="dxa"/>
            <w:vAlign w:val="center"/>
          </w:tcPr>
          <w:p w:rsidRPr="00391600" w:rsidR="00930C35" w:rsidP="00DD36A7" w:rsidRDefault="00930C35" w14:paraId="08271564" w14:textId="77777777">
            <w:pPr>
              <w:rPr>
                <w:rFonts w:ascii="Palatino Linotype" w:hAnsi="Palatino Linotype"/>
                <w:sz w:val="20"/>
                <w:szCs w:val="20"/>
              </w:rPr>
            </w:pPr>
            <w:r w:rsidRPr="00391600">
              <w:rPr>
                <w:rFonts w:ascii="Palatino Linotype" w:hAnsi="Palatino Linotype"/>
                <w:sz w:val="20"/>
                <w:szCs w:val="20"/>
              </w:rPr>
              <w:t>Supervision and Personnel</w:t>
            </w:r>
          </w:p>
        </w:tc>
        <w:tc>
          <w:tcPr>
            <w:tcW w:w="2430" w:type="dxa"/>
            <w:vAlign w:val="center"/>
          </w:tcPr>
          <w:p w:rsidRPr="00391600" w:rsidR="00930C35" w:rsidP="00DD36A7" w:rsidRDefault="00930C35" w14:paraId="5E6C5586" w14:textId="77777777">
            <w:pPr>
              <w:rPr>
                <w:rFonts w:ascii="Palatino Linotype" w:hAnsi="Palatino Linotype"/>
                <w:b/>
                <w:sz w:val="20"/>
                <w:szCs w:val="20"/>
              </w:rPr>
            </w:pPr>
          </w:p>
        </w:tc>
      </w:tr>
      <w:tr w:rsidRPr="00391600" w:rsidR="00930C35" w:rsidTr="00DD36A7" w14:paraId="3D9A2920" w14:textId="77777777">
        <w:trPr>
          <w:trHeight w:val="331"/>
        </w:trPr>
        <w:tc>
          <w:tcPr>
            <w:tcW w:w="6925" w:type="dxa"/>
            <w:vAlign w:val="center"/>
          </w:tcPr>
          <w:p w:rsidRPr="00391600" w:rsidR="00930C35" w:rsidP="00DD36A7" w:rsidRDefault="00930C35" w14:paraId="638E23BA" w14:textId="77777777">
            <w:pPr>
              <w:rPr>
                <w:rFonts w:ascii="Palatino Linotype" w:hAnsi="Palatino Linotype"/>
                <w:sz w:val="20"/>
                <w:szCs w:val="20"/>
              </w:rPr>
            </w:pPr>
            <w:r w:rsidRPr="00391600">
              <w:rPr>
                <w:rFonts w:ascii="Palatino Linotype" w:hAnsi="Palatino Linotype"/>
                <w:sz w:val="20"/>
                <w:szCs w:val="20"/>
              </w:rPr>
              <w:t>Training and Development</w:t>
            </w:r>
          </w:p>
        </w:tc>
        <w:tc>
          <w:tcPr>
            <w:tcW w:w="2430" w:type="dxa"/>
            <w:vAlign w:val="center"/>
          </w:tcPr>
          <w:p w:rsidRPr="00391600" w:rsidR="00930C35" w:rsidP="00DD36A7" w:rsidRDefault="00930C35" w14:paraId="5EFD7C65" w14:textId="77777777">
            <w:pPr>
              <w:rPr>
                <w:rFonts w:ascii="Palatino Linotype" w:hAnsi="Palatino Linotype"/>
                <w:b/>
                <w:sz w:val="20"/>
                <w:szCs w:val="20"/>
              </w:rPr>
            </w:pPr>
          </w:p>
        </w:tc>
      </w:tr>
      <w:tr w:rsidRPr="00391600" w:rsidR="00930C35" w:rsidTr="00DD36A7" w14:paraId="639DEE75" w14:textId="77777777">
        <w:trPr>
          <w:trHeight w:val="331"/>
        </w:trPr>
        <w:tc>
          <w:tcPr>
            <w:tcW w:w="6925" w:type="dxa"/>
            <w:vAlign w:val="center"/>
          </w:tcPr>
          <w:p w:rsidRPr="00391600" w:rsidR="00930C35" w:rsidP="00DD36A7" w:rsidRDefault="00930C35" w14:paraId="5E2882D2" w14:textId="77777777">
            <w:pPr>
              <w:rPr>
                <w:rFonts w:ascii="Palatino Linotype" w:hAnsi="Palatino Linotype"/>
                <w:b/>
                <w:sz w:val="20"/>
                <w:szCs w:val="20"/>
              </w:rPr>
            </w:pPr>
            <w:r w:rsidRPr="00391600">
              <w:rPr>
                <w:rFonts w:ascii="Palatino Linotype" w:hAnsi="Palatino Linotype"/>
                <w:b/>
                <w:sz w:val="20"/>
                <w:szCs w:val="20"/>
              </w:rPr>
              <w:t>Total</w:t>
            </w:r>
          </w:p>
        </w:tc>
        <w:tc>
          <w:tcPr>
            <w:tcW w:w="2430" w:type="dxa"/>
            <w:vAlign w:val="center"/>
          </w:tcPr>
          <w:p w:rsidRPr="00391600" w:rsidR="00930C35" w:rsidP="00DD36A7" w:rsidRDefault="00930C35" w14:paraId="532F9618" w14:textId="77777777">
            <w:pPr>
              <w:rPr>
                <w:rFonts w:ascii="Palatino Linotype" w:hAnsi="Palatino Linotype"/>
                <w:b/>
                <w:sz w:val="20"/>
                <w:szCs w:val="20"/>
              </w:rPr>
            </w:pPr>
          </w:p>
        </w:tc>
      </w:tr>
    </w:tbl>
    <w:p w:rsidR="00930C35" w:rsidP="00930C35" w:rsidRDefault="00930C35" w14:paraId="468CBD0D" w14:textId="77777777">
      <w:pPr>
        <w:spacing w:line="276" w:lineRule="auto"/>
        <w:rPr>
          <w:rFonts w:ascii="Palatino Linotype" w:hAnsi="Palatino Linotype"/>
          <w:b/>
          <w:bCs/>
        </w:rPr>
      </w:pPr>
    </w:p>
    <w:p w:rsidR="000D0BB2" w:rsidP="00930C35" w:rsidRDefault="000D0BB2" w14:paraId="726C149E" w14:textId="77777777">
      <w:pPr>
        <w:spacing w:line="276" w:lineRule="auto"/>
        <w:rPr>
          <w:rFonts w:ascii="Palatino Linotype" w:hAnsi="Palatino Linotype"/>
          <w:b/>
          <w:bCs/>
        </w:rPr>
      </w:pPr>
    </w:p>
    <w:p w:rsidR="000D0BB2" w:rsidP="00930C35" w:rsidRDefault="000D0BB2" w14:paraId="753D8447" w14:textId="77777777">
      <w:pPr>
        <w:spacing w:line="276" w:lineRule="auto"/>
        <w:rPr>
          <w:rFonts w:ascii="Palatino Linotype" w:hAnsi="Palatino Linotype"/>
          <w:b/>
          <w:bCs/>
        </w:rPr>
      </w:pPr>
    </w:p>
    <w:p w:rsidR="000D0BB2" w:rsidP="00930C35" w:rsidRDefault="000D0BB2" w14:paraId="67771212" w14:textId="77777777">
      <w:pPr>
        <w:spacing w:line="276" w:lineRule="auto"/>
        <w:rPr>
          <w:rFonts w:ascii="Palatino Linotype" w:hAnsi="Palatino Linotype"/>
          <w:b/>
          <w:bCs/>
        </w:rPr>
      </w:pPr>
    </w:p>
    <w:p w:rsidR="000D0BB2" w:rsidP="00930C35" w:rsidRDefault="000D0BB2" w14:paraId="5421D873" w14:textId="77777777">
      <w:pPr>
        <w:spacing w:line="276" w:lineRule="auto"/>
        <w:rPr>
          <w:rFonts w:ascii="Palatino Linotype" w:hAnsi="Palatino Linotype"/>
          <w:b/>
          <w:bCs/>
        </w:rPr>
      </w:pPr>
    </w:p>
    <w:p w:rsidR="000D0BB2" w:rsidP="00930C35" w:rsidRDefault="000D0BB2" w14:paraId="1F601664" w14:textId="77777777">
      <w:pPr>
        <w:spacing w:line="276" w:lineRule="auto"/>
        <w:rPr>
          <w:rFonts w:ascii="Palatino Linotype" w:hAnsi="Palatino Linotype"/>
          <w:b/>
          <w:bCs/>
        </w:rPr>
      </w:pPr>
    </w:p>
    <w:p w:rsidR="000D0BB2" w:rsidP="00930C35" w:rsidRDefault="000D0BB2" w14:paraId="104A8253" w14:textId="77777777">
      <w:pPr>
        <w:spacing w:line="276" w:lineRule="auto"/>
        <w:rPr>
          <w:rFonts w:ascii="Palatino Linotype" w:hAnsi="Palatino Linotype"/>
          <w:b/>
          <w:bCs/>
        </w:rPr>
      </w:pPr>
    </w:p>
    <w:p w:rsidR="000D0BB2" w:rsidP="00930C35" w:rsidRDefault="000D0BB2" w14:paraId="7B797E0F" w14:textId="77777777">
      <w:pPr>
        <w:spacing w:line="276" w:lineRule="auto"/>
        <w:rPr>
          <w:rFonts w:ascii="Palatino Linotype" w:hAnsi="Palatino Linotype"/>
          <w:b/>
          <w:bCs/>
        </w:rPr>
      </w:pPr>
    </w:p>
    <w:p w:rsidR="000D0BB2" w:rsidP="00930C35" w:rsidRDefault="000D0BB2" w14:paraId="58685584" w14:textId="77777777">
      <w:pPr>
        <w:spacing w:line="276" w:lineRule="auto"/>
        <w:rPr>
          <w:rFonts w:ascii="Palatino Linotype" w:hAnsi="Palatino Linotype"/>
          <w:b/>
          <w:bCs/>
        </w:rPr>
      </w:pPr>
    </w:p>
    <w:p w:rsidR="000D0BB2" w:rsidP="00930C35" w:rsidRDefault="000D0BB2" w14:paraId="35A58FFB" w14:textId="77777777">
      <w:pPr>
        <w:spacing w:line="276" w:lineRule="auto"/>
        <w:rPr>
          <w:rFonts w:ascii="Palatino Linotype" w:hAnsi="Palatino Linotype"/>
          <w:b/>
          <w:bCs/>
        </w:rPr>
        <w:sectPr w:rsidR="000D0BB2" w:rsidSect="00930C35">
          <w:pgSz w:w="12240" w:h="15840"/>
          <w:pgMar w:top="1440" w:right="1440" w:bottom="1440" w:left="1440" w:header="720" w:footer="720" w:gutter="0"/>
          <w:cols w:space="720"/>
          <w:titlePg/>
          <w:docGrid w:linePitch="360"/>
        </w:sectPr>
      </w:pPr>
    </w:p>
    <w:p w:rsidR="000D0BB2" w:rsidP="00930C35" w:rsidRDefault="000D0BB2" w14:paraId="0335EA05" w14:textId="77777777">
      <w:pPr>
        <w:spacing w:line="276" w:lineRule="auto"/>
        <w:rPr>
          <w:rFonts w:ascii="Palatino Linotype" w:hAnsi="Palatino Linotype"/>
          <w:b/>
          <w:bCs/>
        </w:rPr>
      </w:pPr>
    </w:p>
    <w:p w:rsidR="000D0BB2" w:rsidP="00930C35" w:rsidRDefault="000D0BB2" w14:paraId="5987D45F" w14:textId="77777777">
      <w:pPr>
        <w:spacing w:line="276" w:lineRule="auto"/>
        <w:rPr>
          <w:rFonts w:ascii="Palatino Linotype" w:hAnsi="Palatino Linotype"/>
          <w:b/>
          <w:bCs/>
        </w:rPr>
      </w:pPr>
    </w:p>
    <w:p w:rsidR="000D0BB2" w:rsidP="00930C35" w:rsidRDefault="000D0BB2" w14:paraId="3C6F518D" w14:textId="77777777">
      <w:pPr>
        <w:spacing w:line="276" w:lineRule="auto"/>
        <w:rPr>
          <w:rFonts w:ascii="Palatino Linotype" w:hAnsi="Palatino Linotype"/>
          <w:b/>
          <w:bCs/>
        </w:rPr>
      </w:pPr>
    </w:p>
    <w:p w:rsidR="000D0BB2" w:rsidP="000D0BB2" w:rsidRDefault="000D0BB2" w14:paraId="0ACB2860" w14:textId="77777777">
      <w:pPr>
        <w:spacing w:line="276" w:lineRule="auto"/>
        <w:jc w:val="center"/>
        <w:rPr>
          <w:rFonts w:ascii="Palatino Linotype" w:hAnsi="Palatino Linotype"/>
          <w:sz w:val="44"/>
          <w:szCs w:val="44"/>
        </w:rPr>
      </w:pPr>
    </w:p>
    <w:p w:rsidR="000D0BB2" w:rsidP="000D0BB2" w:rsidRDefault="000D0BB2" w14:paraId="48E9213A" w14:textId="77777777">
      <w:pPr>
        <w:spacing w:line="276" w:lineRule="auto"/>
        <w:jc w:val="center"/>
        <w:rPr>
          <w:rFonts w:ascii="Palatino Linotype" w:hAnsi="Palatino Linotype"/>
          <w:sz w:val="44"/>
          <w:szCs w:val="44"/>
        </w:rPr>
      </w:pPr>
    </w:p>
    <w:p w:rsidRPr="000D0BB2" w:rsidR="000D0BB2" w:rsidP="000D0BB2" w:rsidRDefault="000D0BB2" w14:paraId="16684986" w14:textId="2ED8A971">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C</w:t>
      </w:r>
    </w:p>
    <w:p w:rsidR="000D0BB2" w:rsidP="00930C35" w:rsidRDefault="000D0BB2" w14:paraId="137278C3" w14:textId="77777777">
      <w:pPr>
        <w:spacing w:line="276" w:lineRule="auto"/>
        <w:rPr>
          <w:rFonts w:ascii="Palatino Linotype" w:hAnsi="Palatino Linotype"/>
          <w:b/>
          <w:bCs/>
        </w:rPr>
      </w:pPr>
    </w:p>
    <w:p w:rsidR="000D0BB2" w:rsidP="00930C35" w:rsidRDefault="000D0BB2" w14:paraId="04240E76" w14:textId="77777777">
      <w:pPr>
        <w:spacing w:line="276" w:lineRule="auto"/>
        <w:rPr>
          <w:rFonts w:ascii="Palatino Linotype" w:hAnsi="Palatino Linotype"/>
          <w:b/>
          <w:bCs/>
        </w:rPr>
      </w:pPr>
    </w:p>
    <w:p w:rsidR="000D0BB2" w:rsidP="00930C35" w:rsidRDefault="000D0BB2" w14:paraId="4785A2F4" w14:textId="77777777">
      <w:pPr>
        <w:spacing w:line="276" w:lineRule="auto"/>
        <w:rPr>
          <w:rFonts w:ascii="Palatino Linotype" w:hAnsi="Palatino Linotype"/>
          <w:b/>
          <w:bCs/>
        </w:rPr>
      </w:pPr>
    </w:p>
    <w:p w:rsidR="000D0BB2" w:rsidP="00930C35" w:rsidRDefault="000D0BB2" w14:paraId="7EC28675" w14:textId="77777777">
      <w:pPr>
        <w:spacing w:line="276" w:lineRule="auto"/>
        <w:rPr>
          <w:rFonts w:ascii="Palatino Linotype" w:hAnsi="Palatino Linotype"/>
          <w:b/>
          <w:bCs/>
        </w:rPr>
      </w:pPr>
    </w:p>
    <w:p w:rsidRPr="00391600" w:rsidR="000D0BB2" w:rsidP="00930C35" w:rsidRDefault="000D0BB2" w14:paraId="3CD1F33E" w14:textId="77777777">
      <w:pPr>
        <w:spacing w:line="276" w:lineRule="auto"/>
        <w:rPr>
          <w:rFonts w:ascii="Palatino Linotype" w:hAnsi="Palatino Linotype"/>
          <w:b/>
          <w:bCs/>
        </w:rPr>
        <w:sectPr w:rsidRPr="00391600" w:rsidR="000D0BB2" w:rsidSect="00AA56B7">
          <w:footerReference w:type="first" r:id="rId28"/>
          <w:pgSz w:w="12240" w:h="15840"/>
          <w:pgMar w:top="1440" w:right="1440" w:bottom="1440" w:left="1440" w:header="720" w:footer="720" w:gutter="0"/>
          <w:pgNumType w:start="1"/>
          <w:cols w:space="720"/>
          <w:titlePg/>
          <w:docGrid w:linePitch="360"/>
        </w:sectPr>
      </w:pPr>
    </w:p>
    <w:p w:rsidRPr="00391600" w:rsidR="00930C35" w:rsidP="006D6FDD" w:rsidRDefault="00930C35" w14:paraId="5D6D6B36" w14:textId="618C59E4">
      <w:pPr>
        <w:spacing w:before="240" w:after="0"/>
        <w:rPr>
          <w:rFonts w:ascii="Palatino Linotype" w:hAnsi="Palatino Linotype"/>
          <w:b/>
          <w:bCs/>
        </w:rPr>
      </w:pPr>
      <w:r w:rsidRPr="00391600">
        <w:rPr>
          <w:rFonts w:ascii="Palatino Linotype" w:hAnsi="Palatino Linotype"/>
          <w:b/>
          <w:bCs/>
        </w:rPr>
        <w:lastRenderedPageBreak/>
        <w:t xml:space="preserve">APPENDIX </w:t>
      </w:r>
      <w:r w:rsidRPr="00391600" w:rsidR="000E0EBD">
        <w:rPr>
          <w:rFonts w:ascii="Palatino Linotype" w:hAnsi="Palatino Linotype"/>
          <w:b/>
          <w:bCs/>
          <w:color w:val="000000" w:themeColor="text1"/>
        </w:rPr>
        <w:t>C</w:t>
      </w:r>
      <w:r w:rsidRPr="00391600">
        <w:rPr>
          <w:rFonts w:ascii="Palatino Linotype" w:hAnsi="Palatino Linotype"/>
          <w:b/>
          <w:bCs/>
        </w:rPr>
        <w:t xml:space="preserve">: Commission Guidance on Gas RD&amp;D Initiative Criteria </w:t>
      </w:r>
    </w:p>
    <w:p w:rsidRPr="00391600" w:rsidR="006D6FDD" w:rsidP="006D6FDD" w:rsidRDefault="006D6FDD" w14:paraId="79E9E326" w14:textId="0E1E0922">
      <w:pPr>
        <w:rPr>
          <w:rFonts w:ascii="Palatino Linotype" w:hAnsi="Palatino Linotype"/>
          <w:i/>
          <w:iCs/>
          <w:sz w:val="20"/>
          <w:szCs w:val="20"/>
        </w:rPr>
      </w:pPr>
      <w:r w:rsidRPr="00391600">
        <w:rPr>
          <w:rFonts w:ascii="Palatino Linotype" w:hAnsi="Palatino Linotype"/>
          <w:i/>
          <w:iCs/>
          <w:sz w:val="20"/>
          <w:szCs w:val="20"/>
        </w:rPr>
        <w:t>Commission orders in bold pertain to the CEC.</w:t>
      </w:r>
    </w:p>
    <w:tbl>
      <w:tblPr>
        <w:tblStyle w:val="TableGrid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35"/>
        <w:gridCol w:w="3415"/>
      </w:tblGrid>
      <w:tr w:rsidRPr="00391600" w:rsidR="00930C35" w:rsidTr="6FAFEDE3" w14:paraId="31B9B1E3" w14:textId="77777777">
        <w:tc>
          <w:tcPr>
            <w:tcW w:w="5935" w:type="dxa"/>
          </w:tcPr>
          <w:p w:rsidRPr="00391600" w:rsidR="00930C35" w:rsidP="00BB366A" w:rsidRDefault="00930C35" w14:paraId="07D7AE1E" w14:textId="5BEE5356">
            <w:pPr>
              <w:rPr>
                <w:rFonts w:ascii="Palatino Linotype" w:hAnsi="Palatino Linotype"/>
                <w:b/>
                <w:sz w:val="22"/>
                <w:szCs w:val="22"/>
              </w:rPr>
            </w:pPr>
            <w:r w:rsidRPr="00391600">
              <w:rPr>
                <w:rFonts w:ascii="Palatino Linotype" w:hAnsi="Palatino Linotype"/>
                <w:b/>
                <w:sz w:val="22"/>
                <w:szCs w:val="22"/>
              </w:rPr>
              <w:t>Commission Guidance</w:t>
            </w:r>
          </w:p>
        </w:tc>
        <w:tc>
          <w:tcPr>
            <w:tcW w:w="3415" w:type="dxa"/>
            <w:vAlign w:val="center"/>
          </w:tcPr>
          <w:p w:rsidRPr="00391600" w:rsidR="00930C35" w:rsidP="00BB366A" w:rsidRDefault="00930C35" w14:paraId="783F5C02" w14:textId="77777777">
            <w:pPr>
              <w:rPr>
                <w:rFonts w:ascii="Palatino Linotype" w:hAnsi="Palatino Linotype"/>
                <w:b/>
                <w:sz w:val="22"/>
                <w:szCs w:val="22"/>
              </w:rPr>
            </w:pPr>
            <w:r w:rsidRPr="00391600">
              <w:rPr>
                <w:rFonts w:ascii="Palatino Linotype" w:hAnsi="Palatino Linotype"/>
                <w:b/>
                <w:sz w:val="22"/>
                <w:szCs w:val="22"/>
              </w:rPr>
              <w:t xml:space="preserve">Initiative Criteria </w:t>
            </w:r>
          </w:p>
        </w:tc>
      </w:tr>
      <w:tr w:rsidRPr="00391600" w:rsidR="00930C35" w:rsidTr="6FAFEDE3" w14:paraId="3FA52BF3" w14:textId="77777777">
        <w:tc>
          <w:tcPr>
            <w:tcW w:w="5935" w:type="dxa"/>
          </w:tcPr>
          <w:p w:rsidRPr="00391600" w:rsidR="00930C35" w:rsidP="00BB366A" w:rsidRDefault="00930C35" w14:paraId="3BEA205D" w14:textId="77777777">
            <w:pPr>
              <w:rPr>
                <w:rFonts w:ascii="Palatino Linotype" w:hAnsi="Palatino Linotype"/>
                <w:sz w:val="22"/>
                <w:szCs w:val="22"/>
              </w:rPr>
            </w:pPr>
            <w:hyperlink w:history="1" r:id="rId29">
              <w:r w:rsidRPr="00391600">
                <w:rPr>
                  <w:rFonts w:ascii="Palatino Linotype" w:hAnsi="Palatino Linotype" w:eastAsia="Century Gothic" w:cs="Century Gothic"/>
                  <w:color w:val="467886" w:themeColor="hyperlink"/>
                  <w:sz w:val="22"/>
                  <w:szCs w:val="22"/>
                  <w:u w:val="single"/>
                </w:rPr>
                <w:t>D.19-09-051</w:t>
              </w:r>
            </w:hyperlink>
            <w:r w:rsidRPr="00391600">
              <w:rPr>
                <w:rFonts w:ascii="Palatino Linotype" w:hAnsi="Palatino Linotype"/>
                <w:sz w:val="22"/>
                <w:szCs w:val="22"/>
              </w:rPr>
              <w:t xml:space="preserve"> at p. 379.</w:t>
            </w:r>
          </w:p>
          <w:p w:rsidRPr="00391600" w:rsidR="00930C35" w:rsidP="00BB366A" w:rsidRDefault="00930C35" w14:paraId="1FE873E4" w14:textId="77777777">
            <w:pPr>
              <w:rPr>
                <w:rFonts w:ascii="Palatino Linotype" w:hAnsi="Palatino Linotype"/>
                <w:b/>
                <w:bCs w:val="0"/>
                <w:sz w:val="22"/>
                <w:szCs w:val="22"/>
              </w:rPr>
            </w:pPr>
            <w:hyperlink w:history="1" r:id="rId30">
              <w:r w:rsidRPr="00391600">
                <w:rPr>
                  <w:rStyle w:val="Hyperlink"/>
                  <w:rFonts w:ascii="Palatino Linotype" w:hAnsi="Palatino Linotype"/>
                  <w:b/>
                  <w:sz w:val="22"/>
                  <w:szCs w:val="22"/>
                </w:rPr>
                <w:t>Resolution G-3571</w:t>
              </w:r>
            </w:hyperlink>
            <w:r w:rsidRPr="00391600">
              <w:rPr>
                <w:rFonts w:ascii="Palatino Linotype" w:hAnsi="Palatino Linotype"/>
                <w:b/>
                <w:sz w:val="22"/>
                <w:szCs w:val="22"/>
              </w:rPr>
              <w:t xml:space="preserve"> (2020) at OP 5a.</w:t>
            </w:r>
          </w:p>
          <w:p w:rsidRPr="00391600" w:rsidR="00930C35" w:rsidP="00BB366A" w:rsidRDefault="00930C35" w14:paraId="33B2BF15" w14:textId="77777777">
            <w:pPr>
              <w:rPr>
                <w:rFonts w:ascii="Palatino Linotype" w:hAnsi="Palatino Linotype"/>
                <w:sz w:val="22"/>
                <w:szCs w:val="22"/>
              </w:rPr>
            </w:pPr>
            <w:hyperlink w:tgtFrame="_blank" w:history="1" r:id="rId31">
              <w:r w:rsidRPr="00391600">
                <w:rPr>
                  <w:rFonts w:ascii="Palatino Linotype" w:hAnsi="Palatino Linotype"/>
                  <w:color w:val="467886" w:themeColor="hyperlink"/>
                  <w:sz w:val="22"/>
                  <w:szCs w:val="22"/>
                  <w:u w:val="single"/>
                </w:rPr>
                <w:t>Resolution G-3601</w:t>
              </w:r>
            </w:hyperlink>
            <w:r w:rsidRPr="00391600">
              <w:rPr>
                <w:rFonts w:ascii="Palatino Linotype" w:hAnsi="Palatino Linotype"/>
                <w:sz w:val="22"/>
                <w:szCs w:val="22"/>
              </w:rPr>
              <w:t xml:space="preserve"> (2023) at OP 6a.</w:t>
            </w:r>
          </w:p>
          <w:p w:rsidRPr="00391600" w:rsidR="00930C35" w:rsidP="00BB366A" w:rsidRDefault="00930C35" w14:paraId="6B594684" w14:textId="7407081C">
            <w:pPr>
              <w:rPr>
                <w:rFonts w:ascii="Palatino Linotype" w:hAnsi="Palatino Linotype"/>
                <w:b/>
                <w:bCs w:val="0"/>
                <w:sz w:val="22"/>
                <w:szCs w:val="22"/>
              </w:rPr>
            </w:pPr>
            <w:hyperlink w:tgtFrame="_blank" w:history="1" r:id="rId32">
              <w:r w:rsidRPr="00391600">
                <w:rPr>
                  <w:rFonts w:ascii="Palatino Linotype" w:hAnsi="Palatino Linotype"/>
                  <w:b/>
                  <w:color w:val="467886" w:themeColor="hyperlink"/>
                  <w:sz w:val="22"/>
                  <w:szCs w:val="22"/>
                  <w:u w:val="single"/>
                </w:rPr>
                <w:t>Resolution G-3603</w:t>
              </w:r>
            </w:hyperlink>
            <w:r w:rsidRPr="00391600">
              <w:rPr>
                <w:rFonts w:ascii="Palatino Linotype" w:hAnsi="Palatino Linotype"/>
                <w:b/>
                <w:sz w:val="22"/>
                <w:szCs w:val="22"/>
              </w:rPr>
              <w:t xml:space="preserve"> (2024) at OP </w:t>
            </w:r>
            <w:r w:rsidRPr="00391600" w:rsidR="00D57C46">
              <w:rPr>
                <w:rFonts w:ascii="Palatino Linotype" w:hAnsi="Palatino Linotype"/>
                <w:b/>
                <w:sz w:val="22"/>
                <w:szCs w:val="22"/>
              </w:rPr>
              <w:t>5</w:t>
            </w:r>
            <w:r w:rsidRPr="00391600">
              <w:rPr>
                <w:rFonts w:ascii="Palatino Linotype" w:hAnsi="Palatino Linotype"/>
                <w:b/>
                <w:sz w:val="22"/>
                <w:szCs w:val="22"/>
              </w:rPr>
              <w:t>.</w:t>
            </w:r>
          </w:p>
        </w:tc>
        <w:tc>
          <w:tcPr>
            <w:tcW w:w="3415" w:type="dxa"/>
          </w:tcPr>
          <w:p w:rsidRPr="00391600" w:rsidR="00930C35" w:rsidP="00BB366A" w:rsidRDefault="00930C35" w14:paraId="5AF33781" w14:textId="17659EAD">
            <w:pPr>
              <w:rPr>
                <w:rFonts w:ascii="Palatino Linotype" w:hAnsi="Palatino Linotype"/>
                <w:sz w:val="22"/>
                <w:szCs w:val="22"/>
              </w:rPr>
            </w:pPr>
            <w:r w:rsidRPr="00391600">
              <w:rPr>
                <w:rFonts w:ascii="Palatino Linotype" w:hAnsi="Palatino Linotype"/>
                <w:sz w:val="22"/>
                <w:szCs w:val="22"/>
              </w:rPr>
              <w:t xml:space="preserve">1. </w:t>
            </w:r>
            <w:r w:rsidRPr="00391600">
              <w:rPr>
                <w:rFonts w:ascii="Palatino Linotype" w:hAnsi="Palatino Linotype"/>
                <w:b/>
                <w:sz w:val="22"/>
                <w:szCs w:val="22"/>
              </w:rPr>
              <w:t>Policy Priority:</w:t>
            </w:r>
            <w:r w:rsidRPr="00391600">
              <w:rPr>
                <w:rFonts w:ascii="Palatino Linotype" w:hAnsi="Palatino Linotype"/>
                <w:sz w:val="22"/>
                <w:szCs w:val="22"/>
              </w:rPr>
              <w:t xml:space="preserve"> </w:t>
            </w:r>
            <w:r w:rsidRPr="00391600" w:rsidR="00A33A7B">
              <w:rPr>
                <w:rFonts w:ascii="Palatino Linotype" w:hAnsi="Palatino Linotype"/>
                <w:sz w:val="22"/>
                <w:szCs w:val="22"/>
              </w:rPr>
              <w:t xml:space="preserve">Alignment with and prioritization of critical gaps and needs identified in specific CPUC policies and proceedings, which support State goals, informed by consultation with CPUC staff on </w:t>
            </w:r>
            <w:proofErr w:type="gramStart"/>
            <w:r w:rsidRPr="00391600" w:rsidR="00A33A7B">
              <w:rPr>
                <w:rFonts w:ascii="Palatino Linotype" w:hAnsi="Palatino Linotype"/>
                <w:sz w:val="22"/>
                <w:szCs w:val="22"/>
              </w:rPr>
              <w:t>targeted</w:t>
            </w:r>
            <w:proofErr w:type="gramEnd"/>
            <w:r w:rsidRPr="00391600" w:rsidR="00A33A7B">
              <w:rPr>
                <w:rFonts w:ascii="Palatino Linotype" w:hAnsi="Palatino Linotype"/>
                <w:sz w:val="22"/>
                <w:szCs w:val="22"/>
              </w:rPr>
              <w:t xml:space="preserve"> policy objectives.</w:t>
            </w:r>
          </w:p>
        </w:tc>
      </w:tr>
      <w:tr w:rsidRPr="00391600" w:rsidR="00930C35" w:rsidTr="6FAFEDE3" w14:paraId="44DBAFD9" w14:textId="77777777">
        <w:tc>
          <w:tcPr>
            <w:tcW w:w="5935" w:type="dxa"/>
          </w:tcPr>
          <w:p w:rsidRPr="00391600" w:rsidR="00930C35" w:rsidP="00BB366A" w:rsidRDefault="00930C35" w14:paraId="3E93EC2F" w14:textId="0A27EF91">
            <w:pPr>
              <w:rPr>
                <w:rFonts w:ascii="Palatino Linotype" w:hAnsi="Palatino Linotype"/>
                <w:sz w:val="22"/>
                <w:szCs w:val="22"/>
              </w:rPr>
            </w:pPr>
            <w:r w:rsidRPr="00391600">
              <w:rPr>
                <w:rFonts w:ascii="Palatino Linotype" w:hAnsi="Palatino Linotype"/>
                <w:sz w:val="22"/>
                <w:szCs w:val="22"/>
              </w:rPr>
              <w:t>Public Utilities Code Section 740.1 (d)</w:t>
            </w:r>
          </w:p>
          <w:p w:rsidRPr="00391600" w:rsidR="00930C35" w:rsidP="00BB366A" w:rsidRDefault="00930C35" w14:paraId="4BD897EC" w14:textId="77777777">
            <w:pPr>
              <w:rPr>
                <w:rFonts w:ascii="Palatino Linotype" w:hAnsi="Palatino Linotype"/>
                <w:sz w:val="22"/>
                <w:szCs w:val="22"/>
              </w:rPr>
            </w:pPr>
            <w:hyperlink w:tgtFrame="_blank" w:history="1" r:id="rId33">
              <w:r w:rsidRPr="00391600">
                <w:rPr>
                  <w:rFonts w:ascii="Palatino Linotype" w:hAnsi="Palatino Linotype"/>
                  <w:color w:val="467886" w:themeColor="hyperlink"/>
                  <w:sz w:val="22"/>
                  <w:szCs w:val="22"/>
                  <w:u w:val="single"/>
                </w:rPr>
                <w:t>Resolution G-3586</w:t>
              </w:r>
            </w:hyperlink>
            <w:r w:rsidRPr="00391600">
              <w:rPr>
                <w:rFonts w:ascii="Palatino Linotype" w:hAnsi="Palatino Linotype"/>
                <w:sz w:val="22"/>
                <w:szCs w:val="22"/>
              </w:rPr>
              <w:t xml:space="preserve"> (2022) at OP 5.</w:t>
            </w:r>
          </w:p>
          <w:p w:rsidRPr="00391600" w:rsidR="00930C35" w:rsidP="00BB366A" w:rsidRDefault="00930C35" w14:paraId="4F491233" w14:textId="28D209AC">
            <w:pPr>
              <w:rPr>
                <w:rFonts w:ascii="Palatino Linotype" w:hAnsi="Palatino Linotype"/>
                <w:b/>
                <w:bCs w:val="0"/>
                <w:sz w:val="22"/>
                <w:szCs w:val="22"/>
              </w:rPr>
            </w:pPr>
            <w:hyperlink w:tgtFrame="_blank" w:history="1" r:id="rId34">
              <w:r w:rsidRPr="00391600">
                <w:rPr>
                  <w:rFonts w:ascii="Palatino Linotype" w:hAnsi="Palatino Linotype"/>
                  <w:b/>
                  <w:color w:val="467886" w:themeColor="hyperlink"/>
                  <w:sz w:val="22"/>
                  <w:szCs w:val="22"/>
                  <w:u w:val="single"/>
                </w:rPr>
                <w:t>Resolution G-3592</w:t>
              </w:r>
            </w:hyperlink>
            <w:r w:rsidRPr="00391600">
              <w:rPr>
                <w:rFonts w:ascii="Palatino Linotype" w:hAnsi="Palatino Linotype"/>
                <w:b/>
                <w:sz w:val="22"/>
                <w:szCs w:val="22"/>
              </w:rPr>
              <w:t xml:space="preserve"> (2023) at OP 5</w:t>
            </w:r>
            <w:r w:rsidRPr="00391600" w:rsidR="00FE4962">
              <w:rPr>
                <w:rFonts w:ascii="Palatino Linotype" w:hAnsi="Palatino Linotype"/>
                <w:b/>
                <w:sz w:val="22"/>
                <w:szCs w:val="22"/>
              </w:rPr>
              <w:t>d</w:t>
            </w:r>
            <w:r w:rsidRPr="00391600">
              <w:rPr>
                <w:rFonts w:ascii="Palatino Linotype" w:hAnsi="Palatino Linotype"/>
                <w:b/>
                <w:sz w:val="22"/>
                <w:szCs w:val="22"/>
              </w:rPr>
              <w:t>.</w:t>
            </w:r>
          </w:p>
          <w:p w:rsidRPr="00391600" w:rsidR="00930C35" w:rsidP="00BB366A" w:rsidRDefault="00930C35" w14:paraId="414C03B9" w14:textId="77777777">
            <w:pPr>
              <w:rPr>
                <w:rFonts w:ascii="Palatino Linotype" w:hAnsi="Palatino Linotype"/>
                <w:sz w:val="22"/>
                <w:szCs w:val="22"/>
              </w:rPr>
            </w:pPr>
            <w:hyperlink w:tgtFrame="_blank" w:history="1" r:id="rId35">
              <w:r w:rsidRPr="00391600">
                <w:rPr>
                  <w:rFonts w:ascii="Palatino Linotype" w:hAnsi="Palatino Linotype"/>
                  <w:color w:val="467886" w:themeColor="hyperlink"/>
                  <w:sz w:val="22"/>
                  <w:szCs w:val="22"/>
                  <w:u w:val="single"/>
                </w:rPr>
                <w:t>Resolution G-3601</w:t>
              </w:r>
            </w:hyperlink>
            <w:r w:rsidRPr="00391600">
              <w:rPr>
                <w:rFonts w:ascii="Palatino Linotype" w:hAnsi="Palatino Linotype"/>
                <w:sz w:val="22"/>
                <w:szCs w:val="22"/>
              </w:rPr>
              <w:t xml:space="preserve"> (2023) at OP 6a &amp; 6i.</w:t>
            </w:r>
          </w:p>
          <w:p w:rsidRPr="00391600" w:rsidR="00930C35" w:rsidP="00BB366A" w:rsidRDefault="00930C35" w14:paraId="1BC8DF76" w14:textId="77777777">
            <w:pPr>
              <w:rPr>
                <w:rFonts w:ascii="Palatino Linotype" w:hAnsi="Palatino Linotype"/>
                <w:b/>
                <w:bCs w:val="0"/>
                <w:sz w:val="22"/>
                <w:szCs w:val="22"/>
              </w:rPr>
            </w:pPr>
            <w:hyperlink w:tgtFrame="_blank" w:history="1" r:id="rId36">
              <w:r w:rsidRPr="00391600">
                <w:rPr>
                  <w:rFonts w:ascii="Palatino Linotype" w:hAnsi="Palatino Linotype"/>
                  <w:b/>
                  <w:color w:val="467886" w:themeColor="hyperlink"/>
                  <w:sz w:val="22"/>
                  <w:szCs w:val="22"/>
                  <w:u w:val="single"/>
                </w:rPr>
                <w:t>Resolution G-3603</w:t>
              </w:r>
            </w:hyperlink>
            <w:r w:rsidRPr="00391600">
              <w:rPr>
                <w:rFonts w:ascii="Palatino Linotype" w:hAnsi="Palatino Linotype"/>
                <w:b/>
                <w:sz w:val="22"/>
                <w:szCs w:val="22"/>
              </w:rPr>
              <w:t xml:space="preserve"> (2024) at OP 4.</w:t>
            </w:r>
          </w:p>
          <w:p w:rsidRPr="00391600" w:rsidR="00930C35" w:rsidP="00BB366A" w:rsidRDefault="00930C35" w14:paraId="66CBE7E4" w14:textId="77777777">
            <w:pPr>
              <w:rPr>
                <w:rFonts w:ascii="Palatino Linotype" w:hAnsi="Palatino Linotype"/>
                <w:sz w:val="22"/>
                <w:szCs w:val="22"/>
              </w:rPr>
            </w:pPr>
            <w:hyperlink w:tgtFrame="_blank" w:history="1" r:id="rId37">
              <w:r w:rsidRPr="00391600">
                <w:rPr>
                  <w:rFonts w:ascii="Palatino Linotype" w:hAnsi="Palatino Linotype"/>
                  <w:color w:val="467886" w:themeColor="hyperlink"/>
                  <w:sz w:val="22"/>
                  <w:szCs w:val="22"/>
                  <w:u w:val="single"/>
                </w:rPr>
                <w:t>D.24-12-074</w:t>
              </w:r>
            </w:hyperlink>
            <w:r w:rsidRPr="00391600">
              <w:rPr>
                <w:rFonts w:ascii="Palatino Linotype" w:hAnsi="Palatino Linotype"/>
                <w:sz w:val="22"/>
                <w:szCs w:val="22"/>
              </w:rPr>
              <w:t xml:space="preserve"> at p. 327.</w:t>
            </w:r>
          </w:p>
          <w:p w:rsidRPr="00391600" w:rsidR="00C97EBE" w:rsidP="00C97EBE" w:rsidRDefault="00C97EBE" w14:paraId="06DBD7BF" w14:textId="133DB33F">
            <w:pPr>
              <w:rPr>
                <w:rFonts w:ascii="Palatino Linotype" w:hAnsi="Palatino Linotype"/>
                <w:sz w:val="22"/>
                <w:szCs w:val="22"/>
              </w:rPr>
            </w:pPr>
            <w:r w:rsidRPr="00391600">
              <w:rPr>
                <w:rFonts w:ascii="Palatino Linotype" w:hAnsi="Palatino Linotype"/>
                <w:sz w:val="22"/>
                <w:szCs w:val="22"/>
              </w:rPr>
              <w:t xml:space="preserve">Consistent with: </w:t>
            </w:r>
            <w:hyperlink w:history="1" r:id="rId38">
              <w:r w:rsidRPr="00391600">
                <w:rPr>
                  <w:rFonts w:ascii="Palatino Linotype" w:hAnsi="Palatino Linotype"/>
                  <w:color w:val="467886" w:themeColor="hyperlink"/>
                  <w:sz w:val="22"/>
                  <w:szCs w:val="22"/>
                  <w:u w:val="single"/>
                </w:rPr>
                <w:t>D.23-04-042</w:t>
              </w:r>
            </w:hyperlink>
            <w:r w:rsidRPr="00391600">
              <w:rPr>
                <w:rFonts w:ascii="Palatino Linotype" w:hAnsi="Palatino Linotype"/>
                <w:sz w:val="22"/>
                <w:szCs w:val="22"/>
              </w:rPr>
              <w:t xml:space="preserve"> at Appendix A.</w:t>
            </w:r>
            <w:r w:rsidRPr="00391600" w:rsidR="000C1DCF">
              <w:rPr>
                <w:rFonts w:ascii="Palatino Linotype" w:hAnsi="Palatino Linotype"/>
                <w:sz w:val="22"/>
                <w:szCs w:val="22"/>
              </w:rPr>
              <w:t xml:space="preserve"> See Resolution G-3622 at Appendix D: EPIC Foundational Principles for the Development of a Uniform Impact Analysis Framework.</w:t>
            </w:r>
          </w:p>
          <w:p w:rsidRPr="00391600" w:rsidR="00C97EBE" w:rsidP="00BB366A" w:rsidRDefault="00C97EBE" w14:paraId="12AF142B" w14:textId="77777777">
            <w:pPr>
              <w:rPr>
                <w:rFonts w:ascii="Palatino Linotype" w:hAnsi="Palatino Linotype"/>
                <w:strike/>
                <w:sz w:val="22"/>
                <w:szCs w:val="22"/>
              </w:rPr>
            </w:pPr>
          </w:p>
          <w:p w:rsidRPr="00391600" w:rsidR="00C97EBE" w:rsidP="00BB366A" w:rsidRDefault="00C97EBE" w14:paraId="7690CC8F" w14:textId="272FD78D">
            <w:pPr>
              <w:rPr>
                <w:rFonts w:ascii="Palatino Linotype" w:hAnsi="Palatino Linotype"/>
                <w:strike/>
              </w:rPr>
            </w:pPr>
          </w:p>
        </w:tc>
        <w:tc>
          <w:tcPr>
            <w:tcW w:w="3415" w:type="dxa"/>
          </w:tcPr>
          <w:p w:rsidRPr="00391600" w:rsidR="00930C35" w:rsidP="00BB366A" w:rsidRDefault="00930C35" w14:paraId="2C0487D5" w14:textId="77777777">
            <w:pPr>
              <w:rPr>
                <w:rFonts w:ascii="Palatino Linotype" w:hAnsi="Palatino Linotype"/>
                <w:color w:val="000000" w:themeColor="text1"/>
                <w:sz w:val="22"/>
                <w:szCs w:val="22"/>
              </w:rPr>
            </w:pPr>
            <w:r w:rsidRPr="00391600">
              <w:rPr>
                <w:rFonts w:ascii="Palatino Linotype" w:hAnsi="Palatino Linotype"/>
                <w:color w:val="000000" w:themeColor="text1"/>
                <w:sz w:val="22"/>
                <w:szCs w:val="22"/>
              </w:rPr>
              <w:t xml:space="preserve">2. </w:t>
            </w:r>
            <w:r w:rsidRPr="00391600">
              <w:rPr>
                <w:rFonts w:ascii="Palatino Linotype" w:hAnsi="Palatino Linotype"/>
                <w:b/>
                <w:color w:val="000000" w:themeColor="text1"/>
                <w:sz w:val="22"/>
                <w:szCs w:val="22"/>
              </w:rPr>
              <w:t xml:space="preserve">Identified Need: </w:t>
            </w:r>
            <w:r w:rsidRPr="00391600">
              <w:rPr>
                <w:rFonts w:ascii="Palatino Linotype" w:hAnsi="Palatino Linotype"/>
                <w:color w:val="000000" w:themeColor="text1"/>
                <w:sz w:val="22"/>
                <w:szCs w:val="22"/>
              </w:rPr>
              <w:t>Innovation and differentiation from existing RD&amp;D activities to support complementary rather than duplicative efforts, informed by specific consultation with other Gas RD&amp;D Administrators. Demonstrate that the Initiative will leverage existing progress while providing distinct additional value.</w:t>
            </w:r>
          </w:p>
        </w:tc>
      </w:tr>
      <w:tr w:rsidRPr="00391600" w:rsidR="00930C35" w:rsidTr="6FAFEDE3" w14:paraId="1B43F145" w14:textId="77777777">
        <w:tc>
          <w:tcPr>
            <w:tcW w:w="5935" w:type="dxa"/>
          </w:tcPr>
          <w:p w:rsidRPr="00391600" w:rsidR="00930C35" w:rsidP="00BB366A" w:rsidRDefault="00930C35" w14:paraId="3AF5FDE3" w14:textId="77777777">
            <w:pPr>
              <w:rPr>
                <w:rFonts w:ascii="Palatino Linotype" w:hAnsi="Palatino Linotype"/>
                <w:sz w:val="22"/>
                <w:szCs w:val="22"/>
              </w:rPr>
            </w:pPr>
            <w:hyperlink w:history="1" r:id="rId39">
              <w:r w:rsidRPr="00391600">
                <w:rPr>
                  <w:rFonts w:ascii="Palatino Linotype" w:hAnsi="Palatino Linotype"/>
                  <w:color w:val="467886" w:themeColor="hyperlink"/>
                  <w:sz w:val="22"/>
                  <w:szCs w:val="22"/>
                  <w:u w:val="single"/>
                </w:rPr>
                <w:t>Resolution G-</w:t>
              </w:r>
              <w:r w:rsidRPr="00391600">
                <w:rPr>
                  <w:rFonts w:ascii="Palatino Linotype" w:hAnsi="Palatino Linotype" w:cs="Arial"/>
                  <w:color w:val="467886" w:themeColor="hyperlink"/>
                  <w:sz w:val="22"/>
                  <w:szCs w:val="22"/>
                  <w:u w:val="single"/>
                </w:rPr>
                <w:t>3573</w:t>
              </w:r>
            </w:hyperlink>
            <w:r w:rsidRPr="00391600">
              <w:rPr>
                <w:rFonts w:ascii="Palatino Linotype" w:hAnsi="Palatino Linotype"/>
                <w:sz w:val="22"/>
                <w:szCs w:val="22"/>
              </w:rPr>
              <w:t xml:space="preserve"> (2021) at OP 3.</w:t>
            </w:r>
          </w:p>
          <w:p w:rsidRPr="00391600" w:rsidR="00930C35" w:rsidP="00BB366A" w:rsidRDefault="00930C35" w14:paraId="0A19B014" w14:textId="77777777">
            <w:pPr>
              <w:rPr>
                <w:rFonts w:ascii="Palatino Linotype" w:hAnsi="Palatino Linotype"/>
                <w:sz w:val="22"/>
                <w:szCs w:val="22"/>
              </w:rPr>
            </w:pPr>
            <w:hyperlink w:tgtFrame="_blank" w:history="1" r:id="rId40">
              <w:r w:rsidRPr="00391600">
                <w:rPr>
                  <w:rFonts w:ascii="Palatino Linotype" w:hAnsi="Palatino Linotype"/>
                  <w:color w:val="467886" w:themeColor="hyperlink"/>
                  <w:sz w:val="22"/>
                  <w:szCs w:val="22"/>
                  <w:u w:val="single"/>
                </w:rPr>
                <w:t>Resolution G-3601</w:t>
              </w:r>
            </w:hyperlink>
            <w:r w:rsidRPr="00391600">
              <w:rPr>
                <w:rFonts w:ascii="Palatino Linotype" w:hAnsi="Palatino Linotype"/>
                <w:sz w:val="22"/>
                <w:szCs w:val="22"/>
              </w:rPr>
              <w:t xml:space="preserve"> (2023) at OP 6c.</w:t>
            </w:r>
          </w:p>
          <w:p w:rsidRPr="00391600" w:rsidR="00930C35" w:rsidP="00BB366A" w:rsidRDefault="00B81057" w14:paraId="1684B51A" w14:textId="0AD16027">
            <w:pPr>
              <w:rPr>
                <w:rFonts w:ascii="Palatino Linotype" w:hAnsi="Palatino Linotype"/>
              </w:rPr>
            </w:pPr>
            <w:r w:rsidRPr="00391600">
              <w:rPr>
                <w:rFonts w:ascii="Palatino Linotype" w:hAnsi="Palatino Linotype"/>
                <w:sz w:val="22"/>
                <w:szCs w:val="22"/>
              </w:rPr>
              <w:t xml:space="preserve">Consistent with: </w:t>
            </w:r>
            <w:hyperlink w:history="1" r:id="rId41">
              <w:r w:rsidRPr="00391600" w:rsidR="00930C35">
                <w:rPr>
                  <w:rFonts w:ascii="Palatino Linotype" w:hAnsi="Palatino Linotype"/>
                  <w:color w:val="467886" w:themeColor="hyperlink"/>
                  <w:sz w:val="22"/>
                  <w:szCs w:val="22"/>
                  <w:u w:val="single"/>
                </w:rPr>
                <w:t>D.23-04-042</w:t>
              </w:r>
            </w:hyperlink>
            <w:r w:rsidRPr="00391600" w:rsidR="00930C35">
              <w:rPr>
                <w:rFonts w:ascii="Palatino Linotype" w:hAnsi="Palatino Linotype"/>
                <w:sz w:val="22"/>
                <w:szCs w:val="22"/>
              </w:rPr>
              <w:t xml:space="preserve"> at Appendix A.</w:t>
            </w:r>
          </w:p>
        </w:tc>
        <w:tc>
          <w:tcPr>
            <w:tcW w:w="3415" w:type="dxa"/>
          </w:tcPr>
          <w:p w:rsidRPr="00391600" w:rsidR="00930C35" w:rsidP="00BB366A" w:rsidRDefault="00930C35" w14:paraId="7C246502" w14:textId="77777777">
            <w:pPr>
              <w:rPr>
                <w:rFonts w:ascii="Palatino Linotype" w:hAnsi="Palatino Linotype"/>
                <w:sz w:val="22"/>
                <w:szCs w:val="22"/>
              </w:rPr>
            </w:pPr>
            <w:r w:rsidRPr="00391600">
              <w:rPr>
                <w:rFonts w:ascii="Palatino Linotype" w:hAnsi="Palatino Linotype"/>
                <w:sz w:val="22"/>
                <w:szCs w:val="22"/>
              </w:rPr>
              <w:t xml:space="preserve">3. </w:t>
            </w:r>
            <w:r w:rsidRPr="00391600">
              <w:rPr>
                <w:rFonts w:ascii="Palatino Linotype" w:hAnsi="Palatino Linotype"/>
                <w:b/>
                <w:sz w:val="22"/>
                <w:szCs w:val="22"/>
              </w:rPr>
              <w:t>Proposed Solution</w:t>
            </w:r>
            <w:r w:rsidRPr="00391600">
              <w:rPr>
                <w:rFonts w:ascii="Palatino Linotype" w:hAnsi="Palatino Linotype"/>
                <w:sz w:val="22"/>
                <w:szCs w:val="22"/>
              </w:rPr>
              <w:t xml:space="preserve">: </w:t>
            </w:r>
            <w:r w:rsidRPr="00391600">
              <w:rPr>
                <w:rFonts w:ascii="Palatino Linotype" w:hAnsi="Palatino Linotype"/>
                <w:color w:val="000000" w:themeColor="text1"/>
                <w:sz w:val="22"/>
                <w:szCs w:val="22"/>
              </w:rPr>
              <w:t xml:space="preserve">Describe Research Topics, anticipated near-term project outputs commensurate with the proposed funding level, and </w:t>
            </w:r>
            <w:r w:rsidRPr="00391600">
              <w:rPr>
                <w:rFonts w:ascii="Palatino Linotype" w:hAnsi="Palatino Linotype" w:eastAsia="Century Gothic" w:cs="Century Gothic"/>
                <w:color w:val="000000" w:themeColor="text1"/>
                <w:sz w:val="22"/>
                <w:szCs w:val="22"/>
              </w:rPr>
              <w:t>intended pathways to scale, commercialize, and otherwise utilize results from RD&amp;D activities to promote technology transfer and market facilitation.</w:t>
            </w:r>
          </w:p>
        </w:tc>
      </w:tr>
      <w:tr w:rsidRPr="00391600" w:rsidR="00930C35" w:rsidTr="6FAFEDE3" w14:paraId="760C17EC" w14:textId="77777777">
        <w:tc>
          <w:tcPr>
            <w:tcW w:w="5935" w:type="dxa"/>
          </w:tcPr>
          <w:p w:rsidRPr="00391600" w:rsidR="00930C35" w:rsidP="00BB366A" w:rsidRDefault="00930C35" w14:paraId="188B9B24" w14:textId="77777777">
            <w:pPr>
              <w:rPr>
                <w:rFonts w:ascii="Palatino Linotype" w:hAnsi="Palatino Linotype"/>
                <w:b/>
                <w:sz w:val="22"/>
                <w:szCs w:val="22"/>
              </w:rPr>
            </w:pPr>
            <w:r w:rsidRPr="00391600">
              <w:rPr>
                <w:rFonts w:ascii="Palatino Linotype" w:hAnsi="Palatino Linotype"/>
              </w:rPr>
              <w:t xml:space="preserve">a. </w:t>
            </w:r>
            <w:r w:rsidRPr="00391600">
              <w:rPr>
                <w:rFonts w:ascii="Palatino Linotype" w:hAnsi="Palatino Linotype" w:eastAsia="Palatino Linotype" w:cs="Palatino Linotype"/>
                <w:color w:val="000000" w:themeColor="text1"/>
                <w:sz w:val="22"/>
                <w:szCs w:val="22"/>
              </w:rPr>
              <w:t>Public Utilities Code 740.1 at (a).</w:t>
            </w:r>
          </w:p>
          <w:p w:rsidRPr="00391600" w:rsidR="00930C35" w:rsidP="00BB366A" w:rsidRDefault="00930C35" w14:paraId="1F3902C4" w14:textId="658C6067">
            <w:pPr>
              <w:rPr>
                <w:rFonts w:ascii="Palatino Linotype" w:hAnsi="Palatino Linotype" w:eastAsia="Palatino Linotype" w:cs="Palatino Linotype"/>
                <w:color w:val="000000" w:themeColor="text1"/>
                <w:sz w:val="22"/>
                <w:szCs w:val="22"/>
              </w:rPr>
            </w:pPr>
            <w:r w:rsidRPr="00391600">
              <w:rPr>
                <w:rFonts w:ascii="Palatino Linotype" w:hAnsi="Palatino Linotype"/>
              </w:rPr>
              <w:t xml:space="preserve">    </w:t>
            </w:r>
            <w:hyperlink r:id="rId42">
              <w:r w:rsidRPr="00391600">
                <w:rPr>
                  <w:rFonts w:ascii="Palatino Linotype" w:hAnsi="Palatino Linotype" w:eastAsia="Palatino Linotype" w:cs="Palatino Linotype"/>
                  <w:color w:val="467886" w:themeColor="hyperlink"/>
                  <w:sz w:val="22"/>
                  <w:szCs w:val="22"/>
                  <w:u w:val="single"/>
                </w:rPr>
                <w:t>D.04-08-010</w:t>
              </w:r>
            </w:hyperlink>
            <w:r w:rsidRPr="00391600">
              <w:rPr>
                <w:rFonts w:ascii="Palatino Linotype" w:hAnsi="Palatino Linotype" w:eastAsia="Palatino Linotype" w:cs="Palatino Linotype"/>
                <w:color w:val="000000" w:themeColor="text1"/>
                <w:sz w:val="22"/>
                <w:szCs w:val="22"/>
              </w:rPr>
              <w:t xml:space="preserve"> at p. 28; FOF 32; &amp; OP 17. </w:t>
            </w:r>
          </w:p>
          <w:p w:rsidRPr="00391600" w:rsidR="00930C35" w:rsidP="00BB366A" w:rsidRDefault="00930C35" w14:paraId="692BD30C" w14:textId="555B3219">
            <w:pPr>
              <w:rPr>
                <w:rFonts w:ascii="Palatino Linotype" w:hAnsi="Palatino Linotype"/>
                <w:sz w:val="22"/>
                <w:szCs w:val="22"/>
              </w:rPr>
            </w:pPr>
            <w:r w:rsidRPr="00391600">
              <w:rPr>
                <w:rFonts w:ascii="Palatino Linotype" w:hAnsi="Palatino Linotype"/>
              </w:rPr>
              <w:t xml:space="preserve">    </w:t>
            </w:r>
            <w:hyperlink w:tgtFrame="_blank" w:history="1" r:id="rId43">
              <w:r w:rsidRPr="00391600">
                <w:rPr>
                  <w:rFonts w:ascii="Palatino Linotype" w:hAnsi="Palatino Linotype"/>
                  <w:color w:val="467886" w:themeColor="hyperlink"/>
                  <w:sz w:val="22"/>
                  <w:szCs w:val="22"/>
                  <w:u w:val="single"/>
                </w:rPr>
                <w:t>Resolution G-3586</w:t>
              </w:r>
            </w:hyperlink>
            <w:r w:rsidRPr="00391600">
              <w:rPr>
                <w:rFonts w:ascii="Palatino Linotype" w:hAnsi="Palatino Linotype"/>
                <w:sz w:val="22"/>
                <w:szCs w:val="22"/>
              </w:rPr>
              <w:t xml:space="preserve"> (2022) at OP 4 &amp; 5.</w:t>
            </w:r>
          </w:p>
          <w:p w:rsidRPr="00391600" w:rsidR="004521C3" w:rsidP="00BB366A" w:rsidRDefault="00930C35" w14:paraId="561A41EA" w14:textId="77777777">
            <w:pPr>
              <w:rPr>
                <w:rFonts w:ascii="Palatino Linotype" w:hAnsi="Palatino Linotype"/>
              </w:rPr>
            </w:pPr>
            <w:r w:rsidRPr="00391600">
              <w:rPr>
                <w:rFonts w:ascii="Palatino Linotype" w:hAnsi="Palatino Linotype"/>
              </w:rPr>
              <w:t xml:space="preserve">    </w:t>
            </w:r>
            <w:hyperlink w:tgtFrame="_blank" w:history="1" r:id="rId44">
              <w:r w:rsidRPr="00391600">
                <w:rPr>
                  <w:rFonts w:ascii="Palatino Linotype" w:hAnsi="Palatino Linotype"/>
                  <w:b/>
                  <w:color w:val="467886" w:themeColor="hyperlink"/>
                  <w:sz w:val="22"/>
                  <w:szCs w:val="22"/>
                  <w:u w:val="single"/>
                </w:rPr>
                <w:t>Resolution G-3592</w:t>
              </w:r>
            </w:hyperlink>
            <w:r w:rsidRPr="00391600">
              <w:rPr>
                <w:rFonts w:ascii="Palatino Linotype" w:hAnsi="Palatino Linotype"/>
                <w:b/>
                <w:sz w:val="22"/>
                <w:szCs w:val="22"/>
              </w:rPr>
              <w:t xml:space="preserve"> (2023) at OP 6.</w:t>
            </w:r>
            <w:r w:rsidRPr="00391600">
              <w:rPr>
                <w:rFonts w:ascii="Palatino Linotype" w:hAnsi="Palatino Linotype"/>
              </w:rPr>
              <w:t xml:space="preserve">     </w:t>
            </w:r>
          </w:p>
          <w:p w:rsidRPr="00391600" w:rsidR="00930C35" w:rsidP="00BB366A" w:rsidRDefault="004521C3" w14:paraId="7887E032" w14:textId="0E212CE8">
            <w:pPr>
              <w:rPr>
                <w:rFonts w:ascii="Palatino Linotype" w:hAnsi="Palatino Linotype"/>
                <w:b/>
                <w:bCs w:val="0"/>
                <w:sz w:val="22"/>
                <w:szCs w:val="22"/>
              </w:rPr>
            </w:pPr>
            <w:r w:rsidRPr="00391600">
              <w:rPr>
                <w:rFonts w:ascii="Palatino Linotype" w:hAnsi="Palatino Linotype"/>
              </w:rPr>
              <w:t xml:space="preserve">    </w:t>
            </w:r>
            <w:hyperlink w:tgtFrame="_blank" w:history="1" r:id="rId45">
              <w:r w:rsidRPr="00391600" w:rsidR="00930C35">
                <w:rPr>
                  <w:rFonts w:ascii="Palatino Linotype" w:hAnsi="Palatino Linotype"/>
                  <w:color w:val="467886" w:themeColor="hyperlink"/>
                  <w:sz w:val="22"/>
                  <w:szCs w:val="22"/>
                  <w:u w:val="single"/>
                </w:rPr>
                <w:t>Resolution G-3601</w:t>
              </w:r>
            </w:hyperlink>
            <w:r w:rsidRPr="00391600" w:rsidR="00930C35">
              <w:rPr>
                <w:rFonts w:ascii="Palatino Linotype" w:hAnsi="Palatino Linotype"/>
                <w:sz w:val="22"/>
                <w:szCs w:val="22"/>
              </w:rPr>
              <w:t xml:space="preserve"> (2023) at OP 5 &amp; 6b. </w:t>
            </w:r>
          </w:p>
          <w:p w:rsidRPr="00391600" w:rsidR="00930C35" w:rsidP="00BB366A" w:rsidRDefault="00930C35" w14:paraId="3B735102" w14:textId="4F3CC585">
            <w:pPr>
              <w:rPr>
                <w:rFonts w:ascii="Palatino Linotype" w:hAnsi="Palatino Linotype"/>
                <w:b/>
                <w:bCs w:val="0"/>
                <w:sz w:val="22"/>
                <w:szCs w:val="22"/>
              </w:rPr>
            </w:pPr>
            <w:r w:rsidRPr="00391600">
              <w:rPr>
                <w:rFonts w:ascii="Palatino Linotype" w:hAnsi="Palatino Linotype"/>
              </w:rPr>
              <w:lastRenderedPageBreak/>
              <w:t xml:space="preserve">     </w:t>
            </w:r>
            <w:hyperlink w:tgtFrame="_blank" w:history="1" r:id="rId46">
              <w:r w:rsidRPr="00391600">
                <w:rPr>
                  <w:rFonts w:ascii="Palatino Linotype" w:hAnsi="Palatino Linotype"/>
                  <w:b/>
                  <w:color w:val="467886" w:themeColor="hyperlink"/>
                  <w:sz w:val="22"/>
                  <w:szCs w:val="22"/>
                  <w:u w:val="single"/>
                </w:rPr>
                <w:t>Resolution G-3603</w:t>
              </w:r>
            </w:hyperlink>
            <w:r w:rsidRPr="00391600">
              <w:rPr>
                <w:rFonts w:ascii="Palatino Linotype" w:hAnsi="Palatino Linotype"/>
                <w:b/>
                <w:sz w:val="22"/>
                <w:szCs w:val="22"/>
              </w:rPr>
              <w:t xml:space="preserve"> (2024) at OP 6.</w:t>
            </w:r>
          </w:p>
          <w:p w:rsidRPr="00391600" w:rsidR="00A84231" w:rsidP="00A84231" w:rsidRDefault="00930C35" w14:paraId="170557BD" w14:textId="77777777">
            <w:pPr>
              <w:rPr>
                <w:rFonts w:ascii="Palatino Linotype" w:hAnsi="Palatino Linotype"/>
                <w:sz w:val="22"/>
                <w:szCs w:val="22"/>
              </w:rPr>
            </w:pPr>
            <w:r w:rsidRPr="00391600">
              <w:rPr>
                <w:rFonts w:ascii="Palatino Linotype" w:hAnsi="Palatino Linotype"/>
              </w:rPr>
              <w:t xml:space="preserve">     </w:t>
            </w:r>
            <w:hyperlink w:history="1" r:id="rId47">
              <w:r w:rsidRPr="00391600">
                <w:rPr>
                  <w:rFonts w:ascii="Palatino Linotype" w:hAnsi="Palatino Linotype"/>
                  <w:color w:val="467886" w:themeColor="hyperlink"/>
                  <w:sz w:val="22"/>
                  <w:szCs w:val="22"/>
                  <w:u w:val="single"/>
                </w:rPr>
                <w:t>D.23-11-069</w:t>
              </w:r>
            </w:hyperlink>
            <w:r w:rsidRPr="00391600">
              <w:rPr>
                <w:rFonts w:ascii="Palatino Linotype" w:hAnsi="Palatino Linotype"/>
                <w:sz w:val="22"/>
                <w:szCs w:val="22"/>
              </w:rPr>
              <w:t xml:space="preserve"> at p. 218 &amp; 220.</w:t>
            </w:r>
          </w:p>
          <w:p w:rsidRPr="00391600" w:rsidR="0053077E" w:rsidP="00A84231" w:rsidRDefault="00A84231" w14:paraId="72FD7140" w14:textId="64A12774">
            <w:pPr>
              <w:rPr>
                <w:rFonts w:ascii="Palatino Linotype" w:hAnsi="Palatino Linotype"/>
                <w:sz w:val="22"/>
                <w:szCs w:val="22"/>
              </w:rPr>
            </w:pPr>
            <w:r w:rsidRPr="00391600">
              <w:rPr>
                <w:rFonts w:ascii="Palatino Linotype" w:hAnsi="Palatino Linotype"/>
                <w:sz w:val="22"/>
                <w:szCs w:val="22"/>
              </w:rPr>
              <w:t xml:space="preserve">      </w:t>
            </w:r>
            <w:r w:rsidRPr="00391600" w:rsidR="0053077E">
              <w:rPr>
                <w:rFonts w:ascii="Palatino Linotype" w:hAnsi="Palatino Linotype"/>
                <w:sz w:val="22"/>
                <w:szCs w:val="22"/>
              </w:rPr>
              <w:t xml:space="preserve">Consistent with: </w:t>
            </w:r>
            <w:hyperlink w:history="1" r:id="rId48">
              <w:r w:rsidRPr="00391600" w:rsidR="0053077E">
                <w:rPr>
                  <w:rFonts w:ascii="Palatino Linotype" w:hAnsi="Palatino Linotype"/>
                  <w:color w:val="467886" w:themeColor="hyperlink"/>
                  <w:sz w:val="22"/>
                  <w:szCs w:val="22"/>
                  <w:u w:val="single"/>
                </w:rPr>
                <w:t>D.23-04-042</w:t>
              </w:r>
            </w:hyperlink>
            <w:r w:rsidRPr="00391600" w:rsidR="0053077E">
              <w:rPr>
                <w:rFonts w:ascii="Palatino Linotype" w:hAnsi="Palatino Linotype"/>
                <w:sz w:val="22"/>
                <w:szCs w:val="22"/>
              </w:rPr>
              <w:t xml:space="preserve"> at Appendix A.</w:t>
            </w:r>
            <w:r w:rsidRPr="00391600" w:rsidR="0053077E">
              <w:rPr>
                <w:rFonts w:ascii="Palatino Linotype" w:hAnsi="Palatino Linotype"/>
              </w:rPr>
              <w:t xml:space="preserve"> </w:t>
            </w:r>
          </w:p>
          <w:p w:rsidRPr="00391600" w:rsidR="00930C35" w:rsidP="007F2074" w:rsidRDefault="00930C35" w14:paraId="5F407209" w14:textId="0DE4B9F3">
            <w:pPr>
              <w:spacing w:before="240"/>
              <w:rPr>
                <w:rFonts w:ascii="Palatino Linotype" w:hAnsi="Palatino Linotype"/>
                <w:b/>
                <w:sz w:val="22"/>
                <w:szCs w:val="22"/>
              </w:rPr>
            </w:pPr>
            <w:r w:rsidRPr="00391600">
              <w:rPr>
                <w:rFonts w:ascii="Palatino Linotype" w:hAnsi="Palatino Linotype"/>
                <w:sz w:val="22"/>
                <w:szCs w:val="22"/>
              </w:rPr>
              <w:t>b. Public Utilities Code Section 740.1 (e)(5)</w:t>
            </w:r>
          </w:p>
          <w:p w:rsidRPr="00391600" w:rsidR="00EC2F86" w:rsidP="00BB366A" w:rsidRDefault="00930C35" w14:paraId="474FD667" w14:textId="765F700B">
            <w:pPr>
              <w:rPr>
                <w:rFonts w:ascii="Palatino Linotype" w:hAnsi="Palatino Linotype"/>
              </w:rPr>
            </w:pPr>
            <w:r w:rsidRPr="00391600">
              <w:rPr>
                <w:rFonts w:ascii="Palatino Linotype" w:hAnsi="Palatino Linotype"/>
              </w:rPr>
              <w:t xml:space="preserve">    </w:t>
            </w:r>
            <w:hyperlink w:tgtFrame="_blank" w:history="1" r:id="rId49">
              <w:r w:rsidRPr="00391600" w:rsidR="00EC2F86">
                <w:rPr>
                  <w:rFonts w:ascii="Palatino Linotype" w:hAnsi="Palatino Linotype"/>
                  <w:color w:val="467886" w:themeColor="hyperlink"/>
                  <w:sz w:val="22"/>
                  <w:szCs w:val="22"/>
                  <w:u w:val="single"/>
                </w:rPr>
                <w:t>Resolution G-3586</w:t>
              </w:r>
            </w:hyperlink>
            <w:r w:rsidRPr="00391600" w:rsidR="00EC2F86">
              <w:rPr>
                <w:rFonts w:ascii="Palatino Linotype" w:hAnsi="Palatino Linotype"/>
                <w:sz w:val="22"/>
                <w:szCs w:val="22"/>
              </w:rPr>
              <w:t xml:space="preserve"> (2022) at OP 4.</w:t>
            </w:r>
          </w:p>
          <w:p w:rsidRPr="00391600" w:rsidR="00930C35" w:rsidP="00BB366A" w:rsidRDefault="00EC2F86" w14:paraId="4663BCF4" w14:textId="6C6EEBF8">
            <w:pPr>
              <w:rPr>
                <w:rFonts w:ascii="Palatino Linotype" w:hAnsi="Palatino Linotype" w:eastAsia="Century Gothic" w:cs="Century Gothic"/>
                <w:sz w:val="22"/>
                <w:szCs w:val="22"/>
              </w:rPr>
            </w:pPr>
            <w:r w:rsidRPr="00391600">
              <w:rPr>
                <w:rFonts w:ascii="Palatino Linotype" w:hAnsi="Palatino Linotype"/>
              </w:rPr>
              <w:t xml:space="preserve">    </w:t>
            </w:r>
            <w:hyperlink w:history="1" r:id="rId50">
              <w:r w:rsidRPr="00391600" w:rsidR="00930C35">
                <w:rPr>
                  <w:rFonts w:ascii="Palatino Linotype" w:hAnsi="Palatino Linotype"/>
                  <w:color w:val="467886" w:themeColor="hyperlink"/>
                  <w:sz w:val="22"/>
                  <w:szCs w:val="22"/>
                  <w:u w:val="single"/>
                </w:rPr>
                <w:t>D.23-11-069</w:t>
              </w:r>
            </w:hyperlink>
            <w:r w:rsidRPr="00391600" w:rsidR="00930C35">
              <w:rPr>
                <w:rFonts w:ascii="Palatino Linotype" w:hAnsi="Palatino Linotype"/>
                <w:sz w:val="22"/>
                <w:szCs w:val="22"/>
              </w:rPr>
              <w:t xml:space="preserve"> at p. 218.</w:t>
            </w:r>
          </w:p>
          <w:p w:rsidRPr="00391600" w:rsidR="00930C35" w:rsidP="00BB366A" w:rsidRDefault="00930C35" w14:paraId="7B54B5E0" w14:textId="0D99D9AB">
            <w:pPr>
              <w:rPr>
                <w:rFonts w:ascii="Palatino Linotype" w:hAnsi="Palatino Linotype"/>
                <w:sz w:val="22"/>
                <w:szCs w:val="22"/>
              </w:rPr>
            </w:pPr>
            <w:r w:rsidRPr="00391600">
              <w:rPr>
                <w:rFonts w:ascii="Palatino Linotype" w:hAnsi="Palatino Linotype"/>
              </w:rPr>
              <w:t xml:space="preserve"> </w:t>
            </w:r>
            <w:r w:rsidRPr="00391600" w:rsidR="00A84231">
              <w:rPr>
                <w:rFonts w:ascii="Palatino Linotype" w:hAnsi="Palatino Linotype"/>
              </w:rPr>
              <w:t xml:space="preserve">   </w:t>
            </w:r>
            <w:r w:rsidRPr="00391600" w:rsidR="00A84231">
              <w:rPr>
                <w:rFonts w:ascii="Palatino Linotype" w:hAnsi="Palatino Linotype"/>
                <w:sz w:val="22"/>
                <w:szCs w:val="22"/>
              </w:rPr>
              <w:t>Consistent with:</w:t>
            </w:r>
            <w:r w:rsidRPr="00391600" w:rsidR="00A84231">
              <w:rPr>
                <w:rFonts w:ascii="Palatino Linotype" w:hAnsi="Palatino Linotype"/>
              </w:rPr>
              <w:t xml:space="preserve"> </w:t>
            </w:r>
            <w:hyperlink w:history="1" r:id="rId51">
              <w:r w:rsidRPr="00391600">
                <w:rPr>
                  <w:rFonts w:ascii="Palatino Linotype" w:hAnsi="Palatino Linotype"/>
                  <w:color w:val="467886" w:themeColor="hyperlink"/>
                  <w:sz w:val="22"/>
                  <w:szCs w:val="22"/>
                  <w:u w:val="single"/>
                </w:rPr>
                <w:t>Executive Order (EO) N-5-24</w:t>
              </w:r>
            </w:hyperlink>
            <w:r w:rsidRPr="00391600">
              <w:rPr>
                <w:rFonts w:ascii="Palatino Linotype" w:hAnsi="Palatino Linotype"/>
                <w:sz w:val="22"/>
                <w:szCs w:val="22"/>
              </w:rPr>
              <w:t xml:space="preserve"> (Newsom, 2024)</w:t>
            </w:r>
          </w:p>
          <w:p w:rsidRPr="00391600" w:rsidR="00930C35" w:rsidP="00BB366A" w:rsidRDefault="00930C35" w14:paraId="7BD25F63" w14:textId="2C204960">
            <w:pPr>
              <w:spacing w:before="240"/>
              <w:rPr>
                <w:rFonts w:ascii="Palatino Linotype" w:hAnsi="Palatino Linotype"/>
                <w:b/>
                <w:sz w:val="22"/>
                <w:szCs w:val="22"/>
              </w:rPr>
            </w:pPr>
            <w:r w:rsidRPr="00391600">
              <w:rPr>
                <w:rFonts w:ascii="Palatino Linotype" w:hAnsi="Palatino Linotype"/>
                <w:sz w:val="22"/>
                <w:szCs w:val="22"/>
              </w:rPr>
              <w:t xml:space="preserve">c. </w:t>
            </w:r>
            <w:hyperlink w:tgtFrame="_blank" w:history="1" r:id="rId52">
              <w:r w:rsidRPr="00391600">
                <w:rPr>
                  <w:rFonts w:ascii="Palatino Linotype" w:hAnsi="Palatino Linotype"/>
                  <w:b/>
                  <w:color w:val="467886" w:themeColor="hyperlink"/>
                  <w:sz w:val="22"/>
                  <w:szCs w:val="22"/>
                  <w:u w:val="single"/>
                </w:rPr>
                <w:t>Resolution G-3555</w:t>
              </w:r>
            </w:hyperlink>
            <w:r w:rsidRPr="00391600">
              <w:rPr>
                <w:rFonts w:ascii="Palatino Linotype" w:hAnsi="Palatino Linotype"/>
                <w:b/>
                <w:sz w:val="22"/>
                <w:szCs w:val="22"/>
              </w:rPr>
              <w:t xml:space="preserve"> (2019) at OP 6</w:t>
            </w:r>
            <w:r w:rsidRPr="00391600" w:rsidR="006335A4">
              <w:rPr>
                <w:rFonts w:ascii="Palatino Linotype" w:hAnsi="Palatino Linotype"/>
                <w:b/>
                <w:sz w:val="22"/>
                <w:szCs w:val="22"/>
              </w:rPr>
              <w:t>a</w:t>
            </w:r>
            <w:r w:rsidRPr="00391600">
              <w:rPr>
                <w:rFonts w:ascii="Palatino Linotype" w:hAnsi="Palatino Linotype"/>
                <w:b/>
                <w:sz w:val="22"/>
                <w:szCs w:val="22"/>
              </w:rPr>
              <w:t>.</w:t>
            </w:r>
          </w:p>
          <w:p w:rsidRPr="00391600" w:rsidR="00930C35" w:rsidP="00BB366A" w:rsidRDefault="00930C35" w14:paraId="50A25379" w14:textId="77777777">
            <w:pPr>
              <w:rPr>
                <w:rFonts w:ascii="Palatino Linotype" w:hAnsi="Palatino Linotype"/>
                <w:b/>
                <w:bCs w:val="0"/>
                <w:sz w:val="22"/>
                <w:szCs w:val="22"/>
              </w:rPr>
            </w:pPr>
            <w:r w:rsidRPr="00391600">
              <w:rPr>
                <w:rFonts w:ascii="Palatino Linotype" w:hAnsi="Palatino Linotype"/>
              </w:rPr>
              <w:t xml:space="preserve">    </w:t>
            </w:r>
            <w:hyperlink w:history="1" r:id="rId53">
              <w:r w:rsidRPr="00391600">
                <w:rPr>
                  <w:rFonts w:ascii="Palatino Linotype" w:hAnsi="Palatino Linotype"/>
                  <w:b/>
                  <w:color w:val="467886" w:themeColor="hyperlink"/>
                  <w:sz w:val="22"/>
                  <w:szCs w:val="22"/>
                  <w:u w:val="single"/>
                </w:rPr>
                <w:t>Resolution G-3571</w:t>
              </w:r>
            </w:hyperlink>
            <w:r w:rsidRPr="00391600">
              <w:rPr>
                <w:rFonts w:ascii="Palatino Linotype" w:hAnsi="Palatino Linotype"/>
                <w:b/>
                <w:sz w:val="22"/>
                <w:szCs w:val="22"/>
              </w:rPr>
              <w:t xml:space="preserve"> (2020) at OP 8b.</w:t>
            </w:r>
          </w:p>
          <w:p w:rsidRPr="00391600" w:rsidR="00930C35" w:rsidP="00BB366A" w:rsidRDefault="00930C35" w14:paraId="7E692231" w14:textId="77777777">
            <w:pPr>
              <w:rPr>
                <w:rFonts w:ascii="Palatino Linotype" w:hAnsi="Palatino Linotype"/>
                <w:sz w:val="22"/>
                <w:szCs w:val="22"/>
              </w:rPr>
            </w:pPr>
            <w:r w:rsidRPr="00391600">
              <w:rPr>
                <w:rFonts w:ascii="Palatino Linotype" w:hAnsi="Palatino Linotype"/>
              </w:rPr>
              <w:t xml:space="preserve">    </w:t>
            </w:r>
            <w:hyperlink w:history="1" r:id="rId54">
              <w:r w:rsidRPr="00391600">
                <w:rPr>
                  <w:rFonts w:ascii="Palatino Linotype" w:hAnsi="Palatino Linotype"/>
                  <w:color w:val="467886" w:themeColor="hyperlink"/>
                  <w:sz w:val="22"/>
                  <w:szCs w:val="22"/>
                  <w:u w:val="single"/>
                </w:rPr>
                <w:t>Resolution G-</w:t>
              </w:r>
              <w:r w:rsidRPr="00391600">
                <w:rPr>
                  <w:rFonts w:ascii="Palatino Linotype" w:hAnsi="Palatino Linotype" w:cs="Arial"/>
                  <w:color w:val="467886" w:themeColor="hyperlink"/>
                  <w:sz w:val="22"/>
                  <w:szCs w:val="22"/>
                  <w:u w:val="single"/>
                </w:rPr>
                <w:t>3573</w:t>
              </w:r>
            </w:hyperlink>
            <w:r w:rsidRPr="00391600">
              <w:rPr>
                <w:rFonts w:ascii="Palatino Linotype" w:hAnsi="Palatino Linotype"/>
                <w:sz w:val="22"/>
                <w:szCs w:val="22"/>
              </w:rPr>
              <w:t xml:space="preserve"> (2021) at OP 3.</w:t>
            </w:r>
          </w:p>
          <w:p w:rsidRPr="00391600" w:rsidR="00930C35" w:rsidP="00BB366A" w:rsidRDefault="00930C35" w14:paraId="2251BED1" w14:textId="77777777">
            <w:pPr>
              <w:rPr>
                <w:rFonts w:ascii="Palatino Linotype" w:hAnsi="Palatino Linotype"/>
                <w:sz w:val="22"/>
                <w:szCs w:val="22"/>
              </w:rPr>
            </w:pPr>
            <w:r w:rsidRPr="00391600">
              <w:rPr>
                <w:rFonts w:ascii="Palatino Linotype" w:hAnsi="Palatino Linotype"/>
              </w:rPr>
              <w:t xml:space="preserve">    </w:t>
            </w:r>
            <w:hyperlink w:tgtFrame="_blank" w:history="1" r:id="rId55">
              <w:r w:rsidRPr="00391600">
                <w:rPr>
                  <w:rFonts w:ascii="Palatino Linotype" w:hAnsi="Palatino Linotype"/>
                  <w:color w:val="467886" w:themeColor="hyperlink"/>
                  <w:sz w:val="22"/>
                  <w:szCs w:val="22"/>
                  <w:u w:val="single"/>
                </w:rPr>
                <w:t>Resolution G-3586</w:t>
              </w:r>
            </w:hyperlink>
            <w:r w:rsidRPr="00391600">
              <w:rPr>
                <w:rFonts w:ascii="Palatino Linotype" w:hAnsi="Palatino Linotype"/>
                <w:sz w:val="22"/>
                <w:szCs w:val="22"/>
              </w:rPr>
              <w:t xml:space="preserve"> (2022) at OP 4 &amp; 5.</w:t>
            </w:r>
          </w:p>
          <w:p w:rsidRPr="00391600" w:rsidR="00930C35" w:rsidP="00BB366A" w:rsidRDefault="00930C35" w14:paraId="35122C12" w14:textId="77777777">
            <w:pPr>
              <w:rPr>
                <w:rFonts w:ascii="Palatino Linotype" w:hAnsi="Palatino Linotype"/>
                <w:sz w:val="22"/>
                <w:szCs w:val="22"/>
              </w:rPr>
            </w:pPr>
            <w:r w:rsidRPr="00391600">
              <w:rPr>
                <w:rFonts w:ascii="Palatino Linotype" w:hAnsi="Palatino Linotype"/>
              </w:rPr>
              <w:t xml:space="preserve">    </w:t>
            </w:r>
            <w:hyperlink w:history="1" r:id="rId56">
              <w:r w:rsidRPr="00391600">
                <w:rPr>
                  <w:rFonts w:ascii="Palatino Linotype" w:hAnsi="Palatino Linotype"/>
                  <w:color w:val="467886" w:themeColor="hyperlink"/>
                  <w:sz w:val="22"/>
                  <w:szCs w:val="22"/>
                  <w:u w:val="single"/>
                </w:rPr>
                <w:t>Environmental &amp; Social Justice (ESJ) Action Plan Version 2.0</w:t>
              </w:r>
            </w:hyperlink>
            <w:r w:rsidRPr="00391600">
              <w:rPr>
                <w:rFonts w:ascii="Palatino Linotype" w:hAnsi="Palatino Linotype"/>
                <w:sz w:val="22"/>
                <w:szCs w:val="22"/>
              </w:rPr>
              <w:t xml:space="preserve"> (2022).</w:t>
            </w:r>
          </w:p>
          <w:p w:rsidRPr="00391600" w:rsidR="00930C35" w:rsidP="00BB366A" w:rsidRDefault="00930C35" w14:paraId="153187B5" w14:textId="77777777">
            <w:pPr>
              <w:rPr>
                <w:rFonts w:ascii="Palatino Linotype" w:hAnsi="Palatino Linotype"/>
                <w:b/>
                <w:bCs w:val="0"/>
                <w:sz w:val="22"/>
                <w:szCs w:val="22"/>
              </w:rPr>
            </w:pPr>
            <w:r w:rsidRPr="00391600">
              <w:rPr>
                <w:rFonts w:ascii="Palatino Linotype" w:hAnsi="Palatino Linotype"/>
              </w:rPr>
              <w:t xml:space="preserve">    </w:t>
            </w:r>
            <w:hyperlink w:tgtFrame="_blank" w:history="1" r:id="rId57">
              <w:r w:rsidRPr="00391600">
                <w:rPr>
                  <w:rFonts w:ascii="Palatino Linotype" w:hAnsi="Palatino Linotype"/>
                  <w:b/>
                  <w:color w:val="467886" w:themeColor="hyperlink"/>
                  <w:sz w:val="22"/>
                  <w:szCs w:val="22"/>
                  <w:u w:val="single"/>
                </w:rPr>
                <w:t>Resolution G-3592</w:t>
              </w:r>
            </w:hyperlink>
            <w:r w:rsidRPr="00391600">
              <w:rPr>
                <w:rFonts w:ascii="Palatino Linotype" w:hAnsi="Palatino Linotype"/>
                <w:b/>
                <w:sz w:val="22"/>
                <w:szCs w:val="22"/>
              </w:rPr>
              <w:t xml:space="preserve"> (2023) at OP 5a.</w:t>
            </w:r>
          </w:p>
          <w:p w:rsidRPr="00391600" w:rsidR="00930C35" w:rsidP="00BB366A" w:rsidRDefault="00930C35" w14:paraId="282FE413" w14:textId="77777777">
            <w:pPr>
              <w:rPr>
                <w:rFonts w:ascii="Palatino Linotype" w:hAnsi="Palatino Linotype"/>
                <w:sz w:val="22"/>
                <w:szCs w:val="22"/>
              </w:rPr>
            </w:pPr>
            <w:r w:rsidRPr="00391600">
              <w:rPr>
                <w:rFonts w:ascii="Palatino Linotype" w:hAnsi="Palatino Linotype"/>
              </w:rPr>
              <w:t xml:space="preserve">    </w:t>
            </w:r>
            <w:hyperlink w:tgtFrame="_blank" w:history="1" r:id="rId58">
              <w:r w:rsidRPr="00391600">
                <w:rPr>
                  <w:rFonts w:ascii="Palatino Linotype" w:hAnsi="Palatino Linotype"/>
                  <w:color w:val="467886" w:themeColor="hyperlink"/>
                  <w:sz w:val="22"/>
                  <w:szCs w:val="22"/>
                  <w:u w:val="single"/>
                </w:rPr>
                <w:t>Resolution G-3601</w:t>
              </w:r>
            </w:hyperlink>
            <w:r w:rsidRPr="00391600">
              <w:rPr>
                <w:rFonts w:ascii="Palatino Linotype" w:hAnsi="Palatino Linotype"/>
                <w:sz w:val="22"/>
                <w:szCs w:val="22"/>
              </w:rPr>
              <w:t xml:space="preserve"> (2023) at OP 3d &amp; 6.</w:t>
            </w:r>
          </w:p>
          <w:p w:rsidRPr="00391600" w:rsidR="00930C35" w:rsidP="00BB366A" w:rsidRDefault="00930C35" w14:paraId="504D8504" w14:textId="77777777">
            <w:pPr>
              <w:rPr>
                <w:rFonts w:ascii="Palatino Linotype" w:hAnsi="Palatino Linotype"/>
                <w:strike/>
                <w:sz w:val="22"/>
                <w:szCs w:val="22"/>
              </w:rPr>
            </w:pPr>
            <w:r w:rsidRPr="00391600">
              <w:rPr>
                <w:rFonts w:ascii="Palatino Linotype" w:hAnsi="Palatino Linotype"/>
              </w:rPr>
              <w:t xml:space="preserve">    </w:t>
            </w:r>
            <w:hyperlink w:history="1" r:id="rId59">
              <w:r w:rsidRPr="00391600">
                <w:rPr>
                  <w:rFonts w:ascii="Palatino Linotype" w:hAnsi="Palatino Linotype"/>
                  <w:color w:val="467886" w:themeColor="hyperlink"/>
                  <w:sz w:val="22"/>
                  <w:szCs w:val="22"/>
                  <w:u w:val="single"/>
                </w:rPr>
                <w:t>D.23-11-069</w:t>
              </w:r>
            </w:hyperlink>
            <w:r w:rsidRPr="00391600">
              <w:rPr>
                <w:rFonts w:ascii="Palatino Linotype" w:hAnsi="Palatino Linotype"/>
                <w:sz w:val="22"/>
                <w:szCs w:val="22"/>
              </w:rPr>
              <w:t xml:space="preserve"> at p. 218 &amp; 220-221.</w:t>
            </w:r>
          </w:p>
        </w:tc>
        <w:tc>
          <w:tcPr>
            <w:tcW w:w="3415" w:type="dxa"/>
          </w:tcPr>
          <w:p w:rsidRPr="00391600" w:rsidR="00930C35" w:rsidP="00BB366A" w:rsidRDefault="00930C35" w14:paraId="48F4DBAB" w14:textId="77777777">
            <w:pPr>
              <w:rPr>
                <w:rFonts w:ascii="Palatino Linotype" w:hAnsi="Palatino Linotype"/>
                <w:sz w:val="22"/>
                <w:szCs w:val="22"/>
              </w:rPr>
            </w:pPr>
            <w:r w:rsidRPr="00391600">
              <w:rPr>
                <w:rFonts w:ascii="Palatino Linotype" w:hAnsi="Palatino Linotype"/>
                <w:sz w:val="22"/>
                <w:szCs w:val="22"/>
              </w:rPr>
              <w:lastRenderedPageBreak/>
              <w:t xml:space="preserve">4. </w:t>
            </w:r>
            <w:r w:rsidRPr="00391600">
              <w:rPr>
                <w:rFonts w:ascii="Palatino Linotype" w:hAnsi="Palatino Linotype"/>
                <w:b/>
                <w:sz w:val="22"/>
                <w:szCs w:val="22"/>
              </w:rPr>
              <w:t>Anticipated Impacts</w:t>
            </w:r>
            <w:r w:rsidRPr="00391600">
              <w:rPr>
                <w:rFonts w:ascii="Palatino Linotype" w:hAnsi="Palatino Linotype"/>
                <w:sz w:val="22"/>
                <w:szCs w:val="22"/>
              </w:rPr>
              <w:t xml:space="preserve">:      </w:t>
            </w:r>
          </w:p>
          <w:p w:rsidRPr="00391600" w:rsidR="00930C35" w:rsidP="00BB366A" w:rsidRDefault="00930C35" w14:paraId="749C1A91" w14:textId="77777777">
            <w:pPr>
              <w:spacing w:before="240"/>
              <w:rPr>
                <w:rFonts w:ascii="Palatino Linotype" w:hAnsi="Palatino Linotype" w:eastAsia="Century Gothic" w:cs="Century Gothic"/>
                <w:color w:val="000000" w:themeColor="text1"/>
                <w:sz w:val="22"/>
                <w:szCs w:val="22"/>
              </w:rPr>
            </w:pPr>
            <w:r w:rsidRPr="00391600">
              <w:rPr>
                <w:rFonts w:ascii="Palatino Linotype" w:hAnsi="Palatino Linotype"/>
                <w:sz w:val="22"/>
                <w:szCs w:val="22"/>
              </w:rPr>
              <w:t xml:space="preserve">a. </w:t>
            </w:r>
            <w:r w:rsidRPr="00391600">
              <w:rPr>
                <w:rFonts w:ascii="Palatino Linotype" w:hAnsi="Palatino Linotype" w:eastAsia="Century Gothic" w:cs="Century Gothic"/>
                <w:color w:val="000000" w:themeColor="text1"/>
                <w:sz w:val="22"/>
                <w:szCs w:val="22"/>
              </w:rPr>
              <w:t>Reasonable probability of providing California ratepayer benefit by locating projects in the State of California</w:t>
            </w:r>
            <w:r w:rsidRPr="00391600">
              <w:rPr>
                <w:rFonts w:ascii="Palatino Linotype" w:hAnsi="Palatino Linotype" w:eastAsia="Century Gothic" w:cs="Century Gothic"/>
                <w:color w:val="000000" w:themeColor="text1"/>
                <w:sz w:val="22"/>
                <w:szCs w:val="22"/>
                <w:vertAlign w:val="superscript"/>
              </w:rPr>
              <w:footnoteReference w:id="177"/>
            </w:r>
            <w:r w:rsidRPr="00391600">
              <w:rPr>
                <w:rFonts w:ascii="Palatino Linotype" w:hAnsi="Palatino Linotype" w:eastAsia="Century Gothic" w:cs="Century Gothic"/>
                <w:color w:val="000000" w:themeColor="text1"/>
                <w:sz w:val="22"/>
                <w:szCs w:val="22"/>
              </w:rPr>
              <w:t xml:space="preserve"> and </w:t>
            </w:r>
            <w:r w:rsidRPr="00391600">
              <w:rPr>
                <w:rFonts w:ascii="Palatino Linotype" w:hAnsi="Palatino Linotype" w:eastAsia="Century Gothic" w:cs="Century Gothic"/>
                <w:color w:val="000000" w:themeColor="text1"/>
                <w:sz w:val="22"/>
                <w:szCs w:val="22"/>
              </w:rPr>
              <w:lastRenderedPageBreak/>
              <w:t xml:space="preserve">detailed planned methodologies for tracking and evaluating quantitative impacts from investments </w:t>
            </w:r>
            <w:proofErr w:type="gramStart"/>
            <w:r w:rsidRPr="00391600">
              <w:rPr>
                <w:rFonts w:ascii="Palatino Linotype" w:hAnsi="Palatino Linotype" w:eastAsia="Century Gothic" w:cs="Century Gothic"/>
                <w:color w:val="000000" w:themeColor="text1"/>
                <w:sz w:val="22"/>
                <w:szCs w:val="22"/>
              </w:rPr>
              <w:t>through the use of</w:t>
            </w:r>
            <w:proofErr w:type="gramEnd"/>
            <w:r w:rsidRPr="00391600">
              <w:rPr>
                <w:rFonts w:ascii="Palatino Linotype" w:hAnsi="Palatino Linotype" w:eastAsia="Century Gothic" w:cs="Century Gothic"/>
                <w:color w:val="000000" w:themeColor="text1"/>
                <w:sz w:val="22"/>
                <w:szCs w:val="22"/>
              </w:rPr>
              <w:t xml:space="preserve"> the EPIC Program’s Uniform Impacts Analysis Foundational Principles.</w:t>
            </w:r>
          </w:p>
          <w:p w:rsidRPr="00391600" w:rsidR="00930C35" w:rsidP="00BB366A" w:rsidRDefault="00930C35" w14:paraId="23B418A6" w14:textId="77777777">
            <w:pPr>
              <w:spacing w:before="240"/>
              <w:rPr>
                <w:rFonts w:ascii="Palatino Linotype" w:hAnsi="Palatino Linotype" w:eastAsia="Century Gothic" w:cs="Century Gothic"/>
                <w:color w:val="000000" w:themeColor="text1"/>
                <w:sz w:val="22"/>
                <w:szCs w:val="22"/>
              </w:rPr>
            </w:pPr>
            <w:r w:rsidRPr="00391600">
              <w:rPr>
                <w:rFonts w:ascii="Palatino Linotype" w:hAnsi="Palatino Linotype" w:eastAsia="Century Gothic" w:cs="Century Gothic"/>
                <w:color w:val="000000" w:themeColor="text1"/>
                <w:sz w:val="22"/>
                <w:szCs w:val="22"/>
              </w:rPr>
              <w:t>b. Cost-effectiveness and protection of affordability to ratepayers.</w:t>
            </w:r>
          </w:p>
          <w:p w:rsidRPr="00391600" w:rsidR="00930C35" w:rsidP="00BB366A" w:rsidRDefault="00930C35" w14:paraId="4F226867" w14:textId="77777777">
            <w:pPr>
              <w:spacing w:before="240"/>
              <w:rPr>
                <w:rFonts w:ascii="Palatino Linotype" w:hAnsi="Palatino Linotype"/>
                <w:sz w:val="22"/>
                <w:szCs w:val="22"/>
              </w:rPr>
            </w:pPr>
            <w:r w:rsidRPr="00391600">
              <w:rPr>
                <w:rFonts w:ascii="Palatino Linotype" w:hAnsi="Palatino Linotype" w:eastAsia="Century Gothic" w:cs="Century Gothic"/>
                <w:color w:val="000000" w:themeColor="text1"/>
                <w:sz w:val="22"/>
                <w:szCs w:val="22"/>
              </w:rPr>
              <w:t>c. Promote equity and provide benefits to Environmental &amp; Social Justice (ESJ) communities, informed by consultation with community-based organizations (CBOs) and the Commission’s most current ESJ Action Plan.</w:t>
            </w:r>
          </w:p>
        </w:tc>
      </w:tr>
    </w:tbl>
    <w:p w:rsidRPr="00391600" w:rsidR="00930C35" w:rsidP="00930C35" w:rsidRDefault="00930C35" w14:paraId="48FEB723" w14:textId="77777777">
      <w:pPr>
        <w:spacing w:after="0" w:line="276" w:lineRule="auto"/>
        <w:contextualSpacing/>
        <w:rPr>
          <w:rFonts w:ascii="Palatino Linotype" w:hAnsi="Palatino Linotype" w:eastAsia="Century Gothic" w:cs="Century Gothic"/>
          <w:color w:val="000000" w:themeColor="text1"/>
          <w:sz w:val="22"/>
          <w:szCs w:val="22"/>
        </w:rPr>
      </w:pPr>
    </w:p>
    <w:p w:rsidRPr="00391600" w:rsidR="00930C35" w:rsidP="00930C35" w:rsidRDefault="00930C35" w14:paraId="6EC4A409" w14:textId="77777777">
      <w:pPr>
        <w:spacing w:after="0" w:line="276" w:lineRule="auto"/>
        <w:rPr>
          <w:rFonts w:ascii="Palatino Linotype" w:hAnsi="Palatino Linotype" w:eastAsia="Century Gothic" w:cs="Century Gothic"/>
          <w:color w:val="000000" w:themeColor="text1"/>
          <w:sz w:val="22"/>
          <w:szCs w:val="22"/>
        </w:rPr>
      </w:pPr>
    </w:p>
    <w:p w:rsidR="00930C35" w:rsidP="00930C35" w:rsidRDefault="00930C35" w14:paraId="08D5E3CF" w14:textId="77777777">
      <w:pPr>
        <w:rPr>
          <w:rFonts w:ascii="Palatino Linotype" w:hAnsi="Palatino Linotype"/>
          <w:b/>
          <w:bCs/>
        </w:rPr>
      </w:pPr>
    </w:p>
    <w:p w:rsidR="00A05695" w:rsidP="00930C35" w:rsidRDefault="00A05695" w14:paraId="342FECA6" w14:textId="77777777">
      <w:pPr>
        <w:rPr>
          <w:rFonts w:ascii="Palatino Linotype" w:hAnsi="Palatino Linotype"/>
          <w:b/>
          <w:bCs/>
        </w:rPr>
      </w:pPr>
    </w:p>
    <w:p w:rsidR="00093CEC" w:rsidP="00930C35" w:rsidRDefault="00093CEC" w14:paraId="5C79E1EC" w14:textId="77777777">
      <w:pPr>
        <w:rPr>
          <w:rFonts w:ascii="Palatino Linotype" w:hAnsi="Palatino Linotype"/>
          <w:b/>
          <w:bCs/>
        </w:rPr>
        <w:sectPr w:rsidR="00093CEC" w:rsidSect="00750E92">
          <w:headerReference w:type="default" r:id="rId60"/>
          <w:footerReference w:type="default" r:id="rId61"/>
          <w:headerReference w:type="first" r:id="rId62"/>
          <w:footerReference w:type="first" r:id="rId63"/>
          <w:pgSz w:w="12240" w:h="15840"/>
          <w:pgMar w:top="1440" w:right="1440" w:bottom="1440" w:left="1440" w:header="720" w:footer="720" w:gutter="0"/>
          <w:cols w:space="720"/>
          <w:titlePg/>
          <w:docGrid w:linePitch="360"/>
        </w:sectPr>
      </w:pPr>
    </w:p>
    <w:p w:rsidR="00A05695" w:rsidP="00930C35" w:rsidRDefault="00A05695" w14:paraId="00BAD58E" w14:textId="77777777">
      <w:pPr>
        <w:rPr>
          <w:rFonts w:ascii="Palatino Linotype" w:hAnsi="Palatino Linotype"/>
          <w:b/>
          <w:bCs/>
        </w:rPr>
      </w:pPr>
    </w:p>
    <w:p w:rsidR="00093CEC" w:rsidP="00930C35" w:rsidRDefault="00093CEC" w14:paraId="1C73DC7D" w14:textId="77777777">
      <w:pPr>
        <w:rPr>
          <w:rFonts w:ascii="Palatino Linotype" w:hAnsi="Palatino Linotype"/>
          <w:b/>
          <w:bCs/>
        </w:rPr>
      </w:pPr>
    </w:p>
    <w:p w:rsidR="00093CEC" w:rsidP="00930C35" w:rsidRDefault="00093CEC" w14:paraId="23D8CD92" w14:textId="77777777">
      <w:pPr>
        <w:rPr>
          <w:rFonts w:ascii="Palatino Linotype" w:hAnsi="Palatino Linotype"/>
          <w:b/>
          <w:bCs/>
        </w:rPr>
      </w:pPr>
    </w:p>
    <w:p w:rsidR="00093CEC" w:rsidP="00930C35" w:rsidRDefault="00093CEC" w14:paraId="431A3185" w14:textId="77777777">
      <w:pPr>
        <w:rPr>
          <w:rFonts w:ascii="Palatino Linotype" w:hAnsi="Palatino Linotype"/>
          <w:b/>
          <w:bCs/>
        </w:rPr>
      </w:pPr>
    </w:p>
    <w:p w:rsidR="00093CEC" w:rsidP="00930C35" w:rsidRDefault="00093CEC" w14:paraId="6577D316" w14:textId="77777777">
      <w:pPr>
        <w:rPr>
          <w:rFonts w:ascii="Palatino Linotype" w:hAnsi="Palatino Linotype"/>
          <w:b/>
          <w:bCs/>
        </w:rPr>
      </w:pPr>
    </w:p>
    <w:p w:rsidR="00093CEC" w:rsidP="00930C35" w:rsidRDefault="00093CEC" w14:paraId="65275041" w14:textId="77777777">
      <w:pPr>
        <w:rPr>
          <w:rFonts w:ascii="Palatino Linotype" w:hAnsi="Palatino Linotype"/>
          <w:b/>
          <w:bCs/>
        </w:rPr>
      </w:pPr>
    </w:p>
    <w:p w:rsidRPr="000D0BB2" w:rsidR="00093CEC" w:rsidP="00093CEC" w:rsidRDefault="00093CEC" w14:paraId="04193BE6" w14:textId="081B4B80">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D</w:t>
      </w:r>
    </w:p>
    <w:p w:rsidR="00093CEC" w:rsidP="00930C35" w:rsidRDefault="00093CEC" w14:paraId="7298F18C" w14:textId="77777777">
      <w:pPr>
        <w:rPr>
          <w:rFonts w:ascii="Palatino Linotype" w:hAnsi="Palatino Linotype"/>
          <w:b/>
          <w:bCs/>
        </w:rPr>
      </w:pPr>
    </w:p>
    <w:p w:rsidR="00093CEC" w:rsidP="00930C35" w:rsidRDefault="00093CEC" w14:paraId="1A2C2446" w14:textId="77777777">
      <w:pPr>
        <w:rPr>
          <w:rFonts w:ascii="Palatino Linotype" w:hAnsi="Palatino Linotype"/>
          <w:b/>
          <w:bCs/>
        </w:rPr>
        <w:sectPr w:rsidR="00093CEC" w:rsidSect="0064313E">
          <w:footerReference w:type="first" r:id="rId64"/>
          <w:pgSz w:w="12240" w:h="15840"/>
          <w:pgMar w:top="1440" w:right="1440" w:bottom="1440" w:left="1440" w:header="720" w:footer="720" w:gutter="0"/>
          <w:pgNumType w:start="1"/>
          <w:cols w:space="720"/>
          <w:titlePg/>
          <w:docGrid w:linePitch="360"/>
        </w:sectPr>
      </w:pPr>
    </w:p>
    <w:p w:rsidRPr="00391600" w:rsidR="00930C35" w:rsidP="00930C35" w:rsidRDefault="00930C35" w14:paraId="5CB2F749" w14:textId="61FDE35C">
      <w:pPr>
        <w:rPr>
          <w:rFonts w:ascii="Palatino Linotype" w:hAnsi="Palatino Linotype"/>
          <w:b/>
          <w:bCs/>
        </w:rPr>
      </w:pPr>
      <w:r w:rsidRPr="00391600">
        <w:rPr>
          <w:rFonts w:ascii="Palatino Linotype" w:hAnsi="Palatino Linotype"/>
          <w:b/>
          <w:bCs/>
        </w:rPr>
        <w:lastRenderedPageBreak/>
        <w:t xml:space="preserve">APPENDIX </w:t>
      </w:r>
      <w:r w:rsidRPr="00391600" w:rsidR="000E0EBD">
        <w:rPr>
          <w:rFonts w:ascii="Palatino Linotype" w:hAnsi="Palatino Linotype"/>
          <w:b/>
          <w:bCs/>
          <w:color w:val="000000" w:themeColor="text1"/>
        </w:rPr>
        <w:t>D</w:t>
      </w:r>
      <w:r w:rsidRPr="00391600">
        <w:rPr>
          <w:rFonts w:ascii="Palatino Linotype" w:hAnsi="Palatino Linotype"/>
          <w:b/>
          <w:bCs/>
          <w:color w:val="000000" w:themeColor="text1"/>
        </w:rPr>
        <w:t>:</w:t>
      </w:r>
      <w:r w:rsidRPr="00391600">
        <w:rPr>
          <w:rFonts w:ascii="Palatino Linotype" w:hAnsi="Palatino Linotype"/>
          <w:b/>
          <w:bCs/>
        </w:rPr>
        <w:t xml:space="preserve"> EPIC Foundational Principles for the Development of a Uniform Impact Analysis Framework</w:t>
      </w:r>
      <w:r w:rsidRPr="00391600">
        <w:rPr>
          <w:rStyle w:val="FootnoteReference"/>
          <w:rFonts w:ascii="Palatino Linotype" w:hAnsi="Palatino Linotype"/>
          <w:b/>
          <w:bCs/>
        </w:rPr>
        <w:footnoteReference w:id="178"/>
      </w:r>
    </w:p>
    <w:p w:rsidRPr="00391600" w:rsidR="00930C35" w:rsidP="00930C35" w:rsidRDefault="00930C35" w14:paraId="58C5A1D5" w14:textId="77777777">
      <w:pPr>
        <w:spacing w:line="276" w:lineRule="auto"/>
        <w:ind w:firstLine="720"/>
        <w:contextualSpacing/>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This document outlines the Commission’s expectations of Electric Program Investment Charge (EPIC) administrators in developing a uniform impact analysis framework and metrics, enabling the evaluation and tracking of the impacts of all EPIC projects, that complies with D.21-11-028, Ordering Paragraph 12. These foundational principles include:</w:t>
      </w:r>
    </w:p>
    <w:p w:rsidRPr="00391600" w:rsidR="00930C35" w:rsidP="00930C35" w:rsidRDefault="00930C35" w14:paraId="30DE3AF3" w14:textId="77777777">
      <w:pPr>
        <w:spacing w:line="276" w:lineRule="auto"/>
        <w:contextualSpacing/>
        <w:rPr>
          <w:rFonts w:ascii="Palatino Linotype" w:hAnsi="Palatino Linotype" w:eastAsia="Calibri" w:cs="Arial"/>
          <w:b/>
          <w:kern w:val="0"/>
          <w14:ligatures w14:val="none"/>
        </w:rPr>
      </w:pPr>
    </w:p>
    <w:p w:rsidRPr="00391600" w:rsidR="00930C35" w:rsidP="00930C35" w:rsidRDefault="00930C35" w14:paraId="58885C8F"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Purpose</w:t>
      </w:r>
    </w:p>
    <w:p w:rsidRPr="00391600" w:rsidR="00930C35" w:rsidP="003B475F" w:rsidRDefault="00930C35" w14:paraId="0253C374" w14:textId="77777777">
      <w:pPr>
        <w:pStyle w:val="ListParagraph"/>
        <w:numPr>
          <w:ilvl w:val="0"/>
          <w:numId w:val="19"/>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The mandatory guiding principle of EPIC is to provide ratepayer benefits as related to California's electric system.</w:t>
      </w:r>
      <w:r w:rsidRPr="00391600">
        <w:rPr>
          <w:rFonts w:ascii="Palatino Linotype" w:hAnsi="Palatino Linotype"/>
          <w:vertAlign w:val="superscript"/>
        </w:rPr>
        <w:footnoteReference w:id="179"/>
      </w:r>
    </w:p>
    <w:p w:rsidRPr="00391600" w:rsidR="00930C35" w:rsidP="003B475F" w:rsidRDefault="00930C35" w14:paraId="627DE306" w14:textId="77777777">
      <w:pPr>
        <w:pStyle w:val="ListParagraph"/>
        <w:numPr>
          <w:ilvl w:val="0"/>
          <w:numId w:val="19"/>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The EPIC impacts analysis framework should provide EPIC administrators with a uniform methodology to demonstrate with data the realized and potential impacts to ratepayers from EPIC research, development, and demonstration (RD&amp;D) investment.</w:t>
      </w:r>
    </w:p>
    <w:p w:rsidRPr="00391600" w:rsidR="00930C35" w:rsidP="00930C35" w:rsidRDefault="00930C35" w14:paraId="127B4BA1" w14:textId="77777777">
      <w:pPr>
        <w:spacing w:after="0" w:line="276" w:lineRule="auto"/>
        <w:ind w:left="274"/>
        <w:contextualSpacing/>
        <w:rPr>
          <w:rFonts w:ascii="Palatino Linotype" w:hAnsi="Palatino Linotype" w:eastAsia="Calibri" w:cs="Arial"/>
          <w:kern w:val="0"/>
          <w14:ligatures w14:val="none"/>
        </w:rPr>
      </w:pPr>
    </w:p>
    <w:p w:rsidRPr="00391600" w:rsidR="00930C35" w:rsidP="00930C35" w:rsidRDefault="00930C35" w14:paraId="1F111FEE"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Overarching Principles</w:t>
      </w:r>
    </w:p>
    <w:p w:rsidRPr="00391600" w:rsidR="00930C35" w:rsidP="003B475F" w:rsidRDefault="00930C35" w14:paraId="6F02A907" w14:textId="77777777">
      <w:pPr>
        <w:pStyle w:val="ListParagraph"/>
        <w:numPr>
          <w:ilvl w:val="0"/>
          <w:numId w:val="19"/>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In general, each EPIC project should offer a reasonable probability of providing benefits to ratepayers and expenditures on projects which have a low probability for success should be minimized,</w:t>
      </w:r>
      <w:r w:rsidRPr="00391600">
        <w:rPr>
          <w:rFonts w:ascii="Palatino Linotype" w:hAnsi="Palatino Linotype"/>
          <w:vertAlign w:val="superscript"/>
        </w:rPr>
        <w:footnoteReference w:id="180"/>
      </w:r>
      <w:r w:rsidRPr="00391600">
        <w:rPr>
          <w:rFonts w:ascii="Palatino Linotype" w:hAnsi="Palatino Linotype" w:eastAsia="Calibri" w:cs="Arial"/>
          <w:kern w:val="0"/>
          <w14:ligatures w14:val="none"/>
        </w:rPr>
        <w:t xml:space="preserve"> and the EPIC portfolio </w:t>
      </w:r>
      <w:proofErr w:type="gramStart"/>
      <w:r w:rsidRPr="00391600">
        <w:rPr>
          <w:rFonts w:ascii="Palatino Linotype" w:hAnsi="Palatino Linotype" w:eastAsia="Calibri" w:cs="Arial"/>
          <w:kern w:val="0"/>
          <w14:ligatures w14:val="none"/>
        </w:rPr>
        <w:t>as a whole should</w:t>
      </w:r>
      <w:proofErr w:type="gramEnd"/>
      <w:r w:rsidRPr="00391600">
        <w:rPr>
          <w:rFonts w:ascii="Palatino Linotype" w:hAnsi="Palatino Linotype" w:eastAsia="Calibri" w:cs="Arial"/>
          <w:kern w:val="0"/>
          <w14:ligatures w14:val="none"/>
        </w:rPr>
        <w:t xml:space="preserve"> demonstrably benefit ratepayers.</w:t>
      </w:r>
    </w:p>
    <w:p w:rsidRPr="00391600" w:rsidR="00930C35" w:rsidP="003B475F" w:rsidRDefault="00930C35" w14:paraId="541B5AE4" w14:textId="77777777">
      <w:pPr>
        <w:pStyle w:val="ListParagraph"/>
        <w:numPr>
          <w:ilvl w:val="0"/>
          <w:numId w:val="19"/>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While in some cases, a targeted group of ratepayers may benefit from an individual project’s output, EPIC investments should result in scalable and replicable innovations that prioritize solutions to address California’s energy and climate goals.</w:t>
      </w:r>
    </w:p>
    <w:p w:rsidRPr="00391600" w:rsidR="00930C35" w:rsidP="003B475F" w:rsidRDefault="00930C35" w14:paraId="387AC5A7" w14:textId="77777777">
      <w:pPr>
        <w:pStyle w:val="ListParagraph"/>
        <w:numPr>
          <w:ilvl w:val="0"/>
          <w:numId w:val="19"/>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Accurate and precise EPIC project and program impacts reporting is paramount to inform policy, decision making, and formulating EPIC strategic goals. Therefore, impacts resulting from the analytical framework must be defensible and not overstated. </w:t>
      </w:r>
    </w:p>
    <w:p w:rsidRPr="00391600" w:rsidR="00930C35" w:rsidP="003B475F" w:rsidRDefault="00930C35" w14:paraId="58FD75ED" w14:textId="77777777">
      <w:pPr>
        <w:pStyle w:val="ListParagraph"/>
        <w:numPr>
          <w:ilvl w:val="0"/>
          <w:numId w:val="19"/>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lastRenderedPageBreak/>
        <w:t xml:space="preserve">Clear methods are necessary to calculate past, current, and future EPIC impacts based on published data and reasonable assumptions, such that any party can take the data and assumptions and apply the methodology to recreate the results. Without such foundation, it will be difficult to calculate quantitative impacts of EPIC innovations that lack the market or deployment history to have readily available sufficient data for impacts analysis or project future impacts of pre-commercial innovations. </w:t>
      </w:r>
    </w:p>
    <w:p w:rsidRPr="00391600" w:rsidR="00930C35" w:rsidP="00930C35" w:rsidRDefault="00930C35" w14:paraId="0EA1F246" w14:textId="77777777">
      <w:pPr>
        <w:spacing w:after="0" w:line="276" w:lineRule="auto"/>
        <w:ind w:left="274"/>
        <w:contextualSpacing/>
        <w:rPr>
          <w:rFonts w:ascii="Palatino Linotype" w:hAnsi="Palatino Linotype" w:eastAsia="Calibri" w:cs="Arial"/>
          <w:kern w:val="0"/>
          <w14:ligatures w14:val="none"/>
        </w:rPr>
      </w:pPr>
    </w:p>
    <w:p w:rsidRPr="00391600" w:rsidR="00930C35" w:rsidP="00930C35" w:rsidRDefault="00930C35" w14:paraId="75D80D7E"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 xml:space="preserve">Net Impacts </w:t>
      </w:r>
    </w:p>
    <w:p w:rsidRPr="00391600" w:rsidR="00930C35" w:rsidP="003B475F" w:rsidRDefault="00930C35" w14:paraId="7C8A7F19" w14:textId="77777777">
      <w:pPr>
        <w:pStyle w:val="ListParagraph"/>
        <w:numPr>
          <w:ilvl w:val="0"/>
          <w:numId w:val="18"/>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Realized ratepayer benefits must be demonstrated by the incremental, value-added impact of EPIC innovation. </w:t>
      </w:r>
    </w:p>
    <w:p w:rsidRPr="00391600" w:rsidR="00930C35" w:rsidP="003B475F" w:rsidRDefault="00930C35" w14:paraId="683AEAAD" w14:textId="77777777">
      <w:pPr>
        <w:pStyle w:val="ListParagraph"/>
        <w:numPr>
          <w:ilvl w:val="1"/>
          <w:numId w:val="18"/>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For example, if a ratepayer spends $20 to save $30, the ratepayer benefit realized is the net $10 savings, not the gross $30 impact. Thus, the metric by which EPIC investments should be evaluated is </w:t>
      </w:r>
      <w:r w:rsidRPr="00391600">
        <w:rPr>
          <w:rFonts w:ascii="Palatino Linotype" w:hAnsi="Palatino Linotype" w:eastAsia="Calibri" w:cs="Arial"/>
          <w:i/>
          <w:kern w:val="0"/>
          <w14:ligatures w14:val="none"/>
        </w:rPr>
        <w:t>net</w:t>
      </w:r>
      <w:r w:rsidRPr="00391600">
        <w:rPr>
          <w:rFonts w:ascii="Palatino Linotype" w:hAnsi="Palatino Linotype" w:eastAsia="Calibri" w:cs="Arial"/>
          <w:kern w:val="0"/>
          <w14:ligatures w14:val="none"/>
        </w:rPr>
        <w:t xml:space="preserve">, not gross, impacts. </w:t>
      </w:r>
    </w:p>
    <w:p w:rsidRPr="00391600" w:rsidR="00930C35" w:rsidP="003B475F" w:rsidRDefault="00930C35" w14:paraId="3749CDC8" w14:textId="77777777">
      <w:pPr>
        <w:pStyle w:val="ListParagraph"/>
        <w:numPr>
          <w:ilvl w:val="0"/>
          <w:numId w:val="18"/>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Net impacts are required to calculate project or program benefit-cost ratios and rates of return on investment.</w:t>
      </w:r>
    </w:p>
    <w:p w:rsidRPr="00391600" w:rsidR="00930C35" w:rsidP="00930C35" w:rsidRDefault="00930C35" w14:paraId="256850D1" w14:textId="77777777">
      <w:pPr>
        <w:spacing w:after="0" w:line="276" w:lineRule="auto"/>
        <w:rPr>
          <w:rFonts w:ascii="Palatino Linotype" w:hAnsi="Palatino Linotype" w:eastAsia="Calibri" w:cs="Arial"/>
          <w:kern w:val="0"/>
          <w14:ligatures w14:val="none"/>
        </w:rPr>
      </w:pPr>
    </w:p>
    <w:p w:rsidRPr="00391600" w:rsidR="00930C35" w:rsidP="00930C35" w:rsidRDefault="00930C35" w14:paraId="2DF12FA1"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Attribution</w:t>
      </w:r>
    </w:p>
    <w:p w:rsidRPr="00391600" w:rsidR="00930C35" w:rsidP="003B475F" w:rsidRDefault="00930C35" w14:paraId="18BCF4D4" w14:textId="77777777">
      <w:pPr>
        <w:pStyle w:val="ListParagraph"/>
        <w:numPr>
          <w:ilvl w:val="0"/>
          <w:numId w:val="17"/>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To understand the impact of EPIC accurately and precisely, and therefore, inform continuance or improvements in EPIC strategic goals and strategic objectives, administrators should demonstrate to the CPUC what impacts have or are forecasted to occur that would not have otherwise occurred without EPIC investment (i.e., only these impacts should be attributed to EPIC.)</w:t>
      </w:r>
    </w:p>
    <w:p w:rsidRPr="00391600" w:rsidR="00930C35" w:rsidP="003B475F" w:rsidRDefault="00930C35" w14:paraId="24092B7B" w14:textId="77777777">
      <w:pPr>
        <w:pStyle w:val="ListParagraph"/>
        <w:numPr>
          <w:ilvl w:val="0"/>
          <w:numId w:val="17"/>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The portion of the observed change that is only due to EPIC investment must be documented with data, and a set of reasonable and acceptable rules for determining the share of credit attributed to EPIC developed, including attribution for the value of cost-shared, matching, or leveraged funding. </w:t>
      </w:r>
    </w:p>
    <w:p w:rsidRPr="00391600" w:rsidR="00930C35" w:rsidP="003B475F" w:rsidRDefault="00930C35" w14:paraId="0ED5C595" w14:textId="77777777">
      <w:pPr>
        <w:pStyle w:val="ListParagraph"/>
        <w:numPr>
          <w:ilvl w:val="0"/>
          <w:numId w:val="17"/>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Comparable scenarios should be used to estimate when the market would have produced an innovation had EPIC funding not been available. Where innovation would have eventually occurred without EPIC, impacts should be based on the acceleration in the time to market readiness of the innovation, rather than the lifetime of the technology itself. </w:t>
      </w:r>
    </w:p>
    <w:p w:rsidRPr="00391600" w:rsidR="00930C35" w:rsidP="003B475F" w:rsidRDefault="00930C35" w14:paraId="3A09ABF0" w14:textId="77777777">
      <w:pPr>
        <w:pStyle w:val="ListParagraph"/>
        <w:numPr>
          <w:ilvl w:val="1"/>
          <w:numId w:val="17"/>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For example, if a deployed EPIC innovation provides impacts for 20 years between 2025 and 2045, and it is determined the innovation would have </w:t>
      </w:r>
      <w:r w:rsidRPr="00391600">
        <w:rPr>
          <w:rFonts w:ascii="Palatino Linotype" w:hAnsi="Palatino Linotype" w:eastAsia="Calibri" w:cs="Arial"/>
          <w:kern w:val="0"/>
          <w14:ligatures w14:val="none"/>
        </w:rPr>
        <w:lastRenderedPageBreak/>
        <w:t>occurred and been deployed without EPIC in 2030, then the period of market acceleration due to EPIC is five years and EPIC impacts are calculated only for that 5-year period.</w:t>
      </w:r>
    </w:p>
    <w:p w:rsidRPr="00391600" w:rsidR="00930C35" w:rsidP="00930C35" w:rsidRDefault="00930C35" w14:paraId="2015E29E" w14:textId="77777777">
      <w:pPr>
        <w:spacing w:line="276" w:lineRule="auto"/>
        <w:contextualSpacing/>
        <w:rPr>
          <w:rFonts w:ascii="Palatino Linotype" w:hAnsi="Palatino Linotype" w:eastAsia="Calibri" w:cs="Arial"/>
          <w:kern w:val="0"/>
          <w14:ligatures w14:val="none"/>
        </w:rPr>
      </w:pPr>
    </w:p>
    <w:p w:rsidRPr="00391600" w:rsidR="00930C35" w:rsidP="00930C35" w:rsidRDefault="00930C35" w14:paraId="02A3855E"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Methods</w:t>
      </w:r>
    </w:p>
    <w:p w:rsidRPr="00391600" w:rsidR="00930C35" w:rsidP="003B475F" w:rsidRDefault="00930C35" w14:paraId="564022F1" w14:textId="77777777">
      <w:pPr>
        <w:pStyle w:val="ListParagraph"/>
        <w:numPr>
          <w:ilvl w:val="0"/>
          <w:numId w:val="16"/>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Administrators should use or adapt existing accepted methodologies where possible for efficiencies of resources, time, cost, and effort.</w:t>
      </w:r>
    </w:p>
    <w:p w:rsidRPr="00391600" w:rsidR="00930C35" w:rsidP="003B475F" w:rsidRDefault="00930C35" w14:paraId="75894F71" w14:textId="77777777">
      <w:pPr>
        <w:pStyle w:val="ListParagraph"/>
        <w:numPr>
          <w:ilvl w:val="0"/>
          <w:numId w:val="16"/>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The methodology used to calculate benefits should be grounded in theory (i.e., if funding certain small businesses is seen as beneficial, data documentation and impact demonstration of this strategy should be provided).</w:t>
      </w:r>
    </w:p>
    <w:p w:rsidRPr="00391600" w:rsidR="00930C35" w:rsidP="003B475F" w:rsidRDefault="00930C35" w14:paraId="2FB9955E" w14:textId="77777777">
      <w:pPr>
        <w:pStyle w:val="ListParagraph"/>
        <w:numPr>
          <w:ilvl w:val="0"/>
          <w:numId w:val="16"/>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Impacts evaluation may involve expert elicitation. Clearly and succinctly framing questions </w:t>
      </w:r>
      <w:proofErr w:type="gramStart"/>
      <w:r w:rsidRPr="00391600">
        <w:rPr>
          <w:rFonts w:ascii="Palatino Linotype" w:hAnsi="Palatino Linotype" w:eastAsia="Calibri" w:cs="Arial"/>
          <w:kern w:val="0"/>
          <w14:ligatures w14:val="none"/>
        </w:rPr>
        <w:t>is</w:t>
      </w:r>
      <w:proofErr w:type="gramEnd"/>
      <w:r w:rsidRPr="00391600">
        <w:rPr>
          <w:rFonts w:ascii="Palatino Linotype" w:hAnsi="Palatino Linotype" w:eastAsia="Calibri" w:cs="Arial"/>
          <w:kern w:val="0"/>
          <w14:ligatures w14:val="none"/>
        </w:rPr>
        <w:t xml:space="preserve"> required to guide experts in obtaining pertinent data. </w:t>
      </w:r>
    </w:p>
    <w:p w:rsidRPr="00391600" w:rsidR="00930C35" w:rsidP="00930C35" w:rsidRDefault="00930C35" w14:paraId="7DA3FF9A" w14:textId="77777777">
      <w:pPr>
        <w:spacing w:after="0" w:line="276" w:lineRule="auto"/>
        <w:rPr>
          <w:rFonts w:ascii="Palatino Linotype" w:hAnsi="Palatino Linotype" w:eastAsia="Calibri" w:cs="Arial"/>
          <w:kern w:val="0"/>
          <w14:ligatures w14:val="none"/>
        </w:rPr>
      </w:pPr>
    </w:p>
    <w:p w:rsidRPr="00391600" w:rsidR="00930C35" w:rsidP="00930C35" w:rsidRDefault="00930C35" w14:paraId="1791A997"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Metrics</w:t>
      </w:r>
    </w:p>
    <w:p w:rsidRPr="00391600" w:rsidR="00930C35" w:rsidP="003B475F" w:rsidRDefault="00930C35" w14:paraId="4A23B609" w14:textId="77777777">
      <w:pPr>
        <w:pStyle w:val="ListParagraph"/>
        <w:numPr>
          <w:ilvl w:val="0"/>
          <w:numId w:val="15"/>
        </w:numPr>
        <w:spacing w:after="120" w:line="276" w:lineRule="auto"/>
        <w:rPr>
          <w:rFonts w:ascii="Palatino Linotype" w:hAnsi="Palatino Linotype" w:eastAsia="Calibri" w:cs="Arial"/>
          <w:kern w:val="0"/>
          <w14:ligatures w14:val="none"/>
        </w:rPr>
      </w:pPr>
      <w:hyperlink w:history="1" r:id="rId65">
        <w:r w:rsidRPr="00391600">
          <w:rPr>
            <w:rFonts w:ascii="Palatino Linotype" w:hAnsi="Palatino Linotype" w:eastAsia="Calibri" w:cs="Arial"/>
            <w:color w:val="0563C1"/>
            <w:kern w:val="0"/>
            <w:u w:val="single"/>
            <w14:ligatures w14:val="none"/>
          </w:rPr>
          <w:t>D.13-11-025</w:t>
        </w:r>
      </w:hyperlink>
      <w:r w:rsidRPr="00391600">
        <w:rPr>
          <w:rFonts w:ascii="Palatino Linotype" w:hAnsi="Palatino Linotype" w:eastAsia="Calibri" w:cs="Arial"/>
          <w:kern w:val="0"/>
          <w14:ligatures w14:val="none"/>
        </w:rPr>
        <w:t>, Attachment 4 provides a list of impacts (</w:t>
      </w:r>
      <w:r w:rsidRPr="00391600">
        <w:rPr>
          <w:rFonts w:ascii="Palatino Linotype" w:hAnsi="Palatino Linotype" w:eastAsia="Calibri" w:cs="Arial"/>
          <w:i/>
          <w:kern w:val="0"/>
          <w14:ligatures w14:val="none"/>
        </w:rPr>
        <w:t xml:space="preserve">Metrics and Potential Areas of Measurement) </w:t>
      </w:r>
      <w:r w:rsidRPr="00391600">
        <w:rPr>
          <w:rFonts w:ascii="Palatino Linotype" w:hAnsi="Palatino Linotype" w:eastAsia="Calibri" w:cs="Arial"/>
          <w:kern w:val="0"/>
          <w14:ligatures w14:val="none"/>
        </w:rPr>
        <w:t>proposed by the EPIC administrators and approved by the CPUC, which can serve as the basis for discussion of metrics. The list includes 10 impact metric categories and 59 potential areas of measurement. The decision allows creation of new project-specific impact metrics to consider for revisions.</w:t>
      </w:r>
    </w:p>
    <w:p w:rsidRPr="00391600" w:rsidR="00930C35" w:rsidP="003B475F" w:rsidRDefault="00930C35" w14:paraId="570B493D" w14:textId="77777777">
      <w:pPr>
        <w:pStyle w:val="ListParagraph"/>
        <w:numPr>
          <w:ilvl w:val="0"/>
          <w:numId w:val="15"/>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Because units of measure have not been defined for many of these metrics, additional definitions are required for uniform impact reporting. This impacts metrics list may be modified and updated based on new information and must be used consistently across all administrators. </w:t>
      </w:r>
    </w:p>
    <w:p w:rsidRPr="00391600" w:rsidR="00930C35" w:rsidP="00930C35" w:rsidRDefault="00930C35" w14:paraId="67059E6C" w14:textId="77777777">
      <w:pPr>
        <w:spacing w:after="0" w:line="276" w:lineRule="auto"/>
        <w:rPr>
          <w:rFonts w:ascii="Palatino Linotype" w:hAnsi="Palatino Linotype" w:eastAsia="Calibri" w:cs="Arial"/>
          <w:kern w:val="0"/>
          <w14:ligatures w14:val="none"/>
        </w:rPr>
      </w:pPr>
    </w:p>
    <w:p w:rsidRPr="00391600" w:rsidR="00930C35" w:rsidP="00930C35" w:rsidRDefault="00930C35" w14:paraId="5D9B7956" w14:textId="77777777">
      <w:pPr>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Assumptions</w:t>
      </w:r>
    </w:p>
    <w:p w:rsidRPr="00391600" w:rsidR="00930C35" w:rsidP="003B475F" w:rsidRDefault="00930C35" w14:paraId="308ACBDC" w14:textId="77777777">
      <w:pPr>
        <w:pStyle w:val="ListParagraph"/>
        <w:numPr>
          <w:ilvl w:val="0"/>
          <w:numId w:val="14"/>
        </w:numPr>
        <w:spacing w:after="12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To the extent possible, administrators should use the same core data set for basic assumptions, such as the emissions profile of peak power in each service area. If administrators do not use the same data set, they should provide rationale for why not.</w:t>
      </w:r>
    </w:p>
    <w:p w:rsidRPr="00391600" w:rsidR="00930C35" w:rsidP="003B475F" w:rsidRDefault="00930C35" w14:paraId="57BB74D0" w14:textId="77777777">
      <w:pPr>
        <w:pStyle w:val="ListParagraph"/>
        <w:numPr>
          <w:ilvl w:val="0"/>
          <w:numId w:val="14"/>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 xml:space="preserve">While market penetration assumptions may vary by innovation, the method by which these assumptions </w:t>
      </w:r>
      <w:proofErr w:type="gramStart"/>
      <w:r w:rsidRPr="00391600">
        <w:rPr>
          <w:rFonts w:ascii="Palatino Linotype" w:hAnsi="Palatino Linotype" w:eastAsia="Calibri" w:cs="Arial"/>
          <w:kern w:val="0"/>
          <w14:ligatures w14:val="none"/>
        </w:rPr>
        <w:t>are arrived</w:t>
      </w:r>
      <w:proofErr w:type="gramEnd"/>
      <w:r w:rsidRPr="00391600">
        <w:rPr>
          <w:rFonts w:ascii="Palatino Linotype" w:hAnsi="Palatino Linotype" w:eastAsia="Calibri" w:cs="Arial"/>
          <w:kern w:val="0"/>
          <w14:ligatures w14:val="none"/>
        </w:rPr>
        <w:t xml:space="preserve"> should be consistent. </w:t>
      </w:r>
    </w:p>
    <w:p w:rsidRPr="00391600" w:rsidR="00930C35" w:rsidP="00930C35" w:rsidRDefault="00930C35" w14:paraId="4D7D2AC0" w14:textId="77777777">
      <w:pPr>
        <w:spacing w:after="0" w:line="276" w:lineRule="auto"/>
        <w:ind w:left="274"/>
        <w:contextualSpacing/>
        <w:rPr>
          <w:rFonts w:ascii="Palatino Linotype" w:hAnsi="Palatino Linotype" w:eastAsia="Calibri" w:cs="Arial"/>
          <w:kern w:val="0"/>
          <w14:ligatures w14:val="none"/>
        </w:rPr>
      </w:pPr>
    </w:p>
    <w:p w:rsidRPr="00391600" w:rsidR="00930C35" w:rsidP="00E90BAB" w:rsidRDefault="00930C35" w14:paraId="55DDE3C3" w14:textId="77777777">
      <w:pPr>
        <w:keepNext/>
        <w:spacing w:before="200"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lastRenderedPageBreak/>
        <w:t>Impact Reporting</w:t>
      </w:r>
    </w:p>
    <w:p w:rsidRPr="00391600" w:rsidR="00930C35" w:rsidP="00E90BAB" w:rsidRDefault="00930C35" w14:paraId="3C778BC7" w14:textId="77777777">
      <w:pPr>
        <w:pStyle w:val="ListParagraph"/>
        <w:keepNext/>
        <w:numPr>
          <w:ilvl w:val="0"/>
          <w:numId w:val="13"/>
        </w:numPr>
        <w:spacing w:after="0" w:line="276" w:lineRule="auto"/>
        <w:rPr>
          <w:rFonts w:ascii="Palatino Linotype" w:hAnsi="Palatino Linotype" w:eastAsia="Calibri" w:cs="Arial"/>
          <w:kern w:val="0"/>
          <w14:ligatures w14:val="none"/>
        </w:rPr>
      </w:pPr>
      <w:r w:rsidRPr="00391600">
        <w:rPr>
          <w:rFonts w:ascii="Palatino Linotype" w:hAnsi="Palatino Linotype" w:eastAsia="Calibri" w:cs="Arial"/>
          <w:kern w:val="0"/>
          <w14:ligatures w14:val="none"/>
        </w:rPr>
        <w:t>For clarity of impacts on different economic sectors, direct, indirect, and induced impacts should be disaggregated in reporting.</w:t>
      </w:r>
    </w:p>
    <w:p w:rsidRPr="00391600" w:rsidR="00930C35" w:rsidP="00930C35" w:rsidRDefault="00930C35" w14:paraId="513A2643" w14:textId="77777777">
      <w:pPr>
        <w:spacing w:after="0" w:line="276" w:lineRule="auto"/>
        <w:ind w:left="274"/>
        <w:contextualSpacing/>
        <w:rPr>
          <w:rFonts w:ascii="Palatino Linotype" w:hAnsi="Palatino Linotype" w:eastAsia="Calibri" w:cs="Arial"/>
          <w:kern w:val="0"/>
          <w14:ligatures w14:val="none"/>
        </w:rPr>
      </w:pPr>
    </w:p>
    <w:p w:rsidRPr="00391600" w:rsidR="00930C35" w:rsidP="00930C35" w:rsidRDefault="00930C35" w14:paraId="3EDAB16E" w14:textId="77777777">
      <w:pPr>
        <w:spacing w:after="0" w:line="276" w:lineRule="auto"/>
        <w:contextualSpacing/>
        <w:rPr>
          <w:rFonts w:ascii="Palatino Linotype" w:hAnsi="Palatino Linotype" w:eastAsia="Calibri" w:cs="Arial"/>
          <w:b/>
          <w:kern w:val="0"/>
          <w14:ligatures w14:val="none"/>
        </w:rPr>
      </w:pPr>
      <w:r w:rsidRPr="00391600">
        <w:rPr>
          <w:rFonts w:ascii="Palatino Linotype" w:hAnsi="Palatino Linotype" w:eastAsia="Calibri" w:cs="Arial"/>
          <w:b/>
          <w:kern w:val="0"/>
          <w14:ligatures w14:val="none"/>
        </w:rPr>
        <w:t>Iterative Process</w:t>
      </w:r>
    </w:p>
    <w:p w:rsidRPr="00391600" w:rsidR="00930C35" w:rsidP="003B475F" w:rsidRDefault="00930C35" w14:paraId="66D5A1AD" w14:textId="77777777">
      <w:pPr>
        <w:pStyle w:val="ListParagraph"/>
        <w:numPr>
          <w:ilvl w:val="0"/>
          <w:numId w:val="12"/>
        </w:numPr>
        <w:spacing w:after="0" w:line="276" w:lineRule="auto"/>
        <w:rPr>
          <w:rFonts w:ascii="Palatino Linotype" w:hAnsi="Palatino Linotype"/>
        </w:rPr>
      </w:pPr>
      <w:r w:rsidRPr="00391600">
        <w:rPr>
          <w:rFonts w:ascii="Palatino Linotype" w:hAnsi="Palatino Linotype" w:eastAsia="Calibri" w:cs="Arial"/>
          <w:kern w:val="0"/>
          <w14:ligatures w14:val="none"/>
        </w:rPr>
        <w:t>Guidelines may be revised and clarified as the EPIC Impacts Analysis Framework is developed to achieve the goals and principles outlined above.</w:t>
      </w:r>
    </w:p>
    <w:p w:rsidRPr="00391600" w:rsidR="00930C35" w:rsidP="00930C35" w:rsidRDefault="00930C35" w14:paraId="2CA84616" w14:textId="77777777">
      <w:pPr>
        <w:spacing w:after="0" w:line="276" w:lineRule="auto"/>
        <w:rPr>
          <w:rFonts w:ascii="Palatino Linotype" w:hAnsi="Palatino Linotype"/>
        </w:rPr>
      </w:pPr>
    </w:p>
    <w:p w:rsidRPr="00391600" w:rsidR="00930C35" w:rsidP="00930C35" w:rsidRDefault="00930C35" w14:paraId="4E958478" w14:textId="77777777">
      <w:pPr>
        <w:spacing w:after="0" w:line="276" w:lineRule="auto"/>
        <w:rPr>
          <w:rFonts w:ascii="Palatino Linotype" w:hAnsi="Palatino Linotype"/>
        </w:rPr>
      </w:pPr>
    </w:p>
    <w:p w:rsidRPr="00391600" w:rsidR="00930C35" w:rsidP="00930C35" w:rsidRDefault="00930C35" w14:paraId="5907DE90" w14:textId="77777777">
      <w:pPr>
        <w:spacing w:after="0" w:line="276" w:lineRule="auto"/>
        <w:rPr>
          <w:rFonts w:ascii="Palatino Linotype" w:hAnsi="Palatino Linotype"/>
        </w:rPr>
      </w:pPr>
    </w:p>
    <w:p w:rsidRPr="00CA3F84" w:rsidR="00543407" w:rsidP="00CA3F84" w:rsidRDefault="00543407" w14:paraId="2888305B" w14:textId="26DF1F3C">
      <w:pPr>
        <w:rPr>
          <w:rFonts w:ascii="Palatino Linotype" w:hAnsi="Palatino Linotype"/>
        </w:rPr>
        <w:sectPr w:rsidRPr="00CA3F84" w:rsidR="00543407" w:rsidSect="00750E92">
          <w:footerReference w:type="default" r:id="rId66"/>
          <w:pgSz w:w="12240" w:h="15840"/>
          <w:pgMar w:top="1440" w:right="1440" w:bottom="1440" w:left="1440" w:header="720" w:footer="720" w:gutter="0"/>
          <w:cols w:space="720"/>
          <w:titlePg/>
          <w:docGrid w:linePitch="360"/>
        </w:sectPr>
      </w:pPr>
    </w:p>
    <w:p w:rsidR="00CA3F84" w:rsidP="00930C35" w:rsidRDefault="00CA3F84" w14:paraId="0BF4A039" w14:textId="77777777">
      <w:pPr>
        <w:spacing w:after="0" w:line="276" w:lineRule="auto"/>
        <w:rPr>
          <w:rFonts w:ascii="Palatino Linotype" w:hAnsi="Palatino Linotype"/>
          <w:b/>
          <w:bCs/>
          <w:color w:val="000000" w:themeColor="text1"/>
        </w:rPr>
      </w:pPr>
    </w:p>
    <w:p w:rsidR="00CA3F84" w:rsidP="00930C35" w:rsidRDefault="00CA3F84" w14:paraId="77F16E91" w14:textId="77777777">
      <w:pPr>
        <w:spacing w:after="0" w:line="276" w:lineRule="auto"/>
        <w:rPr>
          <w:rFonts w:ascii="Palatino Linotype" w:hAnsi="Palatino Linotype"/>
          <w:b/>
          <w:bCs/>
          <w:color w:val="000000" w:themeColor="text1"/>
        </w:rPr>
      </w:pPr>
    </w:p>
    <w:p w:rsidR="00CA3F84" w:rsidP="00930C35" w:rsidRDefault="00CA3F84" w14:paraId="6D535058" w14:textId="77777777">
      <w:pPr>
        <w:spacing w:after="0" w:line="276" w:lineRule="auto"/>
        <w:rPr>
          <w:rFonts w:ascii="Palatino Linotype" w:hAnsi="Palatino Linotype"/>
          <w:b/>
          <w:bCs/>
          <w:color w:val="000000" w:themeColor="text1"/>
        </w:rPr>
      </w:pPr>
    </w:p>
    <w:p w:rsidR="00CA3F84" w:rsidP="00930C35" w:rsidRDefault="00CA3F84" w14:paraId="5FBAA386" w14:textId="77777777">
      <w:pPr>
        <w:spacing w:after="0" w:line="276" w:lineRule="auto"/>
        <w:rPr>
          <w:rFonts w:ascii="Palatino Linotype" w:hAnsi="Palatino Linotype"/>
          <w:b/>
          <w:bCs/>
          <w:color w:val="000000" w:themeColor="text1"/>
        </w:rPr>
      </w:pPr>
    </w:p>
    <w:p w:rsidR="00CA3F84" w:rsidP="00930C35" w:rsidRDefault="00CA3F84" w14:paraId="6A605015" w14:textId="77777777">
      <w:pPr>
        <w:spacing w:after="0" w:line="276" w:lineRule="auto"/>
        <w:rPr>
          <w:rFonts w:ascii="Palatino Linotype" w:hAnsi="Palatino Linotype"/>
          <w:b/>
          <w:bCs/>
          <w:color w:val="000000" w:themeColor="text1"/>
        </w:rPr>
      </w:pPr>
    </w:p>
    <w:p w:rsidR="00CA3F84" w:rsidP="00930C35" w:rsidRDefault="00CA3F84" w14:paraId="1C80AA3A" w14:textId="77777777">
      <w:pPr>
        <w:spacing w:after="0" w:line="276" w:lineRule="auto"/>
        <w:rPr>
          <w:rFonts w:ascii="Palatino Linotype" w:hAnsi="Palatino Linotype"/>
          <w:b/>
          <w:bCs/>
          <w:color w:val="000000" w:themeColor="text1"/>
        </w:rPr>
      </w:pPr>
    </w:p>
    <w:p w:rsidR="00CA3F84" w:rsidP="00930C35" w:rsidRDefault="00CA3F84" w14:paraId="561DD9D0" w14:textId="77777777">
      <w:pPr>
        <w:spacing w:after="0" w:line="276" w:lineRule="auto"/>
        <w:rPr>
          <w:rFonts w:ascii="Palatino Linotype" w:hAnsi="Palatino Linotype"/>
          <w:b/>
          <w:bCs/>
          <w:color w:val="000000" w:themeColor="text1"/>
        </w:rPr>
      </w:pPr>
    </w:p>
    <w:p w:rsidRPr="000D0BB2" w:rsidR="00CA3F84" w:rsidP="00CA3F84" w:rsidRDefault="00CA3F84" w14:paraId="7460EA7C" w14:textId="316629AA">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E</w:t>
      </w:r>
    </w:p>
    <w:p w:rsidR="00CA3F84" w:rsidP="00930C35" w:rsidRDefault="00CA3F84" w14:paraId="0F659FA3" w14:textId="77777777">
      <w:pPr>
        <w:spacing w:after="0" w:line="276" w:lineRule="auto"/>
        <w:rPr>
          <w:rFonts w:ascii="Palatino Linotype" w:hAnsi="Palatino Linotype"/>
          <w:b/>
          <w:bCs/>
          <w:color w:val="000000" w:themeColor="text1"/>
        </w:rPr>
      </w:pPr>
    </w:p>
    <w:p w:rsidR="00CA3F84" w:rsidP="00930C35" w:rsidRDefault="00CA3F84" w14:paraId="3AE993F2" w14:textId="77777777">
      <w:pPr>
        <w:spacing w:after="0" w:line="276" w:lineRule="auto"/>
        <w:rPr>
          <w:rFonts w:ascii="Palatino Linotype" w:hAnsi="Palatino Linotype"/>
          <w:b/>
          <w:bCs/>
          <w:color w:val="000000" w:themeColor="text1"/>
        </w:rPr>
      </w:pPr>
    </w:p>
    <w:p w:rsidR="00CA3F84" w:rsidP="00930C35" w:rsidRDefault="00CA3F84" w14:paraId="37591CF3" w14:textId="77777777">
      <w:pPr>
        <w:spacing w:after="0" w:line="276" w:lineRule="auto"/>
        <w:rPr>
          <w:rFonts w:ascii="Palatino Linotype" w:hAnsi="Palatino Linotype"/>
          <w:b/>
          <w:bCs/>
          <w:color w:val="000000" w:themeColor="text1"/>
        </w:rPr>
        <w:sectPr w:rsidR="00CA3F84" w:rsidSect="00E669F0">
          <w:footerReference w:type="first" r:id="rId67"/>
          <w:pgSz w:w="12240" w:h="15840"/>
          <w:pgMar w:top="1440" w:right="1440" w:bottom="1440" w:left="1440" w:header="720" w:footer="720" w:gutter="0"/>
          <w:pgNumType w:start="1"/>
          <w:cols w:space="720"/>
          <w:titlePg/>
          <w:docGrid w:linePitch="360"/>
        </w:sectPr>
      </w:pPr>
    </w:p>
    <w:p w:rsidRPr="00391600" w:rsidR="004934EA" w:rsidP="00930C35" w:rsidRDefault="00930C35" w14:paraId="6077542A" w14:textId="204FF4D1">
      <w:pPr>
        <w:spacing w:after="0" w:line="276" w:lineRule="auto"/>
        <w:rPr>
          <w:rFonts w:ascii="Palatino Linotype" w:hAnsi="Palatino Linotype"/>
          <w:b/>
          <w:bCs/>
          <w:color w:val="000000" w:themeColor="text1"/>
        </w:rPr>
      </w:pPr>
      <w:r w:rsidRPr="00391600">
        <w:rPr>
          <w:rFonts w:ascii="Palatino Linotype" w:hAnsi="Palatino Linotype"/>
          <w:b/>
          <w:bCs/>
          <w:color w:val="000000" w:themeColor="text1"/>
        </w:rPr>
        <w:lastRenderedPageBreak/>
        <w:t xml:space="preserve">APPENDIX </w:t>
      </w:r>
      <w:r w:rsidRPr="00391600" w:rsidR="000E0EBD">
        <w:rPr>
          <w:rFonts w:ascii="Palatino Linotype" w:hAnsi="Palatino Linotype"/>
          <w:b/>
          <w:bCs/>
          <w:color w:val="000000" w:themeColor="text1"/>
        </w:rPr>
        <w:t>E</w:t>
      </w:r>
      <w:r w:rsidRPr="00391600">
        <w:rPr>
          <w:rFonts w:ascii="Palatino Linotype" w:hAnsi="Palatino Linotype"/>
          <w:b/>
          <w:bCs/>
          <w:color w:val="000000" w:themeColor="text1"/>
        </w:rPr>
        <w:t xml:space="preserve">: </w:t>
      </w:r>
      <w:r w:rsidRPr="00391600" w:rsidR="004934EA">
        <w:rPr>
          <w:rFonts w:ascii="Palatino Linotype" w:hAnsi="Palatino Linotype"/>
          <w:b/>
          <w:bCs/>
          <w:color w:val="000000" w:themeColor="text1"/>
        </w:rPr>
        <w:t xml:space="preserve">CEC Gas RD&amp;D Funding Process for Budgets Less </w:t>
      </w:r>
      <w:r w:rsidRPr="00391600" w:rsidR="00426087">
        <w:rPr>
          <w:rFonts w:ascii="Palatino Linotype" w:hAnsi="Palatino Linotype"/>
          <w:b/>
          <w:bCs/>
          <w:color w:val="000000" w:themeColor="text1"/>
        </w:rPr>
        <w:t>T</w:t>
      </w:r>
      <w:r w:rsidRPr="00391600" w:rsidR="004934EA">
        <w:rPr>
          <w:rFonts w:ascii="Palatino Linotype" w:hAnsi="Palatino Linotype"/>
          <w:b/>
          <w:bCs/>
          <w:color w:val="000000" w:themeColor="text1"/>
        </w:rPr>
        <w:t>han $24M</w:t>
      </w:r>
    </w:p>
    <w:p w:rsidRPr="00391600" w:rsidR="00930C35" w:rsidP="00930C35" w:rsidRDefault="00930C35" w14:paraId="6B0A4D31" w14:textId="7616B6FF">
      <w:pPr>
        <w:spacing w:after="0" w:line="276" w:lineRule="auto"/>
        <w:rPr>
          <w:rFonts w:ascii="Palatino Linotype" w:hAnsi="Palatino Linotype"/>
          <w:i/>
          <w:iCs/>
          <w:color w:val="000000" w:themeColor="text1"/>
          <w:sz w:val="20"/>
          <w:szCs w:val="20"/>
        </w:rPr>
      </w:pPr>
      <w:r w:rsidRPr="00391600">
        <w:rPr>
          <w:rFonts w:ascii="Palatino Linotype" w:hAnsi="Palatino Linotype"/>
          <w:i/>
          <w:iCs/>
          <w:color w:val="000000" w:themeColor="text1"/>
          <w:sz w:val="20"/>
          <w:szCs w:val="20"/>
        </w:rPr>
        <w:t>CEC’s FY 2012-2013 Annual Report (October 2013) (p. 6-7)</w:t>
      </w:r>
    </w:p>
    <w:p w:rsidRPr="00391600" w:rsidR="00930C35" w:rsidP="00930C35" w:rsidRDefault="00930C35" w14:paraId="05403BF4" w14:textId="77777777">
      <w:pPr>
        <w:spacing w:after="0" w:line="276" w:lineRule="auto"/>
        <w:rPr>
          <w:rFonts w:ascii="Palatino Linotype" w:hAnsi="Palatino Linotype"/>
          <w:color w:val="A6A6A6" w:themeColor="background1" w:themeShade="A6"/>
        </w:rPr>
      </w:pPr>
    </w:p>
    <w:p w:rsidRPr="00391600" w:rsidR="00930C35" w:rsidP="001C67E2" w:rsidRDefault="00930C35" w14:paraId="5A9C681F" w14:textId="0EB9157F">
      <w:pPr>
        <w:pStyle w:val="default0"/>
        <w:spacing w:after="240" w:line="276" w:lineRule="auto"/>
        <w:rPr>
          <w:rFonts w:ascii="Palatino Linotype" w:hAnsi="Palatino Linotype" w:cs="Arial"/>
          <w:color w:val="000000" w:themeColor="text1"/>
        </w:rPr>
      </w:pPr>
      <w:r w:rsidRPr="00391600">
        <w:rPr>
          <w:rFonts w:ascii="Palatino Linotype" w:hAnsi="Palatino Linotype" w:cs="Arial"/>
          <w:color w:val="000000" w:themeColor="text1"/>
        </w:rPr>
        <w:t>[Resolution G-3484] requires the Energy Commission to explain its process for funding the PIER Natural Gas R&amp;D program in cases where the CPUC authorizes less than what the Energy Commission proposed in its budgets.</w:t>
      </w:r>
    </w:p>
    <w:p w:rsidRPr="00391600" w:rsidR="00930C35" w:rsidP="00930C35" w:rsidRDefault="00930C35" w14:paraId="3D53636D" w14:textId="77777777">
      <w:pPr>
        <w:spacing w:line="276" w:lineRule="auto"/>
        <w:rPr>
          <w:rFonts w:ascii="Palatino Linotype" w:hAnsi="Palatino Linotype" w:cs="Arial"/>
          <w:color w:val="000000" w:themeColor="text1"/>
        </w:rPr>
      </w:pPr>
      <w:r w:rsidRPr="00391600">
        <w:rPr>
          <w:rFonts w:ascii="Palatino Linotype" w:hAnsi="Palatino Linotype" w:cs="Arial"/>
          <w:color w:val="000000" w:themeColor="text1"/>
        </w:rPr>
        <w:t>The Energy Commission acknowledges that the CPUC retains the authority to approve the full amount of funds requested in the annual Natural Gas R&amp;D Budget Plan or to reduce that amount if the CPUC believes that a lesser amount is in the ratepayers’ interest. If in future years the CPUC decides to authorize less than $24 million, the Energy Commission will proportionally reduce the requested transfers from the Gas Consumption Surcharge Fund by that amount. Below is the detailed process the Energy Commission would follow:</w:t>
      </w:r>
    </w:p>
    <w:p w:rsidRPr="00391600" w:rsidR="00930C35" w:rsidP="003B475F" w:rsidRDefault="00930C35" w14:paraId="431A113B"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391600">
        <w:rPr>
          <w:rFonts w:ascii="Palatino Linotype" w:hAnsi="Palatino Linotype" w:cs="Arial"/>
          <w:color w:val="000000" w:themeColor="text1"/>
        </w:rPr>
        <w:t>The Energy Commission submits a proposed budget as part of the annual State Budget process in the fall of each year for consideration in the next year’s Governor’s budget. Included in the budget request is up to $24 million in proposed PIER Natural Gas funding.</w:t>
      </w:r>
    </w:p>
    <w:p w:rsidRPr="00391600" w:rsidR="00930C35" w:rsidP="003B475F" w:rsidRDefault="00930C35" w14:paraId="5A13ECF5"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391600">
        <w:rPr>
          <w:rFonts w:ascii="Palatino Linotype" w:hAnsi="Palatino Linotype" w:cs="Arial"/>
          <w:color w:val="000000" w:themeColor="text1"/>
        </w:rPr>
        <w:t xml:space="preserve">The Energy Commission submits a proposed PIER Natural Gas Budget plan to the CPUC by the following March 31st of each year for </w:t>
      </w:r>
      <w:proofErr w:type="gramStart"/>
      <w:r w:rsidRPr="00391600">
        <w:rPr>
          <w:rFonts w:ascii="Palatino Linotype" w:hAnsi="Palatino Linotype" w:cs="Arial"/>
          <w:color w:val="000000" w:themeColor="text1"/>
        </w:rPr>
        <w:t>the CPUC’s</w:t>
      </w:r>
      <w:proofErr w:type="gramEnd"/>
      <w:r w:rsidRPr="00391600">
        <w:rPr>
          <w:rFonts w:ascii="Palatino Linotype" w:hAnsi="Palatino Linotype" w:cs="Arial"/>
          <w:color w:val="000000" w:themeColor="text1"/>
        </w:rPr>
        <w:t xml:space="preserve"> consideration. </w:t>
      </w:r>
      <w:proofErr w:type="gramStart"/>
      <w:r w:rsidRPr="00391600">
        <w:rPr>
          <w:rFonts w:ascii="Palatino Linotype" w:hAnsi="Palatino Linotype" w:cs="Arial"/>
          <w:color w:val="000000" w:themeColor="text1"/>
        </w:rPr>
        <w:t>Typically</w:t>
      </w:r>
      <w:proofErr w:type="gramEnd"/>
      <w:r w:rsidRPr="00391600">
        <w:rPr>
          <w:rFonts w:ascii="Palatino Linotype" w:hAnsi="Palatino Linotype" w:cs="Arial"/>
          <w:color w:val="000000" w:themeColor="text1"/>
        </w:rPr>
        <w:t xml:space="preserve"> the CPUC decides on the request by June 30</w:t>
      </w:r>
      <w:r w:rsidRPr="00391600">
        <w:rPr>
          <w:rFonts w:ascii="Palatino Linotype" w:hAnsi="Palatino Linotype" w:cs="Arial"/>
          <w:color w:val="000000" w:themeColor="text1"/>
          <w:vertAlign w:val="superscript"/>
        </w:rPr>
        <w:t>th</w:t>
      </w:r>
      <w:r w:rsidRPr="00391600">
        <w:rPr>
          <w:rFonts w:ascii="Palatino Linotype" w:hAnsi="Palatino Linotype" w:cs="Arial"/>
          <w:color w:val="000000" w:themeColor="text1"/>
        </w:rPr>
        <w:t>.</w:t>
      </w:r>
    </w:p>
    <w:p w:rsidRPr="00391600" w:rsidR="00930C35" w:rsidP="003B475F" w:rsidRDefault="00930C35" w14:paraId="49765BC1" w14:textId="77777777">
      <w:pPr>
        <w:pStyle w:val="ListParagraph"/>
        <w:numPr>
          <w:ilvl w:val="0"/>
          <w:numId w:val="20"/>
        </w:numPr>
        <w:spacing w:after="0" w:line="276" w:lineRule="auto"/>
        <w:contextualSpacing w:val="0"/>
        <w:rPr>
          <w:rFonts w:ascii="Palatino Linotype" w:hAnsi="Palatino Linotype" w:cs="Arial"/>
          <w:color w:val="000000" w:themeColor="text1"/>
        </w:rPr>
      </w:pPr>
      <w:r w:rsidRPr="00391600">
        <w:rPr>
          <w:rFonts w:ascii="Palatino Linotype" w:hAnsi="Palatino Linotype" w:cs="Arial"/>
          <w:color w:val="000000" w:themeColor="text1"/>
        </w:rPr>
        <w:t>The state budget is approved by the Legislature and signed by the Governor.</w:t>
      </w:r>
    </w:p>
    <w:p w:rsidRPr="00391600" w:rsidR="00930C35" w:rsidP="001C67E2" w:rsidRDefault="00930C35" w14:paraId="2056AAB6" w14:textId="3198C1F2">
      <w:pPr>
        <w:pStyle w:val="ListParagraph"/>
        <w:numPr>
          <w:ilvl w:val="0"/>
          <w:numId w:val="20"/>
        </w:numPr>
        <w:spacing w:line="276" w:lineRule="auto"/>
        <w:contextualSpacing w:val="0"/>
        <w:rPr>
          <w:rFonts w:ascii="Palatino Linotype" w:hAnsi="Palatino Linotype" w:cs="Arial"/>
          <w:color w:val="000000" w:themeColor="text1"/>
        </w:rPr>
      </w:pPr>
      <w:r w:rsidRPr="00391600">
        <w:rPr>
          <w:rFonts w:ascii="Palatino Linotype" w:hAnsi="Palatino Linotype" w:cs="Arial"/>
          <w:color w:val="000000" w:themeColor="text1"/>
        </w:rPr>
        <w:t xml:space="preserve">Depending on the outcome of the steps above, the Energy Commission requests that </w:t>
      </w:r>
      <w:proofErr w:type="gramStart"/>
      <w:r w:rsidRPr="00391600">
        <w:rPr>
          <w:rFonts w:ascii="Palatino Linotype" w:hAnsi="Palatino Linotype" w:cs="Arial"/>
          <w:color w:val="000000" w:themeColor="text1"/>
        </w:rPr>
        <w:t>the CPUC</w:t>
      </w:r>
      <w:proofErr w:type="gramEnd"/>
      <w:r w:rsidRPr="00391600">
        <w:rPr>
          <w:rFonts w:ascii="Palatino Linotype" w:hAnsi="Palatino Linotype" w:cs="Arial"/>
          <w:color w:val="000000" w:themeColor="text1"/>
        </w:rPr>
        <w:t xml:space="preserve"> transfer the funds in four equal payments on October 1, January 1, </w:t>
      </w:r>
      <w:r w:rsidR="00197CFC">
        <w:rPr>
          <w:rFonts w:ascii="Palatino Linotype" w:hAnsi="Palatino Linotype" w:cs="Arial"/>
          <w:color w:val="000000" w:themeColor="text1"/>
        </w:rPr>
        <w:br/>
      </w:r>
      <w:r w:rsidRPr="00391600">
        <w:rPr>
          <w:rFonts w:ascii="Palatino Linotype" w:hAnsi="Palatino Linotype" w:cs="Arial"/>
          <w:color w:val="000000" w:themeColor="text1"/>
        </w:rPr>
        <w:t>April 1, and July 1 of the appropriate year.</w:t>
      </w:r>
    </w:p>
    <w:p w:rsidRPr="00391600" w:rsidR="00930C35" w:rsidP="00930C35" w:rsidRDefault="00930C35" w14:paraId="20DB5D79" w14:textId="48170F59">
      <w:pPr>
        <w:spacing w:line="276" w:lineRule="auto"/>
        <w:rPr>
          <w:rFonts w:ascii="Palatino Linotype" w:hAnsi="Palatino Linotype" w:cs="Arial"/>
          <w:color w:val="000000" w:themeColor="text1"/>
        </w:rPr>
      </w:pPr>
      <w:r w:rsidRPr="00391600">
        <w:rPr>
          <w:rFonts w:ascii="Palatino Linotype" w:hAnsi="Palatino Linotype" w:cs="Arial"/>
          <w:color w:val="000000" w:themeColor="text1"/>
        </w:rPr>
        <w:t xml:space="preserve">If the annual natural gas budget plan submitted to the CPUC in March of each year is approved for the requested $24M, then the Energy Commission will request the transfer of $6M from the </w:t>
      </w:r>
      <w:r w:rsidRPr="00391600">
        <w:rPr>
          <w:rFonts w:ascii="Palatino Linotype" w:hAnsi="Palatino Linotype" w:cs="Arial"/>
          <w:i/>
          <w:iCs/>
          <w:color w:val="000000" w:themeColor="text1"/>
        </w:rPr>
        <w:t>CPUC Gas Consumption Surcharge Fund</w:t>
      </w:r>
      <w:r w:rsidRPr="00391600">
        <w:rPr>
          <w:rFonts w:ascii="Palatino Linotype" w:hAnsi="Palatino Linotype" w:cs="Arial"/>
          <w:color w:val="000000" w:themeColor="text1"/>
        </w:rPr>
        <w:t xml:space="preserve"> in quarterly payments on the dates identified above. Once transferred those funds are placed in the Energy Commission’s </w:t>
      </w:r>
      <w:r w:rsidRPr="00391600">
        <w:rPr>
          <w:rFonts w:ascii="Palatino Linotype" w:hAnsi="Palatino Linotype" w:cs="Arial"/>
          <w:i/>
          <w:iCs/>
          <w:color w:val="000000" w:themeColor="text1"/>
        </w:rPr>
        <w:t>Public Interest Research Development &amp; Demonstration, Natural Gas Subaccount</w:t>
      </w:r>
      <w:r w:rsidRPr="00391600">
        <w:rPr>
          <w:rFonts w:ascii="Palatino Linotype" w:hAnsi="Palatino Linotype" w:cs="Arial"/>
          <w:color w:val="000000" w:themeColor="text1"/>
        </w:rPr>
        <w:t>.</w:t>
      </w:r>
    </w:p>
    <w:p w:rsidRPr="00391600" w:rsidR="00930C35" w:rsidP="00930C35" w:rsidRDefault="00930C35" w14:paraId="1A9DBB5C" w14:textId="77777777">
      <w:pPr>
        <w:spacing w:after="0" w:line="276" w:lineRule="auto"/>
        <w:rPr>
          <w:rFonts w:ascii="Palatino Linotype" w:hAnsi="Palatino Linotype" w:cs="Arial"/>
          <w:color w:val="000000" w:themeColor="text1"/>
        </w:rPr>
      </w:pPr>
      <w:r w:rsidRPr="00391600">
        <w:rPr>
          <w:rFonts w:ascii="Palatino Linotype" w:hAnsi="Palatino Linotype" w:cs="Arial"/>
          <w:color w:val="000000" w:themeColor="text1"/>
        </w:rPr>
        <w:t xml:space="preserve">If during its review of the proposed natural gas budget plan, the CPUC determines that it does not want to fund an element of the proposed budget (for example, only approve </w:t>
      </w:r>
      <w:r w:rsidRPr="00391600">
        <w:rPr>
          <w:rFonts w:ascii="Palatino Linotype" w:hAnsi="Palatino Linotype" w:cs="Arial"/>
          <w:color w:val="000000" w:themeColor="text1"/>
        </w:rPr>
        <w:lastRenderedPageBreak/>
        <w:t xml:space="preserve">$22M of the $24M requested in the budget plan), then the CEC would request from the CPUC four equal payments of $5.5M that fiscal year instead of the maximum possible of $6M. Therefore, the CEC will only request one fourth of the amount approved by the CPUC and adopted in their resolution for any given year be transferred into the </w:t>
      </w:r>
      <w:r w:rsidRPr="00391600">
        <w:rPr>
          <w:rFonts w:ascii="Palatino Linotype" w:hAnsi="Palatino Linotype" w:cs="Arial"/>
          <w:i/>
          <w:iCs/>
          <w:color w:val="000000" w:themeColor="text1"/>
        </w:rPr>
        <w:t>Public Interest Research Development &amp; Demonstration, Natural Gas Subaccount</w:t>
      </w:r>
      <w:r w:rsidRPr="00391600">
        <w:rPr>
          <w:rFonts w:ascii="Palatino Linotype" w:hAnsi="Palatino Linotype" w:cs="Arial"/>
          <w:color w:val="000000" w:themeColor="text1"/>
        </w:rPr>
        <w:t>.</w:t>
      </w:r>
    </w:p>
    <w:p w:rsidRPr="00391600" w:rsidR="00930C35" w:rsidP="00930C35" w:rsidRDefault="00930C35" w14:paraId="30296814" w14:textId="77777777">
      <w:pPr>
        <w:spacing w:after="0" w:line="276" w:lineRule="auto"/>
        <w:rPr>
          <w:rFonts w:ascii="Palatino Linotype" w:hAnsi="Palatino Linotype" w:cs="Arial"/>
          <w:color w:val="000000" w:themeColor="text1"/>
        </w:rPr>
      </w:pPr>
    </w:p>
    <w:p w:rsidRPr="00391600" w:rsidR="00930C35" w:rsidP="00446A7E" w:rsidRDefault="00930C35" w14:paraId="4C25C9FB" w14:textId="77777777">
      <w:pPr>
        <w:spacing w:line="276" w:lineRule="auto"/>
        <w:rPr>
          <w:rFonts w:ascii="Palatino Linotype" w:hAnsi="Palatino Linotype"/>
        </w:rPr>
        <w:sectPr w:rsidRPr="00391600" w:rsidR="00930C35" w:rsidSect="00750E92">
          <w:footerReference w:type="default" r:id="rId68"/>
          <w:pgSz w:w="12240" w:h="15840"/>
          <w:pgMar w:top="1440" w:right="1440" w:bottom="1440" w:left="1440" w:header="720" w:footer="720" w:gutter="0"/>
          <w:cols w:space="720"/>
          <w:titlePg/>
          <w:docGrid w:linePitch="360"/>
        </w:sectPr>
      </w:pPr>
    </w:p>
    <w:p w:rsidR="00444C13" w:rsidP="002F78F4" w:rsidRDefault="00444C13" w14:paraId="12B06768" w14:textId="77777777">
      <w:pPr>
        <w:rPr>
          <w:rFonts w:ascii="Palatino Linotype" w:hAnsi="Palatino Linotype"/>
          <w:b/>
          <w:bCs/>
          <w:color w:val="000000" w:themeColor="text1"/>
        </w:rPr>
      </w:pPr>
    </w:p>
    <w:p w:rsidR="00444C13" w:rsidP="002F78F4" w:rsidRDefault="00444C13" w14:paraId="689F7B12" w14:textId="77777777">
      <w:pPr>
        <w:rPr>
          <w:rFonts w:ascii="Palatino Linotype" w:hAnsi="Palatino Linotype"/>
          <w:b/>
          <w:bCs/>
          <w:color w:val="000000" w:themeColor="text1"/>
        </w:rPr>
      </w:pPr>
    </w:p>
    <w:p w:rsidR="00444C13" w:rsidP="002F78F4" w:rsidRDefault="00444C13" w14:paraId="6789DEA8" w14:textId="77777777">
      <w:pPr>
        <w:rPr>
          <w:rFonts w:ascii="Palatino Linotype" w:hAnsi="Palatino Linotype"/>
          <w:b/>
          <w:bCs/>
          <w:color w:val="000000" w:themeColor="text1"/>
        </w:rPr>
      </w:pPr>
    </w:p>
    <w:p w:rsidR="00444C13" w:rsidP="002F78F4" w:rsidRDefault="00444C13" w14:paraId="56B96E22" w14:textId="77777777">
      <w:pPr>
        <w:rPr>
          <w:rFonts w:ascii="Palatino Linotype" w:hAnsi="Palatino Linotype"/>
          <w:b/>
          <w:bCs/>
          <w:color w:val="000000" w:themeColor="text1"/>
        </w:rPr>
      </w:pPr>
    </w:p>
    <w:p w:rsidRPr="000D0BB2" w:rsidR="00444C13" w:rsidP="00444C13" w:rsidRDefault="00444C13" w14:paraId="58EBD973" w14:textId="62CDE491">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F</w:t>
      </w:r>
    </w:p>
    <w:p w:rsidR="00444C13" w:rsidP="002F78F4" w:rsidRDefault="00444C13" w14:paraId="2E09E6AB" w14:textId="77777777">
      <w:pPr>
        <w:rPr>
          <w:rFonts w:ascii="Palatino Linotype" w:hAnsi="Palatino Linotype"/>
          <w:b/>
          <w:bCs/>
          <w:color w:val="000000" w:themeColor="text1"/>
        </w:rPr>
      </w:pPr>
    </w:p>
    <w:p w:rsidR="00444C13" w:rsidP="002F78F4" w:rsidRDefault="00444C13" w14:paraId="3970BFAC" w14:textId="77777777">
      <w:pPr>
        <w:rPr>
          <w:rFonts w:ascii="Palatino Linotype" w:hAnsi="Palatino Linotype"/>
          <w:b/>
          <w:bCs/>
          <w:color w:val="000000" w:themeColor="text1"/>
        </w:rPr>
      </w:pPr>
    </w:p>
    <w:p w:rsidR="00444C13" w:rsidP="002F78F4" w:rsidRDefault="00444C13" w14:paraId="0CD76867" w14:textId="77777777">
      <w:pPr>
        <w:rPr>
          <w:rFonts w:ascii="Palatino Linotype" w:hAnsi="Palatino Linotype"/>
          <w:b/>
          <w:bCs/>
          <w:color w:val="000000" w:themeColor="text1"/>
        </w:rPr>
      </w:pPr>
    </w:p>
    <w:p w:rsidR="00444C13" w:rsidP="002F78F4" w:rsidRDefault="00444C13" w14:paraId="5858EDF9" w14:textId="77777777">
      <w:pPr>
        <w:rPr>
          <w:rFonts w:ascii="Palatino Linotype" w:hAnsi="Palatino Linotype"/>
          <w:b/>
          <w:bCs/>
          <w:color w:val="000000" w:themeColor="text1"/>
        </w:rPr>
      </w:pPr>
    </w:p>
    <w:p w:rsidR="00444C13" w:rsidP="002F78F4" w:rsidRDefault="00444C13" w14:paraId="46332DF6" w14:textId="77777777">
      <w:pPr>
        <w:rPr>
          <w:rFonts w:ascii="Palatino Linotype" w:hAnsi="Palatino Linotype"/>
          <w:b/>
          <w:bCs/>
          <w:color w:val="000000" w:themeColor="text1"/>
        </w:rPr>
      </w:pPr>
    </w:p>
    <w:p w:rsidR="00444C13" w:rsidP="002F78F4" w:rsidRDefault="00444C13" w14:paraId="34771EF8" w14:textId="77777777">
      <w:pPr>
        <w:rPr>
          <w:rFonts w:ascii="Palatino Linotype" w:hAnsi="Palatino Linotype"/>
          <w:b/>
          <w:bCs/>
          <w:color w:val="000000" w:themeColor="text1"/>
        </w:rPr>
        <w:sectPr w:rsidR="00444C13" w:rsidSect="004A39B4">
          <w:headerReference w:type="default" r:id="rId69"/>
          <w:footerReference w:type="default" r:id="rId70"/>
          <w:pgSz w:w="15840" w:h="12240" w:orient="landscape"/>
          <w:pgMar w:top="720" w:right="720" w:bottom="720" w:left="720" w:header="720" w:footer="720" w:gutter="0"/>
          <w:pgNumType w:start="1"/>
          <w:cols w:space="720"/>
          <w:docGrid w:linePitch="360"/>
        </w:sectPr>
      </w:pPr>
    </w:p>
    <w:p w:rsidRPr="00391600" w:rsidR="002F78F4" w:rsidP="002F78F4" w:rsidRDefault="002F78F4" w14:paraId="076C898A" w14:textId="66AE4252">
      <w:pPr>
        <w:rPr>
          <w:rFonts w:ascii="Palatino Linotype" w:hAnsi="Palatino Linotype"/>
          <w:b/>
          <w:bCs/>
          <w:color w:val="000000" w:themeColor="text1"/>
        </w:rPr>
      </w:pPr>
      <w:r w:rsidRPr="00391600">
        <w:rPr>
          <w:rFonts w:ascii="Palatino Linotype" w:hAnsi="Palatino Linotype"/>
          <w:b/>
          <w:bCs/>
          <w:color w:val="000000" w:themeColor="text1"/>
        </w:rPr>
        <w:lastRenderedPageBreak/>
        <w:t xml:space="preserve">APPENDIX </w:t>
      </w:r>
      <w:r w:rsidRPr="00391600" w:rsidR="000E0EBD">
        <w:rPr>
          <w:rFonts w:ascii="Palatino Linotype" w:hAnsi="Palatino Linotype"/>
          <w:b/>
          <w:bCs/>
          <w:color w:val="000000" w:themeColor="text1"/>
        </w:rPr>
        <w:t>F</w:t>
      </w:r>
      <w:r w:rsidRPr="00391600">
        <w:rPr>
          <w:rFonts w:ascii="Palatino Linotype" w:hAnsi="Palatino Linotype"/>
          <w:b/>
          <w:bCs/>
          <w:color w:val="000000" w:themeColor="text1"/>
        </w:rPr>
        <w:t>: CEC Balances of Unspent Funds from Previously</w:t>
      </w:r>
      <w:r w:rsidRPr="00391600" w:rsidR="00F455FC">
        <w:rPr>
          <w:rFonts w:ascii="Palatino Linotype" w:hAnsi="Palatino Linotype"/>
          <w:b/>
          <w:bCs/>
          <w:color w:val="000000" w:themeColor="text1"/>
        </w:rPr>
        <w:t xml:space="preserve"> </w:t>
      </w:r>
      <w:r w:rsidRPr="00391600">
        <w:rPr>
          <w:rFonts w:ascii="Palatino Linotype" w:hAnsi="Palatino Linotype"/>
          <w:b/>
          <w:bCs/>
          <w:color w:val="000000" w:themeColor="text1"/>
        </w:rPr>
        <w:t>Approved Gas RD&amp;D Plans</w:t>
      </w:r>
    </w:p>
    <w:tbl>
      <w:tblPr>
        <w:tblStyle w:val="TableGrid"/>
        <w:tblW w:w="14125" w:type="dxa"/>
        <w:tblLayout w:type="fixed"/>
        <w:tblLook w:val="04A0" w:firstRow="1" w:lastRow="0" w:firstColumn="1" w:lastColumn="0" w:noHBand="0" w:noVBand="1"/>
      </w:tblPr>
      <w:tblGrid>
        <w:gridCol w:w="1729"/>
        <w:gridCol w:w="4176"/>
        <w:gridCol w:w="1170"/>
        <w:gridCol w:w="1530"/>
        <w:gridCol w:w="1380"/>
        <w:gridCol w:w="270"/>
        <w:gridCol w:w="26"/>
        <w:gridCol w:w="334"/>
        <w:gridCol w:w="1260"/>
        <w:gridCol w:w="236"/>
        <w:gridCol w:w="304"/>
        <w:gridCol w:w="1710"/>
      </w:tblGrid>
      <w:tr w:rsidRPr="00391600" w:rsidR="00D24405" w:rsidTr="00AD69DB" w14:paraId="32EFABBD" w14:textId="77777777">
        <w:tc>
          <w:tcPr>
            <w:tcW w:w="1729" w:type="dxa"/>
            <w:vAlign w:val="center"/>
          </w:tcPr>
          <w:p w:rsidRPr="00391600" w:rsidR="00D24405" w:rsidP="00BB366A" w:rsidRDefault="00D24405" w14:paraId="69E5282E" w14:textId="532FDDDA">
            <w:pPr>
              <w:jc w:val="center"/>
              <w:rPr>
                <w:rFonts w:ascii="Palatino Linotype" w:hAnsi="Palatino Linotype"/>
                <w:b/>
                <w:bCs/>
                <w:sz w:val="20"/>
                <w:szCs w:val="20"/>
              </w:rPr>
            </w:pPr>
            <w:r w:rsidRPr="00391600">
              <w:rPr>
                <w:rFonts w:ascii="Palatino Linotype" w:hAnsi="Palatino Linotype"/>
                <w:b/>
                <w:bCs/>
                <w:sz w:val="20"/>
                <w:szCs w:val="20"/>
              </w:rPr>
              <w:t>*Gas RD&amp;D Plan</w:t>
            </w:r>
          </w:p>
        </w:tc>
        <w:tc>
          <w:tcPr>
            <w:tcW w:w="4176" w:type="dxa"/>
            <w:vAlign w:val="center"/>
          </w:tcPr>
          <w:p w:rsidRPr="00391600" w:rsidR="00D24405" w:rsidP="00BB366A" w:rsidRDefault="00D24405" w14:paraId="17435DA1" w14:textId="0B1C2E7B">
            <w:pPr>
              <w:jc w:val="center"/>
              <w:rPr>
                <w:rFonts w:ascii="Palatino Linotype" w:hAnsi="Palatino Linotype"/>
                <w:b/>
                <w:bCs/>
                <w:sz w:val="20"/>
                <w:szCs w:val="20"/>
              </w:rPr>
            </w:pPr>
            <w:r w:rsidRPr="00391600">
              <w:rPr>
                <w:rFonts w:ascii="Palatino Linotype" w:hAnsi="Palatino Linotype"/>
                <w:b/>
                <w:bCs/>
                <w:sz w:val="20"/>
                <w:szCs w:val="20"/>
              </w:rPr>
              <w:t>*Initiative</w:t>
            </w:r>
          </w:p>
        </w:tc>
        <w:tc>
          <w:tcPr>
            <w:tcW w:w="1170" w:type="dxa"/>
            <w:vAlign w:val="center"/>
          </w:tcPr>
          <w:p w:rsidRPr="00391600" w:rsidR="00D24405" w:rsidP="00BB366A" w:rsidRDefault="00D24405" w14:paraId="0E6BB911" w14:textId="7D24E2C2">
            <w:pPr>
              <w:jc w:val="center"/>
              <w:rPr>
                <w:rFonts w:ascii="Palatino Linotype" w:hAnsi="Palatino Linotype"/>
                <w:b/>
                <w:bCs/>
                <w:sz w:val="20"/>
                <w:szCs w:val="20"/>
              </w:rPr>
            </w:pPr>
            <w:r w:rsidRPr="00391600">
              <w:rPr>
                <w:rFonts w:ascii="Palatino Linotype" w:hAnsi="Palatino Linotype"/>
                <w:b/>
                <w:bCs/>
                <w:sz w:val="20"/>
                <w:szCs w:val="20"/>
              </w:rPr>
              <w:t>*Approval Date</w:t>
            </w:r>
          </w:p>
        </w:tc>
        <w:tc>
          <w:tcPr>
            <w:tcW w:w="1530" w:type="dxa"/>
            <w:vAlign w:val="center"/>
          </w:tcPr>
          <w:p w:rsidRPr="00391600" w:rsidR="00D24405" w:rsidP="00BB366A" w:rsidRDefault="00024ACB" w14:paraId="12CB1C6A" w14:textId="2902C450">
            <w:pPr>
              <w:jc w:val="center"/>
              <w:rPr>
                <w:rFonts w:ascii="Palatino Linotype" w:hAnsi="Palatino Linotype"/>
                <w:b/>
                <w:bCs/>
                <w:sz w:val="20"/>
                <w:szCs w:val="20"/>
              </w:rPr>
            </w:pPr>
            <w:r w:rsidRPr="00391600">
              <w:rPr>
                <w:rFonts w:ascii="Palatino Linotype" w:hAnsi="Palatino Linotype"/>
                <w:b/>
                <w:bCs/>
                <w:sz w:val="20"/>
                <w:szCs w:val="20"/>
              </w:rPr>
              <w:t xml:space="preserve">End of </w:t>
            </w:r>
            <w:r w:rsidRPr="00391600" w:rsidR="0F38E591">
              <w:rPr>
                <w:rFonts w:ascii="Palatino Linotype" w:hAnsi="Palatino Linotype"/>
                <w:b/>
                <w:bCs/>
                <w:sz w:val="20"/>
                <w:szCs w:val="20"/>
              </w:rPr>
              <w:t xml:space="preserve">Encumbrance </w:t>
            </w:r>
            <w:r w:rsidRPr="00391600">
              <w:rPr>
                <w:rFonts w:ascii="Palatino Linotype" w:hAnsi="Palatino Linotype"/>
                <w:b/>
                <w:bCs/>
                <w:sz w:val="20"/>
                <w:szCs w:val="20"/>
              </w:rPr>
              <w:t>Period</w:t>
            </w:r>
          </w:p>
          <w:p w:rsidRPr="00391600" w:rsidR="00D24405" w:rsidP="00BB366A" w:rsidRDefault="00C46D1A" w14:paraId="55A770E7" w14:textId="5AE80F94">
            <w:pPr>
              <w:jc w:val="center"/>
              <w:rPr>
                <w:rFonts w:ascii="Palatino Linotype" w:hAnsi="Palatino Linotype"/>
                <w:i/>
                <w:sz w:val="20"/>
                <w:szCs w:val="20"/>
              </w:rPr>
            </w:pPr>
            <w:r w:rsidRPr="00391600">
              <w:rPr>
                <w:rFonts w:ascii="Palatino Linotype" w:hAnsi="Palatino Linotype"/>
                <w:i/>
                <w:iCs/>
                <w:sz w:val="16"/>
                <w:szCs w:val="16"/>
              </w:rPr>
              <w:t>Two Years After Approval</w:t>
            </w:r>
          </w:p>
        </w:tc>
        <w:tc>
          <w:tcPr>
            <w:tcW w:w="1380" w:type="dxa"/>
            <w:vAlign w:val="center"/>
          </w:tcPr>
          <w:p w:rsidRPr="00391600" w:rsidR="00D24405" w:rsidP="00BB366A" w:rsidRDefault="00024ACB" w14:paraId="1AEFBA1B" w14:textId="1CE7B2BC">
            <w:pPr>
              <w:jc w:val="center"/>
              <w:rPr>
                <w:rFonts w:ascii="Palatino Linotype" w:hAnsi="Palatino Linotype"/>
                <w:b/>
                <w:bCs/>
                <w:sz w:val="20"/>
                <w:szCs w:val="20"/>
              </w:rPr>
            </w:pPr>
            <w:r w:rsidRPr="00391600">
              <w:rPr>
                <w:rFonts w:ascii="Palatino Linotype" w:hAnsi="Palatino Linotype"/>
                <w:b/>
                <w:bCs/>
                <w:sz w:val="20"/>
                <w:szCs w:val="20"/>
              </w:rPr>
              <w:t xml:space="preserve">End of </w:t>
            </w:r>
            <w:r w:rsidRPr="00391600" w:rsidR="0F38E591">
              <w:rPr>
                <w:rFonts w:ascii="Palatino Linotype" w:hAnsi="Palatino Linotype"/>
                <w:b/>
                <w:bCs/>
                <w:sz w:val="20"/>
                <w:szCs w:val="20"/>
              </w:rPr>
              <w:t xml:space="preserve">Spending </w:t>
            </w:r>
            <w:r w:rsidRPr="00391600">
              <w:rPr>
                <w:rFonts w:ascii="Palatino Linotype" w:hAnsi="Palatino Linotype"/>
                <w:b/>
                <w:bCs/>
                <w:sz w:val="20"/>
                <w:szCs w:val="20"/>
              </w:rPr>
              <w:t>Period</w:t>
            </w:r>
          </w:p>
          <w:p w:rsidRPr="00391600" w:rsidR="00D24405" w:rsidP="00BB366A" w:rsidRDefault="00C46D1A" w14:paraId="13A342CF" w14:textId="02F81844">
            <w:pPr>
              <w:jc w:val="center"/>
              <w:rPr>
                <w:rFonts w:ascii="Palatino Linotype" w:hAnsi="Palatino Linotype"/>
                <w:i/>
                <w:sz w:val="20"/>
                <w:szCs w:val="20"/>
              </w:rPr>
            </w:pPr>
            <w:r w:rsidRPr="00391600">
              <w:rPr>
                <w:rFonts w:ascii="Palatino Linotype" w:hAnsi="Palatino Linotype"/>
                <w:i/>
                <w:iCs/>
                <w:sz w:val="16"/>
                <w:szCs w:val="16"/>
              </w:rPr>
              <w:t>Four Years After Encumbrance</w:t>
            </w:r>
          </w:p>
        </w:tc>
        <w:tc>
          <w:tcPr>
            <w:tcW w:w="1890" w:type="dxa"/>
            <w:gridSpan w:val="4"/>
            <w:tcBorders>
              <w:bottom w:val="single" w:color="auto" w:sz="4" w:space="0"/>
            </w:tcBorders>
            <w:vAlign w:val="center"/>
          </w:tcPr>
          <w:p w:rsidRPr="00391600" w:rsidR="00D24405" w:rsidP="004A568A" w:rsidRDefault="0F38E591" w14:paraId="7946C075" w14:textId="5FCFC5F7">
            <w:pPr>
              <w:jc w:val="center"/>
              <w:rPr>
                <w:rFonts w:ascii="Palatino Linotype" w:hAnsi="Palatino Linotype"/>
                <w:b/>
                <w:bCs/>
                <w:sz w:val="20"/>
                <w:szCs w:val="20"/>
              </w:rPr>
            </w:pPr>
            <w:r w:rsidRPr="00391600">
              <w:rPr>
                <w:rFonts w:ascii="Palatino Linotype" w:hAnsi="Palatino Linotype"/>
                <w:b/>
                <w:bCs/>
                <w:sz w:val="20"/>
                <w:szCs w:val="20"/>
              </w:rPr>
              <w:t>*Unencumbered Funds</w:t>
            </w:r>
            <w:r w:rsidRPr="00391600" w:rsidR="00D24405">
              <w:rPr>
                <w:rStyle w:val="FootnoteReference"/>
                <w:rFonts w:ascii="Palatino Linotype" w:hAnsi="Palatino Linotype"/>
                <w:b/>
                <w:bCs/>
                <w:sz w:val="20"/>
                <w:szCs w:val="20"/>
              </w:rPr>
              <w:footnoteReference w:id="181"/>
            </w:r>
          </w:p>
        </w:tc>
        <w:tc>
          <w:tcPr>
            <w:tcW w:w="2250" w:type="dxa"/>
            <w:gridSpan w:val="3"/>
            <w:tcBorders>
              <w:bottom w:val="single" w:color="auto" w:sz="4" w:space="0"/>
            </w:tcBorders>
            <w:vAlign w:val="center"/>
          </w:tcPr>
          <w:p w:rsidRPr="00391600" w:rsidR="00D24405" w:rsidP="00BB366A" w:rsidRDefault="0F38E591" w14:paraId="2A5250BA" w14:textId="40EA7204">
            <w:pPr>
              <w:jc w:val="center"/>
              <w:rPr>
                <w:rFonts w:ascii="Palatino Linotype" w:hAnsi="Palatino Linotype"/>
                <w:b/>
                <w:bCs/>
                <w:sz w:val="20"/>
                <w:szCs w:val="20"/>
              </w:rPr>
            </w:pPr>
            <w:r w:rsidRPr="00391600">
              <w:rPr>
                <w:rFonts w:ascii="Palatino Linotype" w:hAnsi="Palatino Linotype"/>
                <w:b/>
                <w:bCs/>
                <w:sz w:val="20"/>
                <w:szCs w:val="20"/>
              </w:rPr>
              <w:t>*Unspent Encumbered Funds</w:t>
            </w:r>
            <w:r w:rsidRPr="00391600" w:rsidR="00D24405">
              <w:rPr>
                <w:rStyle w:val="FootnoteReference"/>
                <w:rFonts w:ascii="Palatino Linotype" w:hAnsi="Palatino Linotype"/>
                <w:b/>
                <w:bCs/>
                <w:sz w:val="20"/>
                <w:szCs w:val="20"/>
              </w:rPr>
              <w:footnoteReference w:id="182"/>
            </w:r>
          </w:p>
        </w:tc>
      </w:tr>
      <w:tr w:rsidRPr="00391600" w:rsidR="004A568A" w:rsidTr="6FAFEDE3" w14:paraId="58E2DFB9" w14:textId="77777777">
        <w:tc>
          <w:tcPr>
            <w:tcW w:w="1729" w:type="dxa"/>
            <w:vMerge w:val="restart"/>
          </w:tcPr>
          <w:p w:rsidRPr="00391600" w:rsidR="004A568A" w:rsidP="004A568A" w:rsidRDefault="004A568A" w14:paraId="2F9C4608" w14:textId="77777777">
            <w:pPr>
              <w:rPr>
                <w:rFonts w:ascii="Palatino Linotype" w:hAnsi="Palatino Linotype"/>
                <w:sz w:val="20"/>
                <w:szCs w:val="20"/>
              </w:rPr>
            </w:pPr>
            <w:r w:rsidRPr="00391600">
              <w:rPr>
                <w:rFonts w:ascii="Palatino Linotype" w:hAnsi="Palatino Linotype"/>
                <w:sz w:val="20"/>
                <w:szCs w:val="20"/>
              </w:rPr>
              <w:t>FY 2015-2016</w:t>
            </w:r>
          </w:p>
        </w:tc>
        <w:tc>
          <w:tcPr>
            <w:tcW w:w="4176" w:type="dxa"/>
            <w:vAlign w:val="center"/>
          </w:tcPr>
          <w:p w:rsidRPr="00391600" w:rsidR="004A568A" w:rsidP="00970AC4" w:rsidRDefault="004A568A" w14:paraId="1937689E" w14:textId="3E931D66">
            <w:pPr>
              <w:rPr>
                <w:rFonts w:ascii="Palatino Linotype" w:hAnsi="Palatino Linotype"/>
                <w:sz w:val="20"/>
                <w:szCs w:val="20"/>
              </w:rPr>
            </w:pPr>
            <w:r w:rsidRPr="00391600">
              <w:rPr>
                <w:rFonts w:ascii="Palatino Linotype" w:hAnsi="Palatino Linotype"/>
                <w:sz w:val="20"/>
                <w:szCs w:val="20"/>
              </w:rPr>
              <w:t>Energy Efficiency: Buildings End-Use Energy Efficiency</w:t>
            </w:r>
          </w:p>
        </w:tc>
        <w:tc>
          <w:tcPr>
            <w:tcW w:w="1170" w:type="dxa"/>
            <w:vAlign w:val="center"/>
          </w:tcPr>
          <w:p w:rsidRPr="00391600" w:rsidR="004A568A" w:rsidP="00970AC4" w:rsidRDefault="004A568A" w14:paraId="7DB5225A" w14:textId="77777777">
            <w:pPr>
              <w:rPr>
                <w:rFonts w:ascii="Palatino Linotype" w:hAnsi="Palatino Linotype"/>
                <w:sz w:val="20"/>
                <w:szCs w:val="20"/>
              </w:rPr>
            </w:pPr>
            <w:r w:rsidRPr="00391600">
              <w:rPr>
                <w:rFonts w:ascii="Palatino Linotype" w:hAnsi="Palatino Linotype"/>
                <w:sz w:val="20"/>
                <w:szCs w:val="20"/>
              </w:rPr>
              <w:t>06/25/2015</w:t>
            </w:r>
          </w:p>
        </w:tc>
        <w:tc>
          <w:tcPr>
            <w:tcW w:w="1530" w:type="dxa"/>
            <w:vAlign w:val="center"/>
          </w:tcPr>
          <w:p w:rsidRPr="00391600" w:rsidR="004A568A" w:rsidP="00970AC4" w:rsidRDefault="004A568A" w14:paraId="28F3D64D" w14:textId="77777777">
            <w:pPr>
              <w:rPr>
                <w:rFonts w:ascii="Palatino Linotype" w:hAnsi="Palatino Linotype"/>
                <w:sz w:val="20"/>
                <w:szCs w:val="20"/>
              </w:rPr>
            </w:pPr>
            <w:r w:rsidRPr="00391600">
              <w:rPr>
                <w:rFonts w:ascii="Palatino Linotype" w:hAnsi="Palatino Linotype"/>
                <w:sz w:val="20"/>
                <w:szCs w:val="20"/>
              </w:rPr>
              <w:t>06/25/2017</w:t>
            </w:r>
          </w:p>
        </w:tc>
        <w:tc>
          <w:tcPr>
            <w:tcW w:w="1380" w:type="dxa"/>
            <w:tcBorders>
              <w:right w:val="single" w:color="auto" w:sz="4" w:space="0"/>
            </w:tcBorders>
            <w:vAlign w:val="center"/>
          </w:tcPr>
          <w:p w:rsidRPr="00391600" w:rsidR="004A568A" w:rsidP="00970AC4" w:rsidRDefault="004A568A" w14:paraId="2D710856" w14:textId="77777777">
            <w:pPr>
              <w:rPr>
                <w:rFonts w:ascii="Palatino Linotype" w:hAnsi="Palatino Linotype"/>
                <w:sz w:val="20"/>
                <w:szCs w:val="20"/>
              </w:rPr>
            </w:pPr>
            <w:r w:rsidRPr="00391600">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87C61E8" w14:textId="76C5ADE2">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D24405" w:rsidRDefault="004A568A" w14:paraId="6459A634" w14:textId="20CE5B75">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63AC94AA" w14:textId="6B7C824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5E4A065C" w14:textId="745E6F3B">
            <w:pPr>
              <w:jc w:val="right"/>
              <w:rPr>
                <w:rFonts w:ascii="Palatino Linotype" w:hAnsi="Palatino Linotype"/>
                <w:sz w:val="20"/>
                <w:szCs w:val="20"/>
              </w:rPr>
            </w:pPr>
            <w:r w:rsidRPr="00391600">
              <w:rPr>
                <w:rFonts w:ascii="Palatino Linotype" w:hAnsi="Palatino Linotype"/>
                <w:sz w:val="20"/>
                <w:szCs w:val="20"/>
              </w:rPr>
              <w:t>123,052</w:t>
            </w:r>
          </w:p>
        </w:tc>
      </w:tr>
      <w:tr w:rsidRPr="00391600" w:rsidR="004A568A" w:rsidTr="6FAFEDE3" w14:paraId="7095268A" w14:textId="77777777">
        <w:tc>
          <w:tcPr>
            <w:tcW w:w="1729" w:type="dxa"/>
            <w:vMerge/>
          </w:tcPr>
          <w:p w:rsidRPr="00391600" w:rsidR="004A568A" w:rsidP="004A568A" w:rsidRDefault="004A568A" w14:paraId="12AD900E" w14:textId="77777777">
            <w:pPr>
              <w:rPr>
                <w:rFonts w:ascii="Palatino Linotype" w:hAnsi="Palatino Linotype"/>
                <w:sz w:val="20"/>
                <w:szCs w:val="20"/>
              </w:rPr>
            </w:pPr>
          </w:p>
        </w:tc>
        <w:tc>
          <w:tcPr>
            <w:tcW w:w="4176" w:type="dxa"/>
            <w:vAlign w:val="center"/>
          </w:tcPr>
          <w:p w:rsidRPr="00391600" w:rsidR="004A568A" w:rsidP="00970AC4" w:rsidRDefault="004A568A" w14:paraId="277C2661" w14:textId="77777777">
            <w:pPr>
              <w:rPr>
                <w:rFonts w:ascii="Palatino Linotype" w:hAnsi="Palatino Linotype"/>
                <w:sz w:val="20"/>
                <w:szCs w:val="20"/>
              </w:rPr>
            </w:pPr>
            <w:r w:rsidRPr="00391600">
              <w:rPr>
                <w:rFonts w:ascii="Palatino Linotype" w:hAnsi="Palatino Linotype"/>
                <w:sz w:val="20"/>
                <w:szCs w:val="20"/>
              </w:rPr>
              <w:t>Renewable Energy and Advanced Generation</w:t>
            </w:r>
          </w:p>
        </w:tc>
        <w:tc>
          <w:tcPr>
            <w:tcW w:w="1170" w:type="dxa"/>
            <w:vAlign w:val="center"/>
          </w:tcPr>
          <w:p w:rsidRPr="00391600" w:rsidR="004A568A" w:rsidP="00970AC4" w:rsidRDefault="004A568A" w14:paraId="60D9210A" w14:textId="77777777">
            <w:pPr>
              <w:rPr>
                <w:rFonts w:ascii="Palatino Linotype" w:hAnsi="Palatino Linotype"/>
                <w:sz w:val="20"/>
                <w:szCs w:val="20"/>
              </w:rPr>
            </w:pPr>
            <w:r w:rsidRPr="00391600">
              <w:rPr>
                <w:rFonts w:ascii="Palatino Linotype" w:hAnsi="Palatino Linotype"/>
                <w:sz w:val="20"/>
                <w:szCs w:val="20"/>
              </w:rPr>
              <w:t>06/25/2015</w:t>
            </w:r>
          </w:p>
        </w:tc>
        <w:tc>
          <w:tcPr>
            <w:tcW w:w="1530" w:type="dxa"/>
            <w:vAlign w:val="center"/>
          </w:tcPr>
          <w:p w:rsidRPr="00391600" w:rsidR="004A568A" w:rsidP="00970AC4" w:rsidRDefault="004A568A" w14:paraId="04D5799E" w14:textId="77777777">
            <w:pPr>
              <w:rPr>
                <w:rFonts w:ascii="Palatino Linotype" w:hAnsi="Palatino Linotype"/>
                <w:sz w:val="20"/>
                <w:szCs w:val="20"/>
              </w:rPr>
            </w:pPr>
            <w:r w:rsidRPr="00391600">
              <w:rPr>
                <w:rFonts w:ascii="Palatino Linotype" w:hAnsi="Palatino Linotype"/>
                <w:sz w:val="20"/>
                <w:szCs w:val="20"/>
              </w:rPr>
              <w:t>06/25/2017</w:t>
            </w:r>
          </w:p>
        </w:tc>
        <w:tc>
          <w:tcPr>
            <w:tcW w:w="1380" w:type="dxa"/>
            <w:tcBorders>
              <w:right w:val="single" w:color="auto" w:sz="4" w:space="0"/>
            </w:tcBorders>
            <w:vAlign w:val="center"/>
          </w:tcPr>
          <w:p w:rsidRPr="00391600" w:rsidR="004A568A" w:rsidP="00970AC4" w:rsidRDefault="004A568A" w14:paraId="0CA754FA" w14:textId="77777777">
            <w:pPr>
              <w:rPr>
                <w:rFonts w:ascii="Palatino Linotype" w:hAnsi="Palatino Linotype"/>
                <w:sz w:val="20"/>
                <w:szCs w:val="20"/>
              </w:rPr>
            </w:pPr>
            <w:r w:rsidRPr="00391600">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6A1D393" w14:textId="3637A7FB">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A73C59A" w14:textId="350BCD43">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1C92AFE5" w14:textId="229ECC64">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6706310" w14:textId="65DE2BD5">
            <w:pPr>
              <w:jc w:val="right"/>
              <w:rPr>
                <w:rFonts w:ascii="Palatino Linotype" w:hAnsi="Palatino Linotype"/>
                <w:sz w:val="20"/>
                <w:szCs w:val="20"/>
              </w:rPr>
            </w:pPr>
            <w:r w:rsidRPr="00391600">
              <w:rPr>
                <w:rFonts w:ascii="Palatino Linotype" w:hAnsi="Palatino Linotype"/>
                <w:sz w:val="20"/>
                <w:szCs w:val="20"/>
              </w:rPr>
              <w:t>17,757</w:t>
            </w:r>
          </w:p>
        </w:tc>
      </w:tr>
      <w:tr w:rsidRPr="00391600" w:rsidR="004A568A" w:rsidTr="6FAFEDE3" w14:paraId="6020ACF1" w14:textId="77777777">
        <w:tc>
          <w:tcPr>
            <w:tcW w:w="1729" w:type="dxa"/>
            <w:vMerge/>
          </w:tcPr>
          <w:p w:rsidRPr="00391600" w:rsidR="004A568A" w:rsidP="004A568A" w:rsidRDefault="004A568A" w14:paraId="24F47226" w14:textId="77777777">
            <w:pPr>
              <w:rPr>
                <w:rFonts w:ascii="Palatino Linotype" w:hAnsi="Palatino Linotype"/>
                <w:sz w:val="20"/>
                <w:szCs w:val="20"/>
              </w:rPr>
            </w:pPr>
          </w:p>
        </w:tc>
        <w:tc>
          <w:tcPr>
            <w:tcW w:w="4176" w:type="dxa"/>
            <w:vAlign w:val="center"/>
          </w:tcPr>
          <w:p w:rsidRPr="00391600" w:rsidR="004A568A" w:rsidP="00970AC4" w:rsidRDefault="004A568A" w14:paraId="50CBD294" w14:textId="77777777">
            <w:pPr>
              <w:rPr>
                <w:rFonts w:ascii="Palatino Linotype" w:hAnsi="Palatino Linotype"/>
                <w:sz w:val="20"/>
                <w:szCs w:val="20"/>
              </w:rPr>
            </w:pPr>
            <w:r w:rsidRPr="00391600">
              <w:rPr>
                <w:rFonts w:ascii="Palatino Linotype" w:hAnsi="Palatino Linotype"/>
                <w:sz w:val="20"/>
                <w:szCs w:val="20"/>
              </w:rPr>
              <w:t>Natural Gas-Related Transportation</w:t>
            </w:r>
          </w:p>
        </w:tc>
        <w:tc>
          <w:tcPr>
            <w:tcW w:w="1170" w:type="dxa"/>
            <w:vAlign w:val="center"/>
          </w:tcPr>
          <w:p w:rsidRPr="00391600" w:rsidR="004A568A" w:rsidP="00970AC4" w:rsidRDefault="004A568A" w14:paraId="365A4923" w14:textId="77777777">
            <w:pPr>
              <w:rPr>
                <w:rFonts w:ascii="Palatino Linotype" w:hAnsi="Palatino Linotype"/>
                <w:sz w:val="20"/>
                <w:szCs w:val="20"/>
              </w:rPr>
            </w:pPr>
            <w:r w:rsidRPr="00391600">
              <w:rPr>
                <w:rFonts w:ascii="Palatino Linotype" w:hAnsi="Palatino Linotype"/>
                <w:sz w:val="20"/>
                <w:szCs w:val="20"/>
              </w:rPr>
              <w:t>06/25/2015</w:t>
            </w:r>
          </w:p>
        </w:tc>
        <w:tc>
          <w:tcPr>
            <w:tcW w:w="1530" w:type="dxa"/>
            <w:vAlign w:val="center"/>
          </w:tcPr>
          <w:p w:rsidRPr="00391600" w:rsidR="004A568A" w:rsidP="00970AC4" w:rsidRDefault="004A568A" w14:paraId="40B4A798" w14:textId="77777777">
            <w:pPr>
              <w:rPr>
                <w:rFonts w:ascii="Palatino Linotype" w:hAnsi="Palatino Linotype"/>
                <w:sz w:val="20"/>
                <w:szCs w:val="20"/>
              </w:rPr>
            </w:pPr>
            <w:r w:rsidRPr="00391600">
              <w:rPr>
                <w:rFonts w:ascii="Palatino Linotype" w:hAnsi="Palatino Linotype"/>
                <w:sz w:val="20"/>
                <w:szCs w:val="20"/>
              </w:rPr>
              <w:t>06/25/2017</w:t>
            </w:r>
          </w:p>
        </w:tc>
        <w:tc>
          <w:tcPr>
            <w:tcW w:w="1380" w:type="dxa"/>
            <w:tcBorders>
              <w:right w:val="single" w:color="auto" w:sz="4" w:space="0"/>
            </w:tcBorders>
            <w:vAlign w:val="center"/>
          </w:tcPr>
          <w:p w:rsidRPr="00391600" w:rsidR="004A568A" w:rsidP="00970AC4" w:rsidRDefault="004A568A" w14:paraId="6D8E50ED" w14:textId="77777777">
            <w:pPr>
              <w:rPr>
                <w:rFonts w:ascii="Palatino Linotype" w:hAnsi="Palatino Linotype"/>
                <w:sz w:val="20"/>
                <w:szCs w:val="20"/>
              </w:rPr>
            </w:pPr>
            <w:r w:rsidRPr="00391600">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13A8093" w14:textId="103423E6">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7C384B8" w14:textId="3F2622A4">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3D1F41E7" w14:textId="4113CFB3">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72C73A9E" w14:textId="17447EE5">
            <w:pPr>
              <w:jc w:val="right"/>
              <w:rPr>
                <w:rFonts w:ascii="Palatino Linotype" w:hAnsi="Palatino Linotype"/>
                <w:sz w:val="20"/>
                <w:szCs w:val="20"/>
              </w:rPr>
            </w:pPr>
            <w:r w:rsidRPr="00391600">
              <w:rPr>
                <w:rFonts w:ascii="Palatino Linotype" w:hAnsi="Palatino Linotype"/>
                <w:sz w:val="20"/>
                <w:szCs w:val="20"/>
              </w:rPr>
              <w:t>16,411</w:t>
            </w:r>
          </w:p>
        </w:tc>
      </w:tr>
      <w:tr w:rsidRPr="00391600" w:rsidR="004A568A" w:rsidTr="6FAFEDE3" w14:paraId="2A9B0A77" w14:textId="77777777">
        <w:tc>
          <w:tcPr>
            <w:tcW w:w="1729" w:type="dxa"/>
            <w:vMerge/>
          </w:tcPr>
          <w:p w:rsidRPr="00391600" w:rsidR="004A568A" w:rsidP="004A568A" w:rsidRDefault="004A568A" w14:paraId="609788F8" w14:textId="77777777">
            <w:pPr>
              <w:rPr>
                <w:rFonts w:ascii="Palatino Linotype" w:hAnsi="Palatino Linotype"/>
                <w:sz w:val="20"/>
                <w:szCs w:val="20"/>
              </w:rPr>
            </w:pPr>
          </w:p>
        </w:tc>
        <w:tc>
          <w:tcPr>
            <w:tcW w:w="4176" w:type="dxa"/>
            <w:vAlign w:val="center"/>
          </w:tcPr>
          <w:p w:rsidRPr="00391600" w:rsidR="004A568A" w:rsidP="00970AC4" w:rsidRDefault="004A568A" w14:paraId="306E6FC1"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17C21AE7" w14:textId="77777777">
            <w:pPr>
              <w:rPr>
                <w:rFonts w:ascii="Palatino Linotype" w:hAnsi="Palatino Linotype"/>
                <w:sz w:val="20"/>
                <w:szCs w:val="20"/>
              </w:rPr>
            </w:pPr>
            <w:r w:rsidRPr="00391600">
              <w:rPr>
                <w:rFonts w:ascii="Palatino Linotype" w:hAnsi="Palatino Linotype"/>
                <w:sz w:val="20"/>
                <w:szCs w:val="20"/>
              </w:rPr>
              <w:t>06/25/2015</w:t>
            </w:r>
          </w:p>
        </w:tc>
        <w:tc>
          <w:tcPr>
            <w:tcW w:w="1530" w:type="dxa"/>
            <w:vAlign w:val="center"/>
          </w:tcPr>
          <w:p w:rsidRPr="00391600" w:rsidR="004A568A" w:rsidP="00970AC4" w:rsidRDefault="004A568A" w14:paraId="0C8ED6F4" w14:textId="77777777">
            <w:pPr>
              <w:rPr>
                <w:rFonts w:ascii="Palatino Linotype" w:hAnsi="Palatino Linotype"/>
                <w:sz w:val="20"/>
                <w:szCs w:val="20"/>
              </w:rPr>
            </w:pPr>
            <w:r w:rsidRPr="00391600">
              <w:rPr>
                <w:rFonts w:ascii="Palatino Linotype" w:hAnsi="Palatino Linotype"/>
                <w:sz w:val="20"/>
                <w:szCs w:val="20"/>
              </w:rPr>
              <w:t>06/25/2017</w:t>
            </w:r>
          </w:p>
        </w:tc>
        <w:tc>
          <w:tcPr>
            <w:tcW w:w="1380" w:type="dxa"/>
            <w:tcBorders>
              <w:right w:val="single" w:color="auto" w:sz="4" w:space="0"/>
            </w:tcBorders>
            <w:vAlign w:val="center"/>
          </w:tcPr>
          <w:p w:rsidRPr="00391600" w:rsidR="004A568A" w:rsidP="00970AC4" w:rsidRDefault="004A568A" w14:paraId="5ED9099C" w14:textId="77777777">
            <w:pPr>
              <w:rPr>
                <w:rFonts w:ascii="Palatino Linotype" w:hAnsi="Palatino Linotype"/>
                <w:sz w:val="20"/>
                <w:szCs w:val="20"/>
              </w:rPr>
            </w:pPr>
            <w:r w:rsidRPr="00391600">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46A9AA08" w14:textId="3B51EE9E">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47527DA3" w14:textId="578FB52B">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4F9091F3" w14:textId="3013E8C9">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2AAB97F" w14:textId="39C4DBFA">
            <w:pPr>
              <w:jc w:val="right"/>
              <w:rPr>
                <w:rFonts w:ascii="Palatino Linotype" w:hAnsi="Palatino Linotype"/>
                <w:sz w:val="20"/>
                <w:szCs w:val="20"/>
              </w:rPr>
            </w:pPr>
            <w:r w:rsidRPr="00391600">
              <w:rPr>
                <w:rFonts w:ascii="Palatino Linotype" w:hAnsi="Palatino Linotype"/>
                <w:sz w:val="20"/>
                <w:szCs w:val="20"/>
              </w:rPr>
              <w:t>11,482</w:t>
            </w:r>
          </w:p>
        </w:tc>
      </w:tr>
      <w:tr w:rsidRPr="00391600" w:rsidR="004A568A" w:rsidTr="6FAFEDE3" w14:paraId="73473F69" w14:textId="77777777">
        <w:tc>
          <w:tcPr>
            <w:tcW w:w="1729" w:type="dxa"/>
            <w:vMerge/>
          </w:tcPr>
          <w:p w:rsidRPr="00391600" w:rsidR="004A568A" w:rsidP="004A568A" w:rsidRDefault="004A568A" w14:paraId="18ED3C18" w14:textId="77777777">
            <w:pPr>
              <w:rPr>
                <w:rFonts w:ascii="Palatino Linotype" w:hAnsi="Palatino Linotype"/>
                <w:sz w:val="20"/>
                <w:szCs w:val="20"/>
              </w:rPr>
            </w:pPr>
          </w:p>
        </w:tc>
        <w:tc>
          <w:tcPr>
            <w:tcW w:w="4176" w:type="dxa"/>
            <w:vAlign w:val="center"/>
          </w:tcPr>
          <w:p w:rsidRPr="00391600" w:rsidR="004A568A" w:rsidP="00970AC4" w:rsidRDefault="004A568A" w14:paraId="6027156C" w14:textId="77777777">
            <w:pPr>
              <w:rPr>
                <w:rFonts w:ascii="Palatino Linotype" w:hAnsi="Palatino Linotype"/>
                <w:sz w:val="20"/>
                <w:szCs w:val="20"/>
              </w:rPr>
            </w:pPr>
            <w:r w:rsidRPr="00391600">
              <w:rPr>
                <w:rFonts w:ascii="Palatino Linotype" w:hAnsi="Palatino Linotype"/>
                <w:sz w:val="20"/>
                <w:szCs w:val="20"/>
              </w:rPr>
              <w:t>Natural Gas Pipeline Integrity</w:t>
            </w:r>
          </w:p>
        </w:tc>
        <w:tc>
          <w:tcPr>
            <w:tcW w:w="1170" w:type="dxa"/>
            <w:vAlign w:val="center"/>
          </w:tcPr>
          <w:p w:rsidRPr="00391600" w:rsidR="004A568A" w:rsidP="00970AC4" w:rsidRDefault="004A568A" w14:paraId="566DAC9F" w14:textId="77777777">
            <w:pPr>
              <w:rPr>
                <w:rFonts w:ascii="Palatino Linotype" w:hAnsi="Palatino Linotype"/>
                <w:sz w:val="20"/>
                <w:szCs w:val="20"/>
              </w:rPr>
            </w:pPr>
            <w:r w:rsidRPr="00391600">
              <w:rPr>
                <w:rFonts w:ascii="Palatino Linotype" w:hAnsi="Palatino Linotype"/>
                <w:sz w:val="20"/>
                <w:szCs w:val="20"/>
              </w:rPr>
              <w:t>06/25/2015</w:t>
            </w:r>
          </w:p>
        </w:tc>
        <w:tc>
          <w:tcPr>
            <w:tcW w:w="1530" w:type="dxa"/>
            <w:vAlign w:val="center"/>
          </w:tcPr>
          <w:p w:rsidRPr="00391600" w:rsidR="004A568A" w:rsidP="00970AC4" w:rsidRDefault="004A568A" w14:paraId="4884282D" w14:textId="77777777">
            <w:pPr>
              <w:rPr>
                <w:rFonts w:ascii="Palatino Linotype" w:hAnsi="Palatino Linotype"/>
                <w:sz w:val="20"/>
                <w:szCs w:val="20"/>
              </w:rPr>
            </w:pPr>
            <w:r w:rsidRPr="00391600">
              <w:rPr>
                <w:rFonts w:ascii="Palatino Linotype" w:hAnsi="Palatino Linotype"/>
                <w:sz w:val="20"/>
                <w:szCs w:val="20"/>
              </w:rPr>
              <w:t>06/25/2017</w:t>
            </w:r>
          </w:p>
        </w:tc>
        <w:tc>
          <w:tcPr>
            <w:tcW w:w="1380" w:type="dxa"/>
            <w:tcBorders>
              <w:right w:val="single" w:color="auto" w:sz="4" w:space="0"/>
            </w:tcBorders>
            <w:vAlign w:val="center"/>
          </w:tcPr>
          <w:p w:rsidRPr="00391600" w:rsidR="004A568A" w:rsidP="00970AC4" w:rsidRDefault="004A568A" w14:paraId="11062D14" w14:textId="77777777">
            <w:pPr>
              <w:rPr>
                <w:rFonts w:ascii="Palatino Linotype" w:hAnsi="Palatino Linotype"/>
                <w:sz w:val="20"/>
                <w:szCs w:val="20"/>
              </w:rPr>
            </w:pPr>
            <w:r w:rsidRPr="00391600">
              <w:rPr>
                <w:rFonts w:ascii="Palatino Linotype" w:hAnsi="Palatino Linotype"/>
                <w:sz w:val="20"/>
                <w:szCs w:val="20"/>
              </w:rPr>
              <w:t>06/25/2021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A6C2AB6" w14:textId="513C08DA">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34FC0CDE" w14:textId="02C19577">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3864F172" w14:textId="06D629EF">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48667C1" w14:textId="5037D5EB">
            <w:pPr>
              <w:jc w:val="right"/>
              <w:rPr>
                <w:rFonts w:ascii="Palatino Linotype" w:hAnsi="Palatino Linotype"/>
                <w:sz w:val="20"/>
                <w:szCs w:val="20"/>
              </w:rPr>
            </w:pPr>
            <w:r w:rsidRPr="00391600">
              <w:rPr>
                <w:rFonts w:ascii="Palatino Linotype" w:hAnsi="Palatino Linotype"/>
                <w:sz w:val="20"/>
                <w:szCs w:val="20"/>
              </w:rPr>
              <w:t>305,349</w:t>
            </w:r>
          </w:p>
        </w:tc>
      </w:tr>
      <w:tr w:rsidRPr="00391600" w:rsidR="004A568A" w:rsidTr="6FAFEDE3" w14:paraId="6C5CBD4A" w14:textId="77777777">
        <w:tc>
          <w:tcPr>
            <w:tcW w:w="1729" w:type="dxa"/>
          </w:tcPr>
          <w:p w:rsidRPr="00391600" w:rsidR="004A568A" w:rsidP="004A568A" w:rsidRDefault="004A568A" w14:paraId="0F58995B" w14:textId="77777777">
            <w:pPr>
              <w:rPr>
                <w:rFonts w:ascii="Palatino Linotype" w:hAnsi="Palatino Linotype"/>
                <w:sz w:val="20"/>
                <w:szCs w:val="20"/>
              </w:rPr>
            </w:pPr>
            <w:r w:rsidRPr="00391600">
              <w:rPr>
                <w:rFonts w:ascii="Palatino Linotype" w:hAnsi="Palatino Linotype"/>
                <w:sz w:val="20"/>
                <w:szCs w:val="20"/>
              </w:rPr>
              <w:t>FY 2015-2016 Supplemental</w:t>
            </w:r>
          </w:p>
        </w:tc>
        <w:tc>
          <w:tcPr>
            <w:tcW w:w="4176" w:type="dxa"/>
            <w:vAlign w:val="center"/>
          </w:tcPr>
          <w:p w:rsidRPr="00391600" w:rsidR="004A568A" w:rsidP="00970AC4" w:rsidRDefault="004A568A" w14:paraId="54FFF56D"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7A77275E" w14:textId="77777777">
            <w:pPr>
              <w:rPr>
                <w:rFonts w:ascii="Palatino Linotype" w:hAnsi="Palatino Linotype"/>
                <w:sz w:val="20"/>
                <w:szCs w:val="20"/>
              </w:rPr>
            </w:pPr>
            <w:r w:rsidRPr="00391600">
              <w:rPr>
                <w:rFonts w:ascii="Palatino Linotype" w:hAnsi="Palatino Linotype"/>
                <w:sz w:val="20"/>
                <w:szCs w:val="20"/>
              </w:rPr>
              <w:t>12/03/2015</w:t>
            </w:r>
          </w:p>
        </w:tc>
        <w:tc>
          <w:tcPr>
            <w:tcW w:w="1530" w:type="dxa"/>
            <w:vAlign w:val="center"/>
          </w:tcPr>
          <w:p w:rsidRPr="00391600" w:rsidR="004A568A" w:rsidP="00970AC4" w:rsidRDefault="004A568A" w14:paraId="482E3A02" w14:textId="77777777">
            <w:pPr>
              <w:rPr>
                <w:rFonts w:ascii="Palatino Linotype" w:hAnsi="Palatino Linotype"/>
                <w:sz w:val="20"/>
                <w:szCs w:val="20"/>
              </w:rPr>
            </w:pPr>
            <w:r w:rsidRPr="00391600">
              <w:rPr>
                <w:rFonts w:ascii="Palatino Linotype" w:hAnsi="Palatino Linotype"/>
                <w:sz w:val="20"/>
                <w:szCs w:val="20"/>
              </w:rPr>
              <w:t>12/03/2017</w:t>
            </w:r>
          </w:p>
        </w:tc>
        <w:tc>
          <w:tcPr>
            <w:tcW w:w="1380" w:type="dxa"/>
            <w:tcBorders>
              <w:right w:val="single" w:color="auto" w:sz="4" w:space="0"/>
            </w:tcBorders>
            <w:vAlign w:val="center"/>
          </w:tcPr>
          <w:p w:rsidRPr="00391600" w:rsidR="004A568A" w:rsidP="00970AC4" w:rsidRDefault="004A568A" w14:paraId="3074381E" w14:textId="77777777">
            <w:pPr>
              <w:rPr>
                <w:rFonts w:ascii="Palatino Linotype" w:hAnsi="Palatino Linotype"/>
                <w:sz w:val="20"/>
                <w:szCs w:val="20"/>
              </w:rPr>
            </w:pPr>
            <w:r w:rsidRPr="00391600">
              <w:rPr>
                <w:rFonts w:ascii="Palatino Linotype" w:hAnsi="Palatino Linotype"/>
                <w:sz w:val="20"/>
                <w:szCs w:val="20"/>
              </w:rPr>
              <w:t>12/03/2021</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6AB4C000" w14:textId="072C6ACA">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599A51F" w14:textId="369B66C0">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626E9AF8" w14:textId="6113712A">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22608861" w14:textId="091678E2">
            <w:pPr>
              <w:jc w:val="right"/>
              <w:rPr>
                <w:rFonts w:ascii="Palatino Linotype" w:hAnsi="Palatino Linotype"/>
                <w:sz w:val="20"/>
                <w:szCs w:val="20"/>
              </w:rPr>
            </w:pPr>
            <w:r w:rsidRPr="00391600">
              <w:rPr>
                <w:rFonts w:ascii="Palatino Linotype" w:hAnsi="Palatino Linotype"/>
                <w:sz w:val="20"/>
                <w:szCs w:val="20"/>
              </w:rPr>
              <w:t>188,333</w:t>
            </w:r>
          </w:p>
        </w:tc>
      </w:tr>
      <w:tr w:rsidRPr="00391600" w:rsidR="004A568A" w:rsidTr="6FAFEDE3" w14:paraId="591A9161" w14:textId="77777777">
        <w:tc>
          <w:tcPr>
            <w:tcW w:w="1729" w:type="dxa"/>
            <w:vMerge w:val="restart"/>
          </w:tcPr>
          <w:p w:rsidRPr="00391600" w:rsidR="004A568A" w:rsidP="004A568A" w:rsidRDefault="004A568A" w14:paraId="3CD6A7BC" w14:textId="77777777">
            <w:pPr>
              <w:rPr>
                <w:rFonts w:ascii="Palatino Linotype" w:hAnsi="Palatino Linotype"/>
                <w:sz w:val="20"/>
                <w:szCs w:val="20"/>
              </w:rPr>
            </w:pPr>
            <w:r w:rsidRPr="00391600">
              <w:rPr>
                <w:rFonts w:ascii="Palatino Linotype" w:hAnsi="Palatino Linotype"/>
                <w:sz w:val="20"/>
                <w:szCs w:val="20"/>
              </w:rPr>
              <w:t>FY 2016-2017</w:t>
            </w:r>
          </w:p>
        </w:tc>
        <w:tc>
          <w:tcPr>
            <w:tcW w:w="4176" w:type="dxa"/>
            <w:vAlign w:val="center"/>
          </w:tcPr>
          <w:p w:rsidRPr="00391600" w:rsidR="004A568A" w:rsidP="00970AC4" w:rsidRDefault="004A568A" w14:paraId="11EDA7D9" w14:textId="2CDBB722">
            <w:pPr>
              <w:rPr>
                <w:rFonts w:ascii="Palatino Linotype" w:hAnsi="Palatino Linotype"/>
                <w:sz w:val="20"/>
                <w:szCs w:val="20"/>
              </w:rPr>
            </w:pPr>
            <w:r w:rsidRPr="00391600">
              <w:rPr>
                <w:rFonts w:ascii="Palatino Linotype" w:hAnsi="Palatino Linotype"/>
                <w:sz w:val="20"/>
                <w:szCs w:val="20"/>
              </w:rPr>
              <w:t>Energy Efficiency: Industrial, Agriculture, and Water Efficiency</w:t>
            </w:r>
          </w:p>
        </w:tc>
        <w:tc>
          <w:tcPr>
            <w:tcW w:w="1170" w:type="dxa"/>
            <w:vAlign w:val="center"/>
          </w:tcPr>
          <w:p w:rsidRPr="00391600" w:rsidR="004A568A" w:rsidP="00970AC4" w:rsidRDefault="004A568A" w14:paraId="654CED6C" w14:textId="77777777">
            <w:pPr>
              <w:rPr>
                <w:rFonts w:ascii="Palatino Linotype" w:hAnsi="Palatino Linotype"/>
                <w:sz w:val="20"/>
                <w:szCs w:val="20"/>
              </w:rPr>
            </w:pPr>
            <w:r w:rsidRPr="00391600">
              <w:rPr>
                <w:rFonts w:ascii="Palatino Linotype" w:hAnsi="Palatino Linotype"/>
                <w:sz w:val="20"/>
                <w:szCs w:val="20"/>
              </w:rPr>
              <w:t>09/30/2016</w:t>
            </w:r>
          </w:p>
        </w:tc>
        <w:tc>
          <w:tcPr>
            <w:tcW w:w="1530" w:type="dxa"/>
            <w:vAlign w:val="center"/>
          </w:tcPr>
          <w:p w:rsidRPr="00391600" w:rsidR="004A568A" w:rsidP="00970AC4" w:rsidRDefault="004A568A" w14:paraId="533D2DE9" w14:textId="77777777">
            <w:pPr>
              <w:rPr>
                <w:rFonts w:ascii="Palatino Linotype" w:hAnsi="Palatino Linotype"/>
                <w:sz w:val="20"/>
                <w:szCs w:val="20"/>
              </w:rPr>
            </w:pPr>
            <w:r w:rsidRPr="00391600">
              <w:rPr>
                <w:rFonts w:ascii="Palatino Linotype" w:hAnsi="Palatino Linotype"/>
                <w:sz w:val="20"/>
                <w:szCs w:val="20"/>
              </w:rPr>
              <w:t>09/30/2018</w:t>
            </w:r>
          </w:p>
        </w:tc>
        <w:tc>
          <w:tcPr>
            <w:tcW w:w="1380" w:type="dxa"/>
            <w:tcBorders>
              <w:right w:val="single" w:color="auto" w:sz="4" w:space="0"/>
            </w:tcBorders>
            <w:vAlign w:val="center"/>
          </w:tcPr>
          <w:p w:rsidRPr="00391600" w:rsidR="004A568A" w:rsidP="00970AC4" w:rsidRDefault="004A568A" w14:paraId="6D173023" w14:textId="77777777">
            <w:pPr>
              <w:rPr>
                <w:rFonts w:ascii="Palatino Linotype" w:hAnsi="Palatino Linotype"/>
                <w:sz w:val="20"/>
                <w:szCs w:val="20"/>
              </w:rPr>
            </w:pPr>
            <w:r w:rsidRPr="00391600">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133CFF62" w14:textId="4E0987D2">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D9EAF85" w14:textId="6DCB9837">
            <w:pPr>
              <w:jc w:val="right"/>
              <w:rPr>
                <w:rFonts w:ascii="Palatino Linotype" w:hAnsi="Palatino Linotype"/>
                <w:sz w:val="20"/>
                <w:szCs w:val="20"/>
              </w:rPr>
            </w:pPr>
            <w:r w:rsidRPr="00391600">
              <w:rPr>
                <w:rFonts w:ascii="Palatino Linotype" w:hAnsi="Palatino Linotype"/>
                <w:sz w:val="20"/>
                <w:szCs w:val="20"/>
              </w:rPr>
              <w:t>543,673</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C55C61E" w14:textId="41E95311">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3BC03E15" w14:textId="3E2827C8">
            <w:pPr>
              <w:jc w:val="right"/>
              <w:rPr>
                <w:rFonts w:ascii="Palatino Linotype" w:hAnsi="Palatino Linotype"/>
                <w:sz w:val="20"/>
                <w:szCs w:val="20"/>
              </w:rPr>
            </w:pPr>
            <w:r w:rsidRPr="00391600">
              <w:rPr>
                <w:rFonts w:ascii="Palatino Linotype" w:hAnsi="Palatino Linotype"/>
                <w:sz w:val="20"/>
                <w:szCs w:val="20"/>
              </w:rPr>
              <w:t>279,667</w:t>
            </w:r>
          </w:p>
        </w:tc>
      </w:tr>
      <w:tr w:rsidRPr="00391600" w:rsidR="004A568A" w:rsidTr="6FAFEDE3" w14:paraId="6F5F0EE4" w14:textId="77777777">
        <w:tc>
          <w:tcPr>
            <w:tcW w:w="1729" w:type="dxa"/>
            <w:vMerge/>
          </w:tcPr>
          <w:p w:rsidRPr="00391600" w:rsidR="004A568A" w:rsidP="004A568A" w:rsidRDefault="004A568A" w14:paraId="6B4829B3" w14:textId="77777777">
            <w:pPr>
              <w:rPr>
                <w:rFonts w:ascii="Palatino Linotype" w:hAnsi="Palatino Linotype"/>
                <w:sz w:val="20"/>
                <w:szCs w:val="20"/>
              </w:rPr>
            </w:pPr>
          </w:p>
        </w:tc>
        <w:tc>
          <w:tcPr>
            <w:tcW w:w="4176" w:type="dxa"/>
            <w:vAlign w:val="center"/>
          </w:tcPr>
          <w:p w:rsidRPr="00391600" w:rsidR="004A568A" w:rsidP="00970AC4" w:rsidRDefault="004A568A" w14:paraId="4A74B4B5" w14:textId="77777777">
            <w:pPr>
              <w:rPr>
                <w:rFonts w:ascii="Palatino Linotype" w:hAnsi="Palatino Linotype"/>
                <w:sz w:val="20"/>
                <w:szCs w:val="20"/>
              </w:rPr>
            </w:pPr>
            <w:r w:rsidRPr="00391600">
              <w:rPr>
                <w:rFonts w:ascii="Palatino Linotype" w:hAnsi="Palatino Linotype"/>
                <w:sz w:val="20"/>
                <w:szCs w:val="20"/>
              </w:rPr>
              <w:t>Renewable Energy and Advanced Generation</w:t>
            </w:r>
          </w:p>
        </w:tc>
        <w:tc>
          <w:tcPr>
            <w:tcW w:w="1170" w:type="dxa"/>
            <w:vAlign w:val="center"/>
          </w:tcPr>
          <w:p w:rsidRPr="00391600" w:rsidR="004A568A" w:rsidP="00970AC4" w:rsidRDefault="004A568A" w14:paraId="7A45672E" w14:textId="77777777">
            <w:pPr>
              <w:rPr>
                <w:rFonts w:ascii="Palatino Linotype" w:hAnsi="Palatino Linotype"/>
                <w:sz w:val="20"/>
                <w:szCs w:val="20"/>
              </w:rPr>
            </w:pPr>
            <w:r w:rsidRPr="00391600">
              <w:rPr>
                <w:rFonts w:ascii="Palatino Linotype" w:hAnsi="Palatino Linotype"/>
                <w:sz w:val="20"/>
                <w:szCs w:val="20"/>
              </w:rPr>
              <w:t>09/30/2016</w:t>
            </w:r>
          </w:p>
        </w:tc>
        <w:tc>
          <w:tcPr>
            <w:tcW w:w="1530" w:type="dxa"/>
            <w:vAlign w:val="center"/>
          </w:tcPr>
          <w:p w:rsidRPr="00391600" w:rsidR="004A568A" w:rsidP="00970AC4" w:rsidRDefault="004A568A" w14:paraId="53945156" w14:textId="77777777">
            <w:pPr>
              <w:rPr>
                <w:rFonts w:ascii="Palatino Linotype" w:hAnsi="Palatino Linotype"/>
                <w:sz w:val="20"/>
                <w:szCs w:val="20"/>
              </w:rPr>
            </w:pPr>
            <w:r w:rsidRPr="00391600">
              <w:rPr>
                <w:rFonts w:ascii="Palatino Linotype" w:hAnsi="Palatino Linotype"/>
                <w:sz w:val="20"/>
                <w:szCs w:val="20"/>
              </w:rPr>
              <w:t>09/30/2018</w:t>
            </w:r>
          </w:p>
        </w:tc>
        <w:tc>
          <w:tcPr>
            <w:tcW w:w="1380" w:type="dxa"/>
            <w:tcBorders>
              <w:right w:val="single" w:color="auto" w:sz="4" w:space="0"/>
            </w:tcBorders>
            <w:vAlign w:val="center"/>
          </w:tcPr>
          <w:p w:rsidRPr="00391600" w:rsidR="004A568A" w:rsidP="00970AC4" w:rsidRDefault="004A568A" w14:paraId="7C01335E" w14:textId="77777777">
            <w:pPr>
              <w:rPr>
                <w:rFonts w:ascii="Palatino Linotype" w:hAnsi="Palatino Linotype"/>
                <w:sz w:val="20"/>
                <w:szCs w:val="20"/>
              </w:rPr>
            </w:pPr>
            <w:r w:rsidRPr="00391600">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43FFEF8" w14:textId="5EAC6538">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551CA943" w14:textId="4E42A548">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1ED5CD42" w14:textId="2F2481DA">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79662F4" w14:textId="258AE78B">
            <w:pPr>
              <w:jc w:val="right"/>
              <w:rPr>
                <w:rFonts w:ascii="Palatino Linotype" w:hAnsi="Palatino Linotype"/>
                <w:sz w:val="20"/>
                <w:szCs w:val="20"/>
              </w:rPr>
            </w:pPr>
            <w:r w:rsidRPr="00391600">
              <w:rPr>
                <w:rFonts w:ascii="Palatino Linotype" w:hAnsi="Palatino Linotype"/>
                <w:sz w:val="20"/>
                <w:szCs w:val="20"/>
              </w:rPr>
              <w:t>390,680</w:t>
            </w:r>
          </w:p>
        </w:tc>
      </w:tr>
      <w:tr w:rsidRPr="00391600" w:rsidR="004A568A" w:rsidTr="6FAFEDE3" w14:paraId="5129341C" w14:textId="77777777">
        <w:tc>
          <w:tcPr>
            <w:tcW w:w="1729" w:type="dxa"/>
            <w:vMerge/>
          </w:tcPr>
          <w:p w:rsidRPr="00391600" w:rsidR="004A568A" w:rsidP="004A568A" w:rsidRDefault="004A568A" w14:paraId="2CCB4261" w14:textId="77777777">
            <w:pPr>
              <w:rPr>
                <w:rFonts w:ascii="Palatino Linotype" w:hAnsi="Palatino Linotype"/>
                <w:sz w:val="20"/>
                <w:szCs w:val="20"/>
              </w:rPr>
            </w:pPr>
          </w:p>
        </w:tc>
        <w:tc>
          <w:tcPr>
            <w:tcW w:w="4176" w:type="dxa"/>
            <w:vAlign w:val="center"/>
          </w:tcPr>
          <w:p w:rsidRPr="00391600" w:rsidR="004A568A" w:rsidP="00970AC4" w:rsidRDefault="004A568A" w14:paraId="0CBE5F54" w14:textId="77777777">
            <w:pPr>
              <w:rPr>
                <w:rFonts w:ascii="Palatino Linotype" w:hAnsi="Palatino Linotype"/>
                <w:sz w:val="20"/>
                <w:szCs w:val="20"/>
              </w:rPr>
            </w:pPr>
            <w:r w:rsidRPr="00391600">
              <w:rPr>
                <w:rFonts w:ascii="Palatino Linotype" w:hAnsi="Palatino Linotype"/>
                <w:sz w:val="20"/>
                <w:szCs w:val="20"/>
              </w:rPr>
              <w:t>Natural Gas-Related Transportation</w:t>
            </w:r>
          </w:p>
        </w:tc>
        <w:tc>
          <w:tcPr>
            <w:tcW w:w="1170" w:type="dxa"/>
            <w:vAlign w:val="center"/>
          </w:tcPr>
          <w:p w:rsidRPr="00391600" w:rsidR="004A568A" w:rsidP="00970AC4" w:rsidRDefault="004A568A" w14:paraId="7E5BD60E" w14:textId="77777777">
            <w:pPr>
              <w:rPr>
                <w:rFonts w:ascii="Palatino Linotype" w:hAnsi="Palatino Linotype"/>
                <w:sz w:val="20"/>
                <w:szCs w:val="20"/>
              </w:rPr>
            </w:pPr>
            <w:r w:rsidRPr="00391600">
              <w:rPr>
                <w:rFonts w:ascii="Palatino Linotype" w:hAnsi="Palatino Linotype"/>
                <w:sz w:val="20"/>
                <w:szCs w:val="20"/>
              </w:rPr>
              <w:t>09/30/2016</w:t>
            </w:r>
          </w:p>
        </w:tc>
        <w:tc>
          <w:tcPr>
            <w:tcW w:w="1530" w:type="dxa"/>
            <w:vAlign w:val="center"/>
          </w:tcPr>
          <w:p w:rsidRPr="00391600" w:rsidR="004A568A" w:rsidP="00970AC4" w:rsidRDefault="004A568A" w14:paraId="242FCE4D" w14:textId="77777777">
            <w:pPr>
              <w:rPr>
                <w:rFonts w:ascii="Palatino Linotype" w:hAnsi="Palatino Linotype"/>
                <w:sz w:val="20"/>
                <w:szCs w:val="20"/>
              </w:rPr>
            </w:pPr>
            <w:r w:rsidRPr="00391600">
              <w:rPr>
                <w:rFonts w:ascii="Palatino Linotype" w:hAnsi="Palatino Linotype"/>
                <w:sz w:val="20"/>
                <w:szCs w:val="20"/>
              </w:rPr>
              <w:t>09/30/2018</w:t>
            </w:r>
          </w:p>
        </w:tc>
        <w:tc>
          <w:tcPr>
            <w:tcW w:w="1380" w:type="dxa"/>
            <w:tcBorders>
              <w:right w:val="single" w:color="auto" w:sz="4" w:space="0"/>
            </w:tcBorders>
            <w:vAlign w:val="center"/>
          </w:tcPr>
          <w:p w:rsidRPr="00391600" w:rsidR="004A568A" w:rsidP="00970AC4" w:rsidRDefault="004A568A" w14:paraId="590A1326" w14:textId="77777777">
            <w:pPr>
              <w:rPr>
                <w:rFonts w:ascii="Palatino Linotype" w:hAnsi="Palatino Linotype"/>
                <w:sz w:val="20"/>
                <w:szCs w:val="20"/>
              </w:rPr>
            </w:pPr>
            <w:r w:rsidRPr="00391600">
              <w:rPr>
                <w:rFonts w:ascii="Palatino Linotype" w:hAnsi="Palatino Linotype"/>
                <w:sz w:val="20"/>
                <w:szCs w:val="20"/>
              </w:rPr>
              <w:t>09/30/2022</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600CA06B" w14:textId="16B3FEB2">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28D74F7" w14:textId="45544E0A">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73006B6E" w14:textId="26965765">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37CD119B" w14:textId="5CE188B3">
            <w:pPr>
              <w:jc w:val="right"/>
              <w:rPr>
                <w:rFonts w:ascii="Palatino Linotype" w:hAnsi="Palatino Linotype"/>
                <w:sz w:val="20"/>
                <w:szCs w:val="20"/>
              </w:rPr>
            </w:pPr>
            <w:r w:rsidRPr="00391600">
              <w:rPr>
                <w:rFonts w:ascii="Palatino Linotype" w:hAnsi="Palatino Linotype"/>
                <w:sz w:val="20"/>
                <w:szCs w:val="20"/>
              </w:rPr>
              <w:t>1,235</w:t>
            </w:r>
          </w:p>
        </w:tc>
      </w:tr>
      <w:tr w:rsidRPr="00391600" w:rsidR="004A568A" w:rsidTr="6FAFEDE3" w14:paraId="79069C7F" w14:textId="77777777">
        <w:tc>
          <w:tcPr>
            <w:tcW w:w="1729" w:type="dxa"/>
          </w:tcPr>
          <w:p w:rsidRPr="00391600" w:rsidR="004A568A" w:rsidP="004A568A" w:rsidRDefault="004A568A" w14:paraId="34C0F6FB" w14:textId="77777777">
            <w:pPr>
              <w:rPr>
                <w:rFonts w:ascii="Palatino Linotype" w:hAnsi="Palatino Linotype"/>
                <w:sz w:val="20"/>
                <w:szCs w:val="20"/>
              </w:rPr>
            </w:pPr>
            <w:r w:rsidRPr="00391600">
              <w:rPr>
                <w:rFonts w:ascii="Palatino Linotype" w:hAnsi="Palatino Linotype"/>
                <w:sz w:val="20"/>
                <w:szCs w:val="20"/>
              </w:rPr>
              <w:t>FY 2016-2017 Supplemental</w:t>
            </w:r>
          </w:p>
        </w:tc>
        <w:tc>
          <w:tcPr>
            <w:tcW w:w="4176" w:type="dxa"/>
            <w:vAlign w:val="center"/>
          </w:tcPr>
          <w:p w:rsidRPr="00391600" w:rsidR="004A568A" w:rsidP="00970AC4" w:rsidRDefault="004A568A" w14:paraId="69CFC8BB"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6354AE0F" w14:textId="77777777">
            <w:pPr>
              <w:rPr>
                <w:rFonts w:ascii="Palatino Linotype" w:hAnsi="Palatino Linotype"/>
                <w:sz w:val="20"/>
                <w:szCs w:val="20"/>
              </w:rPr>
            </w:pPr>
            <w:r w:rsidRPr="00391600">
              <w:rPr>
                <w:rFonts w:ascii="Palatino Linotype" w:hAnsi="Palatino Linotype"/>
                <w:sz w:val="20"/>
                <w:szCs w:val="20"/>
              </w:rPr>
              <w:t>04/27/2017</w:t>
            </w:r>
          </w:p>
        </w:tc>
        <w:tc>
          <w:tcPr>
            <w:tcW w:w="1530" w:type="dxa"/>
            <w:vAlign w:val="center"/>
          </w:tcPr>
          <w:p w:rsidRPr="00391600" w:rsidR="004A568A" w:rsidP="00970AC4" w:rsidRDefault="004A568A" w14:paraId="42A66684" w14:textId="77777777">
            <w:pPr>
              <w:rPr>
                <w:rFonts w:ascii="Palatino Linotype" w:hAnsi="Palatino Linotype"/>
                <w:sz w:val="20"/>
                <w:szCs w:val="20"/>
              </w:rPr>
            </w:pPr>
            <w:r w:rsidRPr="00391600">
              <w:rPr>
                <w:rFonts w:ascii="Palatino Linotype" w:hAnsi="Palatino Linotype"/>
                <w:sz w:val="20"/>
                <w:szCs w:val="20"/>
              </w:rPr>
              <w:t>04/27/2019</w:t>
            </w:r>
          </w:p>
        </w:tc>
        <w:tc>
          <w:tcPr>
            <w:tcW w:w="1380" w:type="dxa"/>
            <w:tcBorders>
              <w:right w:val="single" w:color="auto" w:sz="4" w:space="0"/>
            </w:tcBorders>
            <w:vAlign w:val="center"/>
          </w:tcPr>
          <w:p w:rsidRPr="00391600" w:rsidR="004A568A" w:rsidP="00970AC4" w:rsidRDefault="004A568A" w14:paraId="04B7B378" w14:textId="77777777">
            <w:pPr>
              <w:rPr>
                <w:rFonts w:ascii="Palatino Linotype" w:hAnsi="Palatino Linotype"/>
                <w:sz w:val="20"/>
                <w:szCs w:val="20"/>
              </w:rPr>
            </w:pPr>
            <w:r w:rsidRPr="00391600">
              <w:rPr>
                <w:rFonts w:ascii="Palatino Linotype" w:hAnsi="Palatino Linotype"/>
                <w:sz w:val="20"/>
                <w:szCs w:val="20"/>
              </w:rPr>
              <w:t>04/27/2023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BAE25C9" w14:textId="123EB4FB">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166CAA15" w14:textId="76EEE1AB">
            <w:pPr>
              <w:jc w:val="right"/>
              <w:rPr>
                <w:rFonts w:ascii="Palatino Linotype" w:hAnsi="Palatino Linotype"/>
                <w:sz w:val="20"/>
                <w:szCs w:val="20"/>
              </w:rPr>
            </w:pPr>
            <w:r w:rsidRPr="00391600">
              <w:rPr>
                <w:rFonts w:ascii="Palatino Linotype" w:hAnsi="Palatino Linotype"/>
                <w:sz w:val="20"/>
                <w:szCs w:val="20"/>
              </w:rPr>
              <w:t>22</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182819B" w14:textId="70A3974E">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1C5B6E7" w14:textId="534626A0">
            <w:pPr>
              <w:jc w:val="right"/>
              <w:rPr>
                <w:rFonts w:ascii="Palatino Linotype" w:hAnsi="Palatino Linotype"/>
                <w:sz w:val="20"/>
                <w:szCs w:val="20"/>
              </w:rPr>
            </w:pPr>
            <w:r w:rsidRPr="00391600">
              <w:rPr>
                <w:rFonts w:ascii="Palatino Linotype" w:hAnsi="Palatino Linotype"/>
                <w:sz w:val="20"/>
                <w:szCs w:val="20"/>
              </w:rPr>
              <w:t>44,546</w:t>
            </w:r>
          </w:p>
        </w:tc>
      </w:tr>
      <w:tr w:rsidRPr="00391600" w:rsidR="004A568A" w:rsidTr="6FAFEDE3" w14:paraId="6A8A4EA1" w14:textId="77777777">
        <w:tc>
          <w:tcPr>
            <w:tcW w:w="1729" w:type="dxa"/>
            <w:vMerge w:val="restart"/>
          </w:tcPr>
          <w:p w:rsidRPr="00391600" w:rsidR="004A568A" w:rsidP="004A568A" w:rsidRDefault="004A568A" w14:paraId="0DAEB983" w14:textId="77777777">
            <w:pPr>
              <w:rPr>
                <w:rFonts w:ascii="Palatino Linotype" w:hAnsi="Palatino Linotype"/>
                <w:sz w:val="20"/>
                <w:szCs w:val="20"/>
              </w:rPr>
            </w:pPr>
            <w:r w:rsidRPr="00391600">
              <w:rPr>
                <w:rFonts w:ascii="Palatino Linotype" w:hAnsi="Palatino Linotype"/>
                <w:sz w:val="20"/>
                <w:szCs w:val="20"/>
              </w:rPr>
              <w:t>FY 2017-2018</w:t>
            </w:r>
          </w:p>
        </w:tc>
        <w:tc>
          <w:tcPr>
            <w:tcW w:w="4176" w:type="dxa"/>
            <w:vAlign w:val="center"/>
          </w:tcPr>
          <w:p w:rsidRPr="00391600" w:rsidR="004A568A" w:rsidP="00970AC4" w:rsidRDefault="004A568A" w14:paraId="030F965C" w14:textId="77777777">
            <w:pPr>
              <w:rPr>
                <w:rFonts w:ascii="Palatino Linotype" w:hAnsi="Palatino Linotype"/>
                <w:sz w:val="20"/>
                <w:szCs w:val="20"/>
              </w:rPr>
            </w:pPr>
            <w:r w:rsidRPr="00391600">
              <w:rPr>
                <w:rFonts w:ascii="Palatino Linotype" w:hAnsi="Palatino Linotype"/>
                <w:sz w:val="20"/>
                <w:szCs w:val="20"/>
              </w:rPr>
              <w:t>Energy Efficiency</w:t>
            </w:r>
          </w:p>
        </w:tc>
        <w:tc>
          <w:tcPr>
            <w:tcW w:w="1170" w:type="dxa"/>
            <w:vAlign w:val="center"/>
          </w:tcPr>
          <w:p w:rsidRPr="00391600" w:rsidR="004A568A" w:rsidP="00970AC4" w:rsidRDefault="004A568A" w14:paraId="0807EAA4" w14:textId="77777777">
            <w:pPr>
              <w:rPr>
                <w:rFonts w:ascii="Palatino Linotype" w:hAnsi="Palatino Linotype"/>
                <w:sz w:val="20"/>
                <w:szCs w:val="20"/>
              </w:rPr>
            </w:pPr>
            <w:r w:rsidRPr="00391600">
              <w:rPr>
                <w:rFonts w:ascii="Palatino Linotype" w:hAnsi="Palatino Linotype"/>
                <w:sz w:val="20"/>
                <w:szCs w:val="20"/>
              </w:rPr>
              <w:t>09/28/2017</w:t>
            </w:r>
          </w:p>
        </w:tc>
        <w:tc>
          <w:tcPr>
            <w:tcW w:w="1530" w:type="dxa"/>
            <w:vAlign w:val="center"/>
          </w:tcPr>
          <w:p w:rsidRPr="00391600" w:rsidR="004A568A" w:rsidP="00970AC4" w:rsidRDefault="004A568A" w14:paraId="32C1574B" w14:textId="77777777">
            <w:pPr>
              <w:rPr>
                <w:rFonts w:ascii="Palatino Linotype" w:hAnsi="Palatino Linotype"/>
                <w:sz w:val="20"/>
                <w:szCs w:val="20"/>
              </w:rPr>
            </w:pPr>
            <w:r w:rsidRPr="00391600">
              <w:rPr>
                <w:rFonts w:ascii="Palatino Linotype" w:hAnsi="Palatino Linotype"/>
                <w:sz w:val="20"/>
                <w:szCs w:val="20"/>
              </w:rPr>
              <w:t>09/28/2019</w:t>
            </w:r>
          </w:p>
        </w:tc>
        <w:tc>
          <w:tcPr>
            <w:tcW w:w="1380" w:type="dxa"/>
            <w:tcBorders>
              <w:right w:val="single" w:color="auto" w:sz="4" w:space="0"/>
            </w:tcBorders>
            <w:vAlign w:val="center"/>
          </w:tcPr>
          <w:p w:rsidRPr="00391600" w:rsidR="004A568A" w:rsidP="00970AC4" w:rsidRDefault="004A568A" w14:paraId="3E3EAE2E" w14:textId="77777777">
            <w:pPr>
              <w:rPr>
                <w:rFonts w:ascii="Palatino Linotype" w:hAnsi="Palatino Linotype"/>
                <w:sz w:val="20"/>
                <w:szCs w:val="20"/>
              </w:rPr>
            </w:pPr>
            <w:r w:rsidRPr="00391600">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8848858" w14:textId="0AB1AB26">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5ACF26B" w14:textId="74B8F729">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3F5EC35F" w14:textId="4EF06E7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56DCAA9E" w14:textId="45449BAC">
            <w:pPr>
              <w:jc w:val="right"/>
              <w:rPr>
                <w:rFonts w:ascii="Palatino Linotype" w:hAnsi="Palatino Linotype"/>
                <w:sz w:val="20"/>
                <w:szCs w:val="20"/>
              </w:rPr>
            </w:pPr>
            <w:r w:rsidRPr="00391600">
              <w:rPr>
                <w:rFonts w:ascii="Palatino Linotype" w:hAnsi="Palatino Linotype"/>
                <w:sz w:val="20"/>
                <w:szCs w:val="20"/>
              </w:rPr>
              <w:t>55,846</w:t>
            </w:r>
          </w:p>
        </w:tc>
      </w:tr>
      <w:tr w:rsidRPr="00391600" w:rsidR="004A568A" w:rsidTr="6FAFEDE3" w14:paraId="5023ED3B" w14:textId="77777777">
        <w:tc>
          <w:tcPr>
            <w:tcW w:w="1729" w:type="dxa"/>
            <w:vMerge/>
          </w:tcPr>
          <w:p w:rsidRPr="00391600" w:rsidR="004A568A" w:rsidP="004A568A" w:rsidRDefault="004A568A" w14:paraId="56F77185" w14:textId="77777777">
            <w:pPr>
              <w:rPr>
                <w:rFonts w:ascii="Palatino Linotype" w:hAnsi="Palatino Linotype"/>
                <w:sz w:val="20"/>
                <w:szCs w:val="20"/>
              </w:rPr>
            </w:pPr>
          </w:p>
        </w:tc>
        <w:tc>
          <w:tcPr>
            <w:tcW w:w="4176" w:type="dxa"/>
            <w:vAlign w:val="center"/>
          </w:tcPr>
          <w:p w:rsidRPr="00391600" w:rsidR="004A568A" w:rsidP="00970AC4" w:rsidRDefault="004A568A" w14:paraId="6DCADEE5" w14:textId="77777777">
            <w:pPr>
              <w:rPr>
                <w:rFonts w:ascii="Palatino Linotype" w:hAnsi="Palatino Linotype"/>
                <w:sz w:val="20"/>
                <w:szCs w:val="20"/>
              </w:rPr>
            </w:pPr>
            <w:r w:rsidRPr="00391600">
              <w:rPr>
                <w:rFonts w:ascii="Palatino Linotype" w:hAnsi="Palatino Linotype"/>
                <w:sz w:val="20"/>
                <w:szCs w:val="20"/>
              </w:rPr>
              <w:t>Renewable Energy and Advanced Generation</w:t>
            </w:r>
          </w:p>
        </w:tc>
        <w:tc>
          <w:tcPr>
            <w:tcW w:w="1170" w:type="dxa"/>
            <w:vAlign w:val="center"/>
          </w:tcPr>
          <w:p w:rsidRPr="00391600" w:rsidR="004A568A" w:rsidP="00970AC4" w:rsidRDefault="004A568A" w14:paraId="1AD5E065" w14:textId="77777777">
            <w:pPr>
              <w:rPr>
                <w:rFonts w:ascii="Palatino Linotype" w:hAnsi="Palatino Linotype"/>
                <w:sz w:val="20"/>
                <w:szCs w:val="20"/>
              </w:rPr>
            </w:pPr>
            <w:r w:rsidRPr="00391600">
              <w:rPr>
                <w:rFonts w:ascii="Palatino Linotype" w:hAnsi="Palatino Linotype"/>
                <w:sz w:val="20"/>
                <w:szCs w:val="20"/>
              </w:rPr>
              <w:t>09/28/2017</w:t>
            </w:r>
          </w:p>
        </w:tc>
        <w:tc>
          <w:tcPr>
            <w:tcW w:w="1530" w:type="dxa"/>
            <w:vAlign w:val="center"/>
          </w:tcPr>
          <w:p w:rsidRPr="00391600" w:rsidR="004A568A" w:rsidP="00970AC4" w:rsidRDefault="004A568A" w14:paraId="1A0E3712" w14:textId="77777777">
            <w:pPr>
              <w:rPr>
                <w:rFonts w:ascii="Palatino Linotype" w:hAnsi="Palatino Linotype"/>
                <w:sz w:val="20"/>
                <w:szCs w:val="20"/>
              </w:rPr>
            </w:pPr>
            <w:r w:rsidRPr="00391600">
              <w:rPr>
                <w:rFonts w:ascii="Palatino Linotype" w:hAnsi="Palatino Linotype"/>
                <w:sz w:val="20"/>
                <w:szCs w:val="20"/>
              </w:rPr>
              <w:t>09/28/2019</w:t>
            </w:r>
          </w:p>
        </w:tc>
        <w:tc>
          <w:tcPr>
            <w:tcW w:w="1380" w:type="dxa"/>
            <w:tcBorders>
              <w:right w:val="single" w:color="auto" w:sz="4" w:space="0"/>
            </w:tcBorders>
            <w:vAlign w:val="center"/>
          </w:tcPr>
          <w:p w:rsidRPr="00391600" w:rsidR="004A568A" w:rsidP="00970AC4" w:rsidRDefault="004A568A" w14:paraId="2E635FBE" w14:textId="77777777">
            <w:pPr>
              <w:rPr>
                <w:rFonts w:ascii="Palatino Linotype" w:hAnsi="Palatino Linotype"/>
                <w:sz w:val="20"/>
                <w:szCs w:val="20"/>
              </w:rPr>
            </w:pPr>
            <w:r w:rsidRPr="00391600">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0179F365" w14:textId="5CFF797D">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355CCA53" w14:textId="45FC2234">
            <w:pPr>
              <w:jc w:val="right"/>
              <w:rPr>
                <w:rFonts w:ascii="Palatino Linotype" w:hAnsi="Palatino Linotype"/>
                <w:sz w:val="20"/>
                <w:szCs w:val="20"/>
              </w:rPr>
            </w:pPr>
            <w:r w:rsidRPr="00391600">
              <w:rPr>
                <w:rFonts w:ascii="Palatino Linotype" w:hAnsi="Palatino Linotype"/>
                <w:sz w:val="20"/>
                <w:szCs w:val="20"/>
              </w:rPr>
              <w:t>305</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6A570C2" w14:textId="78CAB10E">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3CAA4E0" w14:textId="7414DD43">
            <w:pPr>
              <w:jc w:val="right"/>
              <w:rPr>
                <w:rFonts w:ascii="Palatino Linotype" w:hAnsi="Palatino Linotype"/>
                <w:sz w:val="20"/>
                <w:szCs w:val="20"/>
              </w:rPr>
            </w:pPr>
            <w:r w:rsidRPr="00391600">
              <w:rPr>
                <w:rFonts w:ascii="Palatino Linotype" w:hAnsi="Palatino Linotype"/>
                <w:sz w:val="20"/>
                <w:szCs w:val="20"/>
              </w:rPr>
              <w:t>1</w:t>
            </w:r>
          </w:p>
        </w:tc>
      </w:tr>
      <w:tr w:rsidRPr="00391600" w:rsidR="004A568A" w:rsidTr="6FAFEDE3" w14:paraId="1C991252" w14:textId="77777777">
        <w:tc>
          <w:tcPr>
            <w:tcW w:w="1729" w:type="dxa"/>
            <w:vMerge/>
          </w:tcPr>
          <w:p w:rsidRPr="00391600" w:rsidR="004A568A" w:rsidP="004A568A" w:rsidRDefault="004A568A" w14:paraId="0D50D1B2" w14:textId="77777777">
            <w:pPr>
              <w:rPr>
                <w:rFonts w:ascii="Palatino Linotype" w:hAnsi="Palatino Linotype"/>
                <w:sz w:val="20"/>
                <w:szCs w:val="20"/>
              </w:rPr>
            </w:pPr>
          </w:p>
        </w:tc>
        <w:tc>
          <w:tcPr>
            <w:tcW w:w="4176" w:type="dxa"/>
            <w:vAlign w:val="center"/>
          </w:tcPr>
          <w:p w:rsidRPr="00391600" w:rsidR="004A568A" w:rsidP="00970AC4" w:rsidRDefault="004A568A" w14:paraId="7089444C" w14:textId="77777777">
            <w:pPr>
              <w:rPr>
                <w:rFonts w:ascii="Palatino Linotype" w:hAnsi="Palatino Linotype"/>
                <w:sz w:val="20"/>
                <w:szCs w:val="20"/>
              </w:rPr>
            </w:pPr>
            <w:r w:rsidRPr="00391600">
              <w:rPr>
                <w:rFonts w:ascii="Palatino Linotype" w:hAnsi="Palatino Linotype"/>
                <w:sz w:val="20"/>
                <w:szCs w:val="20"/>
              </w:rPr>
              <w:t>Natural Gas-Related Transportation</w:t>
            </w:r>
          </w:p>
        </w:tc>
        <w:tc>
          <w:tcPr>
            <w:tcW w:w="1170" w:type="dxa"/>
            <w:vAlign w:val="center"/>
          </w:tcPr>
          <w:p w:rsidRPr="00391600" w:rsidR="004A568A" w:rsidP="00970AC4" w:rsidRDefault="004A568A" w14:paraId="5D0DFF02" w14:textId="77777777">
            <w:pPr>
              <w:rPr>
                <w:rFonts w:ascii="Palatino Linotype" w:hAnsi="Palatino Linotype"/>
                <w:sz w:val="20"/>
                <w:szCs w:val="20"/>
              </w:rPr>
            </w:pPr>
            <w:r w:rsidRPr="00391600">
              <w:rPr>
                <w:rFonts w:ascii="Palatino Linotype" w:hAnsi="Palatino Linotype"/>
                <w:sz w:val="20"/>
                <w:szCs w:val="20"/>
              </w:rPr>
              <w:t>09/28/2017</w:t>
            </w:r>
          </w:p>
        </w:tc>
        <w:tc>
          <w:tcPr>
            <w:tcW w:w="1530" w:type="dxa"/>
            <w:vAlign w:val="center"/>
          </w:tcPr>
          <w:p w:rsidRPr="00391600" w:rsidR="004A568A" w:rsidP="00970AC4" w:rsidRDefault="004A568A" w14:paraId="7CFCE30A" w14:textId="77777777">
            <w:pPr>
              <w:rPr>
                <w:rFonts w:ascii="Palatino Linotype" w:hAnsi="Palatino Linotype"/>
                <w:sz w:val="20"/>
                <w:szCs w:val="20"/>
              </w:rPr>
            </w:pPr>
            <w:r w:rsidRPr="00391600">
              <w:rPr>
                <w:rFonts w:ascii="Palatino Linotype" w:hAnsi="Palatino Linotype"/>
                <w:sz w:val="20"/>
                <w:szCs w:val="20"/>
              </w:rPr>
              <w:t>09/28/2019</w:t>
            </w:r>
          </w:p>
        </w:tc>
        <w:tc>
          <w:tcPr>
            <w:tcW w:w="1380" w:type="dxa"/>
            <w:tcBorders>
              <w:right w:val="single" w:color="auto" w:sz="4" w:space="0"/>
            </w:tcBorders>
            <w:vAlign w:val="center"/>
          </w:tcPr>
          <w:p w:rsidRPr="00391600" w:rsidR="004A568A" w:rsidP="00970AC4" w:rsidRDefault="004A568A" w14:paraId="0C9EE561" w14:textId="77777777">
            <w:pPr>
              <w:rPr>
                <w:rFonts w:ascii="Palatino Linotype" w:hAnsi="Palatino Linotype"/>
                <w:sz w:val="20"/>
                <w:szCs w:val="20"/>
              </w:rPr>
            </w:pPr>
            <w:r w:rsidRPr="00391600">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09100DF8" w14:textId="4FE4A273">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46D27FB2" w14:textId="0285117A">
            <w:pPr>
              <w:jc w:val="right"/>
              <w:rPr>
                <w:rFonts w:ascii="Palatino Linotype" w:hAnsi="Palatino Linotype"/>
                <w:sz w:val="20"/>
                <w:szCs w:val="20"/>
              </w:rPr>
            </w:pPr>
            <w:r w:rsidRPr="00391600">
              <w:rPr>
                <w:rFonts w:ascii="Palatino Linotype" w:hAnsi="Palatino Linotype"/>
                <w:sz w:val="20"/>
                <w:szCs w:val="20"/>
              </w:rPr>
              <w:t>865,642</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13ECD04" w14:textId="12F76086">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479B81E" w14:textId="5F7953FD">
            <w:pPr>
              <w:jc w:val="right"/>
              <w:rPr>
                <w:rFonts w:ascii="Palatino Linotype" w:hAnsi="Palatino Linotype"/>
                <w:sz w:val="20"/>
                <w:szCs w:val="20"/>
              </w:rPr>
            </w:pPr>
            <w:r w:rsidRPr="00391600">
              <w:rPr>
                <w:rFonts w:ascii="Palatino Linotype" w:hAnsi="Palatino Linotype"/>
                <w:sz w:val="20"/>
                <w:szCs w:val="20"/>
              </w:rPr>
              <w:t>17,821</w:t>
            </w:r>
          </w:p>
        </w:tc>
      </w:tr>
      <w:tr w:rsidRPr="00391600" w:rsidR="004A568A" w:rsidTr="6FAFEDE3" w14:paraId="5CE2715E" w14:textId="77777777">
        <w:tc>
          <w:tcPr>
            <w:tcW w:w="1729" w:type="dxa"/>
            <w:vMerge/>
          </w:tcPr>
          <w:p w:rsidRPr="00391600" w:rsidR="004A568A" w:rsidP="004A568A" w:rsidRDefault="004A568A" w14:paraId="376088D7" w14:textId="77777777">
            <w:pPr>
              <w:rPr>
                <w:rFonts w:ascii="Palatino Linotype" w:hAnsi="Palatino Linotype"/>
                <w:sz w:val="20"/>
                <w:szCs w:val="20"/>
              </w:rPr>
            </w:pPr>
          </w:p>
        </w:tc>
        <w:tc>
          <w:tcPr>
            <w:tcW w:w="4176" w:type="dxa"/>
            <w:vAlign w:val="center"/>
          </w:tcPr>
          <w:p w:rsidRPr="00391600" w:rsidR="004A568A" w:rsidP="00970AC4" w:rsidRDefault="004A568A" w14:paraId="0D6E6AAA"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5FFEA4F7" w14:textId="77777777">
            <w:pPr>
              <w:rPr>
                <w:rFonts w:ascii="Palatino Linotype" w:hAnsi="Palatino Linotype"/>
                <w:sz w:val="20"/>
                <w:szCs w:val="20"/>
              </w:rPr>
            </w:pPr>
            <w:r w:rsidRPr="00391600">
              <w:rPr>
                <w:rFonts w:ascii="Palatino Linotype" w:hAnsi="Palatino Linotype"/>
                <w:sz w:val="20"/>
                <w:szCs w:val="20"/>
              </w:rPr>
              <w:t>09/28/2017</w:t>
            </w:r>
          </w:p>
        </w:tc>
        <w:tc>
          <w:tcPr>
            <w:tcW w:w="1530" w:type="dxa"/>
            <w:vAlign w:val="center"/>
          </w:tcPr>
          <w:p w:rsidRPr="00391600" w:rsidR="004A568A" w:rsidP="00970AC4" w:rsidRDefault="004A568A" w14:paraId="470B9430" w14:textId="77777777">
            <w:pPr>
              <w:rPr>
                <w:rFonts w:ascii="Palatino Linotype" w:hAnsi="Palatino Linotype"/>
                <w:sz w:val="20"/>
                <w:szCs w:val="20"/>
              </w:rPr>
            </w:pPr>
            <w:r w:rsidRPr="00391600">
              <w:rPr>
                <w:rFonts w:ascii="Palatino Linotype" w:hAnsi="Palatino Linotype"/>
                <w:sz w:val="20"/>
                <w:szCs w:val="20"/>
              </w:rPr>
              <w:t>09/28/2019</w:t>
            </w:r>
          </w:p>
        </w:tc>
        <w:tc>
          <w:tcPr>
            <w:tcW w:w="1380" w:type="dxa"/>
            <w:tcBorders>
              <w:right w:val="single" w:color="auto" w:sz="4" w:space="0"/>
            </w:tcBorders>
            <w:vAlign w:val="center"/>
          </w:tcPr>
          <w:p w:rsidRPr="00391600" w:rsidR="004A568A" w:rsidP="00970AC4" w:rsidRDefault="004A568A" w14:paraId="2240C3F7" w14:textId="77777777">
            <w:pPr>
              <w:rPr>
                <w:rFonts w:ascii="Palatino Linotype" w:hAnsi="Palatino Linotype"/>
                <w:sz w:val="20"/>
                <w:szCs w:val="20"/>
              </w:rPr>
            </w:pPr>
            <w:r w:rsidRPr="00391600">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1AE0F128" w14:textId="0A49B00E">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9AA9BFF" w14:textId="1BE6DBA5">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2194F0B" w14:textId="373EA0AA">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12F4122" w14:textId="4C980C77">
            <w:pPr>
              <w:jc w:val="right"/>
              <w:rPr>
                <w:rFonts w:ascii="Palatino Linotype" w:hAnsi="Palatino Linotype"/>
                <w:sz w:val="20"/>
                <w:szCs w:val="20"/>
              </w:rPr>
            </w:pPr>
            <w:r w:rsidRPr="00391600">
              <w:rPr>
                <w:rFonts w:ascii="Palatino Linotype" w:hAnsi="Palatino Linotype"/>
                <w:sz w:val="20"/>
                <w:szCs w:val="20"/>
              </w:rPr>
              <w:t>36,143</w:t>
            </w:r>
          </w:p>
        </w:tc>
      </w:tr>
      <w:tr w:rsidRPr="00391600" w:rsidR="004A568A" w:rsidTr="6FAFEDE3" w14:paraId="205A29B0" w14:textId="77777777">
        <w:tc>
          <w:tcPr>
            <w:tcW w:w="1729" w:type="dxa"/>
            <w:vMerge/>
          </w:tcPr>
          <w:p w:rsidRPr="00391600" w:rsidR="004A568A" w:rsidP="004A568A" w:rsidRDefault="004A568A" w14:paraId="76240FF1" w14:textId="77777777">
            <w:pPr>
              <w:rPr>
                <w:rFonts w:ascii="Palatino Linotype" w:hAnsi="Palatino Linotype"/>
                <w:sz w:val="20"/>
                <w:szCs w:val="20"/>
              </w:rPr>
            </w:pPr>
          </w:p>
        </w:tc>
        <w:tc>
          <w:tcPr>
            <w:tcW w:w="4176" w:type="dxa"/>
            <w:vAlign w:val="center"/>
          </w:tcPr>
          <w:p w:rsidRPr="00391600" w:rsidR="004A568A" w:rsidP="00970AC4" w:rsidRDefault="004A568A" w14:paraId="608486DC" w14:textId="77777777">
            <w:pPr>
              <w:rPr>
                <w:rFonts w:ascii="Palatino Linotype" w:hAnsi="Palatino Linotype"/>
                <w:sz w:val="20"/>
                <w:szCs w:val="20"/>
              </w:rPr>
            </w:pPr>
            <w:r w:rsidRPr="00391600">
              <w:rPr>
                <w:rFonts w:ascii="Palatino Linotype" w:hAnsi="Palatino Linotype"/>
                <w:sz w:val="20"/>
                <w:szCs w:val="20"/>
              </w:rPr>
              <w:t>Natural Gas Infrastructure Safety and Integrity</w:t>
            </w:r>
          </w:p>
        </w:tc>
        <w:tc>
          <w:tcPr>
            <w:tcW w:w="1170" w:type="dxa"/>
            <w:vAlign w:val="center"/>
          </w:tcPr>
          <w:p w:rsidRPr="00391600" w:rsidR="004A568A" w:rsidP="00970AC4" w:rsidRDefault="004A568A" w14:paraId="57369EEE" w14:textId="77777777">
            <w:pPr>
              <w:rPr>
                <w:rFonts w:ascii="Palatino Linotype" w:hAnsi="Palatino Linotype"/>
                <w:sz w:val="20"/>
                <w:szCs w:val="20"/>
              </w:rPr>
            </w:pPr>
            <w:r w:rsidRPr="00391600">
              <w:rPr>
                <w:rFonts w:ascii="Palatino Linotype" w:hAnsi="Palatino Linotype"/>
                <w:sz w:val="20"/>
                <w:szCs w:val="20"/>
              </w:rPr>
              <w:t>09/28/2017</w:t>
            </w:r>
          </w:p>
        </w:tc>
        <w:tc>
          <w:tcPr>
            <w:tcW w:w="1530" w:type="dxa"/>
            <w:vAlign w:val="center"/>
          </w:tcPr>
          <w:p w:rsidRPr="00391600" w:rsidR="004A568A" w:rsidP="00970AC4" w:rsidRDefault="004A568A" w14:paraId="657BF7B6" w14:textId="77777777">
            <w:pPr>
              <w:rPr>
                <w:rFonts w:ascii="Palatino Linotype" w:hAnsi="Palatino Linotype"/>
                <w:sz w:val="20"/>
                <w:szCs w:val="20"/>
              </w:rPr>
            </w:pPr>
            <w:r w:rsidRPr="00391600">
              <w:rPr>
                <w:rFonts w:ascii="Palatino Linotype" w:hAnsi="Palatino Linotype"/>
                <w:sz w:val="20"/>
                <w:szCs w:val="20"/>
              </w:rPr>
              <w:t>09/28/2019</w:t>
            </w:r>
          </w:p>
        </w:tc>
        <w:tc>
          <w:tcPr>
            <w:tcW w:w="1380" w:type="dxa"/>
            <w:tcBorders>
              <w:right w:val="single" w:color="auto" w:sz="4" w:space="0"/>
            </w:tcBorders>
            <w:vAlign w:val="center"/>
          </w:tcPr>
          <w:p w:rsidRPr="00391600" w:rsidR="004A568A" w:rsidP="00970AC4" w:rsidRDefault="004A568A" w14:paraId="5FDAE67E" w14:textId="77777777">
            <w:pPr>
              <w:rPr>
                <w:rFonts w:ascii="Palatino Linotype" w:hAnsi="Palatino Linotype"/>
                <w:sz w:val="20"/>
                <w:szCs w:val="20"/>
              </w:rPr>
            </w:pPr>
            <w:r w:rsidRPr="00391600">
              <w:rPr>
                <w:rFonts w:ascii="Palatino Linotype" w:hAnsi="Palatino Linotype"/>
                <w:sz w:val="20"/>
                <w:szCs w:val="20"/>
              </w:rPr>
              <w:t>09/28/2023</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788CD876" w14:textId="47F3B0D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6BC966C2" w14:textId="2243BE43">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06B6BA0" w14:textId="78A66522">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28780B67" w14:textId="00231F3B">
            <w:pPr>
              <w:jc w:val="right"/>
              <w:rPr>
                <w:rFonts w:ascii="Palatino Linotype" w:hAnsi="Palatino Linotype"/>
                <w:sz w:val="20"/>
                <w:szCs w:val="20"/>
              </w:rPr>
            </w:pPr>
            <w:r w:rsidRPr="00391600">
              <w:rPr>
                <w:rFonts w:ascii="Palatino Linotype" w:hAnsi="Palatino Linotype"/>
                <w:sz w:val="20"/>
                <w:szCs w:val="20"/>
              </w:rPr>
              <w:t>177,764</w:t>
            </w:r>
          </w:p>
        </w:tc>
      </w:tr>
      <w:tr w:rsidRPr="00391600" w:rsidR="004A568A" w:rsidTr="6FAFEDE3" w14:paraId="3CADA86B" w14:textId="77777777">
        <w:tc>
          <w:tcPr>
            <w:tcW w:w="1729" w:type="dxa"/>
            <w:vMerge w:val="restart"/>
          </w:tcPr>
          <w:p w:rsidRPr="00391600" w:rsidR="004A568A" w:rsidP="004A568A" w:rsidRDefault="004A568A" w14:paraId="3DFE126A" w14:textId="77777777">
            <w:pPr>
              <w:rPr>
                <w:rFonts w:ascii="Palatino Linotype" w:hAnsi="Palatino Linotype"/>
                <w:sz w:val="20"/>
                <w:szCs w:val="20"/>
              </w:rPr>
            </w:pPr>
            <w:r w:rsidRPr="00391600">
              <w:rPr>
                <w:rFonts w:ascii="Palatino Linotype" w:hAnsi="Palatino Linotype"/>
                <w:sz w:val="20"/>
                <w:szCs w:val="20"/>
              </w:rPr>
              <w:t>FY 2018-2019</w:t>
            </w:r>
          </w:p>
        </w:tc>
        <w:tc>
          <w:tcPr>
            <w:tcW w:w="4176" w:type="dxa"/>
            <w:vAlign w:val="center"/>
          </w:tcPr>
          <w:p w:rsidRPr="00391600" w:rsidR="004A568A" w:rsidP="00970AC4" w:rsidRDefault="004A568A" w14:paraId="57153F4D" w14:textId="77777777">
            <w:pPr>
              <w:rPr>
                <w:rFonts w:ascii="Palatino Linotype" w:hAnsi="Palatino Linotype"/>
                <w:sz w:val="20"/>
                <w:szCs w:val="20"/>
              </w:rPr>
            </w:pPr>
            <w:r w:rsidRPr="00391600">
              <w:rPr>
                <w:rFonts w:ascii="Palatino Linotype" w:hAnsi="Palatino Linotype"/>
                <w:sz w:val="20"/>
                <w:szCs w:val="20"/>
              </w:rPr>
              <w:t>Energy Efficiency</w:t>
            </w:r>
          </w:p>
        </w:tc>
        <w:tc>
          <w:tcPr>
            <w:tcW w:w="1170" w:type="dxa"/>
            <w:vAlign w:val="center"/>
          </w:tcPr>
          <w:p w:rsidRPr="00391600" w:rsidR="004A568A" w:rsidP="00970AC4" w:rsidRDefault="004A568A" w14:paraId="652A6229" w14:textId="77777777">
            <w:pPr>
              <w:rPr>
                <w:rFonts w:ascii="Palatino Linotype" w:hAnsi="Palatino Linotype"/>
                <w:sz w:val="20"/>
                <w:szCs w:val="20"/>
              </w:rPr>
            </w:pPr>
            <w:r w:rsidRPr="00391600">
              <w:rPr>
                <w:rFonts w:ascii="Palatino Linotype" w:hAnsi="Palatino Linotype"/>
                <w:sz w:val="20"/>
                <w:szCs w:val="20"/>
              </w:rPr>
              <w:t>01/31/2019</w:t>
            </w:r>
          </w:p>
        </w:tc>
        <w:tc>
          <w:tcPr>
            <w:tcW w:w="1530" w:type="dxa"/>
            <w:vAlign w:val="center"/>
          </w:tcPr>
          <w:p w:rsidRPr="00391600" w:rsidR="004A568A" w:rsidP="00970AC4" w:rsidRDefault="004A568A" w14:paraId="26049C08" w14:textId="77777777">
            <w:pPr>
              <w:rPr>
                <w:rFonts w:ascii="Palatino Linotype" w:hAnsi="Palatino Linotype"/>
                <w:sz w:val="20"/>
                <w:szCs w:val="20"/>
              </w:rPr>
            </w:pPr>
            <w:r w:rsidRPr="00391600">
              <w:rPr>
                <w:rFonts w:ascii="Palatino Linotype" w:hAnsi="Palatino Linotype"/>
                <w:sz w:val="20"/>
                <w:szCs w:val="20"/>
              </w:rPr>
              <w:t>01/31/2021</w:t>
            </w:r>
          </w:p>
        </w:tc>
        <w:tc>
          <w:tcPr>
            <w:tcW w:w="1380" w:type="dxa"/>
            <w:tcBorders>
              <w:right w:val="single" w:color="auto" w:sz="4" w:space="0"/>
            </w:tcBorders>
            <w:vAlign w:val="center"/>
          </w:tcPr>
          <w:p w:rsidRPr="00391600" w:rsidR="004A568A" w:rsidP="00970AC4" w:rsidRDefault="004A568A" w14:paraId="19E2B048" w14:textId="77777777">
            <w:pPr>
              <w:rPr>
                <w:rFonts w:ascii="Palatino Linotype" w:hAnsi="Palatino Linotype"/>
                <w:sz w:val="20"/>
                <w:szCs w:val="20"/>
              </w:rPr>
            </w:pPr>
            <w:r w:rsidRPr="00391600">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49C40AE1" w14:textId="6AD54628">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89177AD" w14:textId="64B8D802">
            <w:pPr>
              <w:jc w:val="right"/>
              <w:rPr>
                <w:rFonts w:ascii="Palatino Linotype" w:hAnsi="Palatino Linotype"/>
                <w:sz w:val="20"/>
                <w:szCs w:val="20"/>
              </w:rPr>
            </w:pPr>
            <w:r w:rsidRPr="00391600">
              <w:rPr>
                <w:rFonts w:ascii="Palatino Linotype" w:hAnsi="Palatino Linotype"/>
                <w:sz w:val="20"/>
                <w:szCs w:val="20"/>
              </w:rPr>
              <w:t>880,430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23596A4C" w14:textId="2282BF3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FA8E031" w14:textId="5E71C06C">
            <w:pPr>
              <w:jc w:val="right"/>
              <w:rPr>
                <w:rFonts w:ascii="Palatino Linotype" w:hAnsi="Palatino Linotype"/>
                <w:sz w:val="20"/>
                <w:szCs w:val="20"/>
              </w:rPr>
            </w:pPr>
            <w:r w:rsidRPr="00391600">
              <w:rPr>
                <w:rFonts w:ascii="Palatino Linotype" w:hAnsi="Palatino Linotype"/>
                <w:sz w:val="20"/>
                <w:szCs w:val="20"/>
              </w:rPr>
              <w:t>1,283,863</w:t>
            </w:r>
          </w:p>
        </w:tc>
      </w:tr>
      <w:tr w:rsidRPr="00391600" w:rsidR="004A568A" w:rsidTr="6FAFEDE3" w14:paraId="58EA8914" w14:textId="77777777">
        <w:tc>
          <w:tcPr>
            <w:tcW w:w="1729" w:type="dxa"/>
            <w:vMerge/>
          </w:tcPr>
          <w:p w:rsidRPr="00391600" w:rsidR="004A568A" w:rsidP="004A568A" w:rsidRDefault="004A568A" w14:paraId="6D22EB02" w14:textId="77777777">
            <w:pPr>
              <w:rPr>
                <w:rFonts w:ascii="Palatino Linotype" w:hAnsi="Palatino Linotype"/>
                <w:sz w:val="20"/>
                <w:szCs w:val="20"/>
              </w:rPr>
            </w:pPr>
          </w:p>
        </w:tc>
        <w:tc>
          <w:tcPr>
            <w:tcW w:w="4176" w:type="dxa"/>
            <w:vAlign w:val="center"/>
          </w:tcPr>
          <w:p w:rsidRPr="00391600" w:rsidR="004A568A" w:rsidP="00970AC4" w:rsidRDefault="004A568A" w14:paraId="6F9E9945"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326ADB7C" w14:textId="77777777">
            <w:pPr>
              <w:rPr>
                <w:rFonts w:ascii="Palatino Linotype" w:hAnsi="Palatino Linotype"/>
                <w:sz w:val="20"/>
                <w:szCs w:val="20"/>
              </w:rPr>
            </w:pPr>
            <w:r w:rsidRPr="00391600">
              <w:rPr>
                <w:rFonts w:ascii="Palatino Linotype" w:hAnsi="Palatino Linotype"/>
                <w:sz w:val="20"/>
                <w:szCs w:val="20"/>
              </w:rPr>
              <w:t>01/31/2019</w:t>
            </w:r>
          </w:p>
        </w:tc>
        <w:tc>
          <w:tcPr>
            <w:tcW w:w="1530" w:type="dxa"/>
            <w:vAlign w:val="center"/>
          </w:tcPr>
          <w:p w:rsidRPr="00391600" w:rsidR="004A568A" w:rsidP="00970AC4" w:rsidRDefault="004A568A" w14:paraId="487301C8" w14:textId="77777777">
            <w:pPr>
              <w:rPr>
                <w:rFonts w:ascii="Palatino Linotype" w:hAnsi="Palatino Linotype"/>
                <w:sz w:val="20"/>
                <w:szCs w:val="20"/>
              </w:rPr>
            </w:pPr>
            <w:r w:rsidRPr="00391600">
              <w:rPr>
                <w:rFonts w:ascii="Palatino Linotype" w:hAnsi="Palatino Linotype"/>
                <w:sz w:val="20"/>
                <w:szCs w:val="20"/>
              </w:rPr>
              <w:t>01/31/2021</w:t>
            </w:r>
          </w:p>
        </w:tc>
        <w:tc>
          <w:tcPr>
            <w:tcW w:w="1380" w:type="dxa"/>
            <w:tcBorders>
              <w:right w:val="single" w:color="auto" w:sz="4" w:space="0"/>
            </w:tcBorders>
            <w:vAlign w:val="center"/>
          </w:tcPr>
          <w:p w:rsidRPr="00391600" w:rsidR="004A568A" w:rsidP="00970AC4" w:rsidRDefault="004A568A" w14:paraId="7F183869" w14:textId="77777777">
            <w:pPr>
              <w:rPr>
                <w:rFonts w:ascii="Palatino Linotype" w:hAnsi="Palatino Linotype"/>
                <w:sz w:val="20"/>
                <w:szCs w:val="20"/>
              </w:rPr>
            </w:pPr>
            <w:r w:rsidRPr="00391600">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E3F1C09" w14:textId="12F162F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5F38FD6B" w14:textId="63F90EC7">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06BB2D3" w14:textId="0CEE702F">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285ED3A7" w14:textId="4CEFCC99">
            <w:pPr>
              <w:jc w:val="right"/>
              <w:rPr>
                <w:rFonts w:ascii="Palatino Linotype" w:hAnsi="Palatino Linotype"/>
                <w:sz w:val="20"/>
                <w:szCs w:val="20"/>
              </w:rPr>
            </w:pPr>
            <w:r w:rsidRPr="00391600">
              <w:rPr>
                <w:rFonts w:ascii="Palatino Linotype" w:hAnsi="Palatino Linotype"/>
                <w:sz w:val="20"/>
                <w:szCs w:val="20"/>
              </w:rPr>
              <w:t>996,269</w:t>
            </w:r>
          </w:p>
        </w:tc>
      </w:tr>
      <w:tr w:rsidRPr="00391600" w:rsidR="004A568A" w:rsidTr="6FAFEDE3" w14:paraId="1E0EEA56" w14:textId="77777777">
        <w:tc>
          <w:tcPr>
            <w:tcW w:w="1729" w:type="dxa"/>
            <w:vMerge/>
          </w:tcPr>
          <w:p w:rsidRPr="00391600" w:rsidR="004A568A" w:rsidP="004A568A" w:rsidRDefault="004A568A" w14:paraId="3899B52F" w14:textId="77777777">
            <w:pPr>
              <w:rPr>
                <w:rFonts w:ascii="Palatino Linotype" w:hAnsi="Palatino Linotype"/>
                <w:sz w:val="20"/>
                <w:szCs w:val="20"/>
              </w:rPr>
            </w:pPr>
          </w:p>
        </w:tc>
        <w:tc>
          <w:tcPr>
            <w:tcW w:w="4176" w:type="dxa"/>
            <w:vAlign w:val="center"/>
          </w:tcPr>
          <w:p w:rsidRPr="00391600" w:rsidR="004A568A" w:rsidP="00970AC4" w:rsidRDefault="004A568A" w14:paraId="7BC89BA5" w14:textId="77777777">
            <w:pPr>
              <w:rPr>
                <w:rFonts w:ascii="Palatino Linotype" w:hAnsi="Palatino Linotype"/>
                <w:sz w:val="20"/>
                <w:szCs w:val="20"/>
              </w:rPr>
            </w:pPr>
            <w:r w:rsidRPr="00391600">
              <w:rPr>
                <w:rFonts w:ascii="Palatino Linotype" w:hAnsi="Palatino Linotype"/>
                <w:sz w:val="20"/>
                <w:szCs w:val="20"/>
              </w:rPr>
              <w:t>Natural Gas Infrastructure Safety and Integrity</w:t>
            </w:r>
          </w:p>
        </w:tc>
        <w:tc>
          <w:tcPr>
            <w:tcW w:w="1170" w:type="dxa"/>
            <w:vAlign w:val="center"/>
          </w:tcPr>
          <w:p w:rsidRPr="00391600" w:rsidR="004A568A" w:rsidP="00970AC4" w:rsidRDefault="004A568A" w14:paraId="5A080565" w14:textId="77777777">
            <w:pPr>
              <w:rPr>
                <w:rFonts w:ascii="Palatino Linotype" w:hAnsi="Palatino Linotype"/>
                <w:sz w:val="20"/>
                <w:szCs w:val="20"/>
              </w:rPr>
            </w:pPr>
            <w:r w:rsidRPr="00391600">
              <w:rPr>
                <w:rFonts w:ascii="Palatino Linotype" w:hAnsi="Palatino Linotype"/>
                <w:sz w:val="20"/>
                <w:szCs w:val="20"/>
              </w:rPr>
              <w:t>01/31/2019</w:t>
            </w:r>
          </w:p>
        </w:tc>
        <w:tc>
          <w:tcPr>
            <w:tcW w:w="1530" w:type="dxa"/>
            <w:vAlign w:val="center"/>
          </w:tcPr>
          <w:p w:rsidRPr="00391600" w:rsidR="004A568A" w:rsidP="00970AC4" w:rsidRDefault="004A568A" w14:paraId="00C3E8A9" w14:textId="77777777">
            <w:pPr>
              <w:rPr>
                <w:rFonts w:ascii="Palatino Linotype" w:hAnsi="Palatino Linotype"/>
                <w:sz w:val="20"/>
                <w:szCs w:val="20"/>
              </w:rPr>
            </w:pPr>
            <w:r w:rsidRPr="00391600">
              <w:rPr>
                <w:rFonts w:ascii="Palatino Linotype" w:hAnsi="Palatino Linotype"/>
                <w:sz w:val="20"/>
                <w:szCs w:val="20"/>
              </w:rPr>
              <w:t>01/31/2021</w:t>
            </w:r>
          </w:p>
        </w:tc>
        <w:tc>
          <w:tcPr>
            <w:tcW w:w="1380" w:type="dxa"/>
            <w:tcBorders>
              <w:right w:val="single" w:color="auto" w:sz="4" w:space="0"/>
            </w:tcBorders>
            <w:vAlign w:val="center"/>
          </w:tcPr>
          <w:p w:rsidRPr="00391600" w:rsidR="004A568A" w:rsidP="00970AC4" w:rsidRDefault="004A568A" w14:paraId="76C13D42" w14:textId="77777777">
            <w:pPr>
              <w:rPr>
                <w:rFonts w:ascii="Palatino Linotype" w:hAnsi="Palatino Linotype"/>
                <w:sz w:val="20"/>
                <w:szCs w:val="20"/>
              </w:rPr>
            </w:pPr>
            <w:r w:rsidRPr="00391600">
              <w:rPr>
                <w:rFonts w:ascii="Palatino Linotype" w:hAnsi="Palatino Linotype"/>
                <w:sz w:val="20"/>
                <w:szCs w:val="20"/>
              </w:rPr>
              <w:t>01/31/2025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47690B5E" w14:textId="516F8ADB">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6E581113" w14:textId="7C3A4F17">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2BE0D582" w14:textId="32526E54">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393F446" w14:textId="2688D7E2">
            <w:pPr>
              <w:jc w:val="right"/>
              <w:rPr>
                <w:rFonts w:ascii="Palatino Linotype" w:hAnsi="Palatino Linotype"/>
                <w:sz w:val="20"/>
                <w:szCs w:val="20"/>
              </w:rPr>
            </w:pPr>
            <w:r w:rsidRPr="00391600">
              <w:rPr>
                <w:rFonts w:ascii="Palatino Linotype" w:hAnsi="Palatino Linotype"/>
                <w:sz w:val="20"/>
                <w:szCs w:val="20"/>
              </w:rPr>
              <w:t>30,353</w:t>
            </w:r>
          </w:p>
        </w:tc>
      </w:tr>
      <w:tr w:rsidRPr="00391600" w:rsidR="004A568A" w:rsidTr="6FAFEDE3" w14:paraId="3AB4D340" w14:textId="77777777">
        <w:tc>
          <w:tcPr>
            <w:tcW w:w="1729" w:type="dxa"/>
            <w:vMerge w:val="restart"/>
          </w:tcPr>
          <w:p w:rsidRPr="00391600" w:rsidR="004A568A" w:rsidP="004A568A" w:rsidRDefault="004A568A" w14:paraId="3D40B4F7" w14:textId="77777777">
            <w:pPr>
              <w:rPr>
                <w:rFonts w:ascii="Palatino Linotype" w:hAnsi="Palatino Linotype"/>
                <w:sz w:val="20"/>
                <w:szCs w:val="20"/>
              </w:rPr>
            </w:pPr>
            <w:r w:rsidRPr="00391600">
              <w:rPr>
                <w:rFonts w:ascii="Palatino Linotype" w:hAnsi="Palatino Linotype"/>
                <w:sz w:val="20"/>
                <w:szCs w:val="20"/>
              </w:rPr>
              <w:t>FY 2019-2020</w:t>
            </w:r>
          </w:p>
        </w:tc>
        <w:tc>
          <w:tcPr>
            <w:tcW w:w="4176" w:type="dxa"/>
            <w:vAlign w:val="center"/>
          </w:tcPr>
          <w:p w:rsidRPr="00391600" w:rsidR="004A568A" w:rsidP="00970AC4" w:rsidRDefault="004A568A" w14:paraId="766B4BC2" w14:textId="77777777">
            <w:pPr>
              <w:rPr>
                <w:rFonts w:ascii="Palatino Linotype" w:hAnsi="Palatino Linotype"/>
                <w:sz w:val="20"/>
                <w:szCs w:val="20"/>
              </w:rPr>
            </w:pPr>
            <w:r w:rsidRPr="00391600">
              <w:rPr>
                <w:rFonts w:ascii="Palatino Linotype" w:hAnsi="Palatino Linotype"/>
                <w:sz w:val="20"/>
                <w:szCs w:val="20"/>
              </w:rPr>
              <w:t>Energy Efficiency</w:t>
            </w:r>
          </w:p>
        </w:tc>
        <w:tc>
          <w:tcPr>
            <w:tcW w:w="1170" w:type="dxa"/>
            <w:vAlign w:val="center"/>
          </w:tcPr>
          <w:p w:rsidRPr="00391600" w:rsidR="004A568A" w:rsidP="00970AC4" w:rsidRDefault="004A568A" w14:paraId="0D463E20"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5ACA13C9"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1565EEC6"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23E10AC" w14:textId="3F2ED291">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285D2DD" w14:textId="73BEDD3C">
            <w:pPr>
              <w:jc w:val="right"/>
              <w:rPr>
                <w:rFonts w:ascii="Palatino Linotype" w:hAnsi="Palatino Linotype"/>
                <w:sz w:val="20"/>
                <w:szCs w:val="20"/>
              </w:rPr>
            </w:pPr>
            <w:r w:rsidRPr="00391600">
              <w:rPr>
                <w:rFonts w:ascii="Palatino Linotype" w:hAnsi="Palatino Linotype"/>
                <w:sz w:val="20"/>
                <w:szCs w:val="20"/>
              </w:rPr>
              <w:t>5,992,293</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757A59C8" w14:textId="1F5F4949">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2F70CD9" w14:textId="6ACECBD2">
            <w:pPr>
              <w:jc w:val="right"/>
              <w:rPr>
                <w:rFonts w:ascii="Palatino Linotype" w:hAnsi="Palatino Linotype"/>
                <w:sz w:val="20"/>
                <w:szCs w:val="20"/>
              </w:rPr>
            </w:pPr>
            <w:r w:rsidRPr="00391600">
              <w:rPr>
                <w:rFonts w:ascii="Palatino Linotype" w:hAnsi="Palatino Linotype"/>
                <w:sz w:val="20"/>
                <w:szCs w:val="20"/>
              </w:rPr>
              <w:t>708,478</w:t>
            </w:r>
          </w:p>
        </w:tc>
      </w:tr>
      <w:tr w:rsidRPr="00391600" w:rsidR="004A568A" w:rsidTr="6FAFEDE3" w14:paraId="4F468FF9" w14:textId="77777777">
        <w:tc>
          <w:tcPr>
            <w:tcW w:w="1729" w:type="dxa"/>
            <w:vMerge/>
          </w:tcPr>
          <w:p w:rsidRPr="00391600" w:rsidR="004A568A" w:rsidP="004A568A" w:rsidRDefault="004A568A" w14:paraId="461916BE" w14:textId="77777777">
            <w:pPr>
              <w:rPr>
                <w:rFonts w:ascii="Palatino Linotype" w:hAnsi="Palatino Linotype"/>
                <w:sz w:val="20"/>
                <w:szCs w:val="20"/>
              </w:rPr>
            </w:pPr>
          </w:p>
        </w:tc>
        <w:tc>
          <w:tcPr>
            <w:tcW w:w="4176" w:type="dxa"/>
            <w:vAlign w:val="center"/>
          </w:tcPr>
          <w:p w:rsidRPr="00391600" w:rsidR="004A568A" w:rsidP="00970AC4" w:rsidRDefault="004A568A" w14:paraId="4B8A3E5B" w14:textId="77777777">
            <w:pPr>
              <w:rPr>
                <w:rFonts w:ascii="Palatino Linotype" w:hAnsi="Palatino Linotype"/>
                <w:sz w:val="20"/>
                <w:szCs w:val="20"/>
              </w:rPr>
            </w:pPr>
            <w:r w:rsidRPr="00391600">
              <w:rPr>
                <w:rFonts w:ascii="Palatino Linotype" w:hAnsi="Palatino Linotype"/>
                <w:sz w:val="20"/>
                <w:szCs w:val="20"/>
              </w:rPr>
              <w:t>Renewable Energy and Advanced Generation</w:t>
            </w:r>
          </w:p>
        </w:tc>
        <w:tc>
          <w:tcPr>
            <w:tcW w:w="1170" w:type="dxa"/>
            <w:vAlign w:val="center"/>
          </w:tcPr>
          <w:p w:rsidRPr="00391600" w:rsidR="004A568A" w:rsidP="00970AC4" w:rsidRDefault="004A568A" w14:paraId="1186FFE7"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03140867"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329315D6"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3D7C915A" w14:textId="0250EAC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4FB971FC" w14:textId="6C7F8930">
            <w:pPr>
              <w:jc w:val="right"/>
              <w:rPr>
                <w:rFonts w:ascii="Palatino Linotype" w:hAnsi="Palatino Linotype"/>
                <w:sz w:val="20"/>
                <w:szCs w:val="20"/>
              </w:rPr>
            </w:pPr>
            <w:r w:rsidRPr="00391600">
              <w:rPr>
                <w:rFonts w:ascii="Palatino Linotype" w:hAnsi="Palatino Linotype"/>
                <w:sz w:val="20"/>
                <w:szCs w:val="20"/>
              </w:rPr>
              <w:t>485,418</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61FE304C" w14:textId="258B34E9">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856A6B8" w14:textId="1A6E2583">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5D4ADA75" w14:textId="77777777">
        <w:tc>
          <w:tcPr>
            <w:tcW w:w="1729" w:type="dxa"/>
            <w:vMerge/>
          </w:tcPr>
          <w:p w:rsidRPr="00391600" w:rsidR="004A568A" w:rsidP="004A568A" w:rsidRDefault="004A568A" w14:paraId="610E26F6" w14:textId="77777777">
            <w:pPr>
              <w:rPr>
                <w:rFonts w:ascii="Palatino Linotype" w:hAnsi="Palatino Linotype"/>
                <w:sz w:val="20"/>
                <w:szCs w:val="20"/>
              </w:rPr>
            </w:pPr>
          </w:p>
        </w:tc>
        <w:tc>
          <w:tcPr>
            <w:tcW w:w="4176" w:type="dxa"/>
            <w:vAlign w:val="center"/>
          </w:tcPr>
          <w:p w:rsidRPr="00391600" w:rsidR="004A568A" w:rsidP="00970AC4" w:rsidRDefault="004A568A" w14:paraId="76F98D98" w14:textId="77777777">
            <w:pPr>
              <w:rPr>
                <w:rFonts w:ascii="Palatino Linotype" w:hAnsi="Palatino Linotype"/>
                <w:sz w:val="20"/>
                <w:szCs w:val="20"/>
              </w:rPr>
            </w:pPr>
            <w:r w:rsidRPr="00391600">
              <w:rPr>
                <w:rFonts w:ascii="Palatino Linotype" w:hAnsi="Palatino Linotype"/>
                <w:sz w:val="20"/>
                <w:szCs w:val="20"/>
              </w:rPr>
              <w:t xml:space="preserve">Natural Gas-Related Transportation </w:t>
            </w:r>
          </w:p>
        </w:tc>
        <w:tc>
          <w:tcPr>
            <w:tcW w:w="1170" w:type="dxa"/>
            <w:vAlign w:val="center"/>
          </w:tcPr>
          <w:p w:rsidRPr="00391600" w:rsidR="004A568A" w:rsidP="00970AC4" w:rsidRDefault="004A568A" w14:paraId="5EBA0571"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216F9865"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51361416"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E9CCEC0" w14:textId="754CAA6A">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2AD6F14" w14:textId="3A2304E5">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34D76754" w14:textId="68799BBE">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728B18FF" w14:textId="0EA1CD90">
            <w:pPr>
              <w:jc w:val="right"/>
              <w:rPr>
                <w:rFonts w:ascii="Palatino Linotype" w:hAnsi="Palatino Linotype"/>
                <w:sz w:val="20"/>
                <w:szCs w:val="20"/>
              </w:rPr>
            </w:pPr>
            <w:r w:rsidRPr="00391600">
              <w:rPr>
                <w:rFonts w:ascii="Palatino Linotype" w:hAnsi="Palatino Linotype"/>
                <w:sz w:val="20"/>
                <w:szCs w:val="20"/>
              </w:rPr>
              <w:t>1,476,466</w:t>
            </w:r>
          </w:p>
        </w:tc>
      </w:tr>
      <w:tr w:rsidRPr="00391600" w:rsidR="004A568A" w:rsidTr="6FAFEDE3" w14:paraId="4DCAE58D" w14:textId="77777777">
        <w:tc>
          <w:tcPr>
            <w:tcW w:w="1729" w:type="dxa"/>
            <w:vMerge/>
          </w:tcPr>
          <w:p w:rsidRPr="00391600" w:rsidR="004A568A" w:rsidP="004A568A" w:rsidRDefault="004A568A" w14:paraId="1BABA308" w14:textId="77777777">
            <w:pPr>
              <w:rPr>
                <w:rFonts w:ascii="Palatino Linotype" w:hAnsi="Palatino Linotype"/>
                <w:sz w:val="20"/>
                <w:szCs w:val="20"/>
              </w:rPr>
            </w:pPr>
          </w:p>
        </w:tc>
        <w:tc>
          <w:tcPr>
            <w:tcW w:w="4176" w:type="dxa"/>
            <w:vAlign w:val="center"/>
          </w:tcPr>
          <w:p w:rsidRPr="00391600" w:rsidR="004A568A" w:rsidP="00970AC4" w:rsidRDefault="004A568A" w14:paraId="229A2C4B" w14:textId="77777777">
            <w:pPr>
              <w:rPr>
                <w:rFonts w:ascii="Palatino Linotype" w:hAnsi="Palatino Linotype"/>
                <w:sz w:val="20"/>
                <w:szCs w:val="20"/>
              </w:rPr>
            </w:pPr>
            <w:r w:rsidRPr="00391600">
              <w:rPr>
                <w:rFonts w:ascii="Palatino Linotype" w:hAnsi="Palatino Linotype"/>
                <w:sz w:val="20"/>
                <w:szCs w:val="20"/>
              </w:rPr>
              <w:t>Natural Gas Infrastructure Safety and Integrity</w:t>
            </w:r>
          </w:p>
        </w:tc>
        <w:tc>
          <w:tcPr>
            <w:tcW w:w="1170" w:type="dxa"/>
            <w:vAlign w:val="center"/>
          </w:tcPr>
          <w:p w:rsidRPr="00391600" w:rsidR="004A568A" w:rsidP="00970AC4" w:rsidRDefault="004A568A" w14:paraId="0FA2108A"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5761490F"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4A3CB6DD"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68F307A8" w14:textId="19328C97">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16402423" w14:textId="334A0809">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71DF5F90" w14:textId="1C58C4B5">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35B7231D" w14:textId="7057BEEA">
            <w:pPr>
              <w:jc w:val="right"/>
              <w:rPr>
                <w:rFonts w:ascii="Palatino Linotype" w:hAnsi="Palatino Linotype"/>
                <w:sz w:val="20"/>
                <w:szCs w:val="20"/>
              </w:rPr>
            </w:pPr>
            <w:r w:rsidRPr="00391600">
              <w:rPr>
                <w:rFonts w:ascii="Palatino Linotype" w:hAnsi="Palatino Linotype"/>
                <w:sz w:val="20"/>
                <w:szCs w:val="20"/>
              </w:rPr>
              <w:t>94,149</w:t>
            </w:r>
          </w:p>
        </w:tc>
      </w:tr>
      <w:tr w:rsidRPr="00391600" w:rsidR="004A568A" w:rsidTr="6FAFEDE3" w14:paraId="083B47ED" w14:textId="77777777">
        <w:tc>
          <w:tcPr>
            <w:tcW w:w="1729" w:type="dxa"/>
            <w:vMerge/>
          </w:tcPr>
          <w:p w:rsidRPr="00391600" w:rsidR="004A568A" w:rsidP="004A568A" w:rsidRDefault="004A568A" w14:paraId="7BD54024" w14:textId="77777777">
            <w:pPr>
              <w:rPr>
                <w:rFonts w:ascii="Palatino Linotype" w:hAnsi="Palatino Linotype"/>
                <w:sz w:val="20"/>
                <w:szCs w:val="20"/>
              </w:rPr>
            </w:pPr>
          </w:p>
        </w:tc>
        <w:tc>
          <w:tcPr>
            <w:tcW w:w="4176" w:type="dxa"/>
            <w:vAlign w:val="center"/>
          </w:tcPr>
          <w:p w:rsidRPr="00391600" w:rsidR="004A568A" w:rsidP="00970AC4" w:rsidRDefault="004A568A" w14:paraId="3F0A90D3" w14:textId="77777777">
            <w:pPr>
              <w:rPr>
                <w:rFonts w:ascii="Palatino Linotype" w:hAnsi="Palatino Linotype"/>
                <w:sz w:val="20"/>
                <w:szCs w:val="20"/>
              </w:rPr>
            </w:pPr>
            <w:r w:rsidRPr="00391600">
              <w:rPr>
                <w:rFonts w:ascii="Palatino Linotype" w:hAnsi="Palatino Linotype"/>
                <w:sz w:val="20"/>
                <w:szCs w:val="20"/>
              </w:rPr>
              <w:t>Natural Gas Strategic Planning Research (Crosscutting)</w:t>
            </w:r>
          </w:p>
        </w:tc>
        <w:tc>
          <w:tcPr>
            <w:tcW w:w="1170" w:type="dxa"/>
            <w:vAlign w:val="center"/>
          </w:tcPr>
          <w:p w:rsidRPr="00391600" w:rsidR="004A568A" w:rsidP="00970AC4" w:rsidRDefault="004A568A" w14:paraId="1362D049"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50DD4DFF"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5506026E"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DFA70B7" w14:textId="43482C6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62982B26" w14:textId="122868D2">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6C15F30" w14:textId="147F10D3">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02BC2DF2" w14:textId="7143FA49">
            <w:pPr>
              <w:jc w:val="right"/>
              <w:rPr>
                <w:rFonts w:ascii="Palatino Linotype" w:hAnsi="Palatino Linotype"/>
                <w:sz w:val="20"/>
                <w:szCs w:val="20"/>
              </w:rPr>
            </w:pPr>
            <w:r w:rsidRPr="00391600">
              <w:rPr>
                <w:rFonts w:ascii="Palatino Linotype" w:hAnsi="Palatino Linotype"/>
                <w:sz w:val="20"/>
                <w:szCs w:val="20"/>
              </w:rPr>
              <w:t>3,642</w:t>
            </w:r>
          </w:p>
        </w:tc>
      </w:tr>
      <w:tr w:rsidRPr="00391600" w:rsidR="004A568A" w:rsidTr="6FAFEDE3" w14:paraId="4448C29F" w14:textId="77777777">
        <w:tc>
          <w:tcPr>
            <w:tcW w:w="1729" w:type="dxa"/>
            <w:vMerge w:val="restart"/>
          </w:tcPr>
          <w:p w:rsidRPr="00391600" w:rsidR="004A568A" w:rsidP="004A568A" w:rsidRDefault="004A568A" w14:paraId="65430C9D" w14:textId="77777777">
            <w:pPr>
              <w:rPr>
                <w:rFonts w:ascii="Palatino Linotype" w:hAnsi="Palatino Linotype"/>
                <w:sz w:val="20"/>
                <w:szCs w:val="20"/>
              </w:rPr>
            </w:pPr>
            <w:r w:rsidRPr="00391600">
              <w:rPr>
                <w:rFonts w:ascii="Palatino Linotype" w:hAnsi="Palatino Linotype"/>
                <w:sz w:val="20"/>
                <w:szCs w:val="20"/>
              </w:rPr>
              <w:t>FY 2019-2020 Supplemental</w:t>
            </w:r>
          </w:p>
        </w:tc>
        <w:tc>
          <w:tcPr>
            <w:tcW w:w="4176" w:type="dxa"/>
            <w:vAlign w:val="center"/>
          </w:tcPr>
          <w:p w:rsidRPr="00391600" w:rsidR="004A568A" w:rsidP="00970AC4" w:rsidRDefault="004A568A" w14:paraId="5847D8BD" w14:textId="77777777">
            <w:pPr>
              <w:rPr>
                <w:rFonts w:ascii="Palatino Linotype" w:hAnsi="Palatino Linotype"/>
                <w:sz w:val="20"/>
                <w:szCs w:val="20"/>
              </w:rPr>
            </w:pPr>
            <w:r w:rsidRPr="00391600">
              <w:rPr>
                <w:rFonts w:ascii="Palatino Linotype" w:hAnsi="Palatino Linotype"/>
                <w:sz w:val="20"/>
                <w:szCs w:val="20"/>
              </w:rPr>
              <w:t>Energy Efficiency</w:t>
            </w:r>
          </w:p>
        </w:tc>
        <w:tc>
          <w:tcPr>
            <w:tcW w:w="1170" w:type="dxa"/>
            <w:vAlign w:val="center"/>
          </w:tcPr>
          <w:p w:rsidRPr="00391600" w:rsidR="004A568A" w:rsidP="00970AC4" w:rsidRDefault="004A568A" w14:paraId="5752A2ED"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184136E4"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18E385AC"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36930B9C" w14:textId="42DD8547">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6B8BDDD7" w14:textId="20345187">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4FEA529" w14:textId="69B5238D">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FCA7072" w14:textId="57E5B648">
            <w:pPr>
              <w:jc w:val="right"/>
              <w:rPr>
                <w:rFonts w:ascii="Palatino Linotype" w:hAnsi="Palatino Linotype"/>
                <w:sz w:val="20"/>
                <w:szCs w:val="20"/>
              </w:rPr>
            </w:pPr>
            <w:r w:rsidRPr="00391600">
              <w:rPr>
                <w:rFonts w:ascii="Palatino Linotype" w:hAnsi="Palatino Linotype"/>
                <w:sz w:val="20"/>
                <w:szCs w:val="20"/>
              </w:rPr>
              <w:t>495,355</w:t>
            </w:r>
          </w:p>
        </w:tc>
      </w:tr>
      <w:tr w:rsidRPr="00391600" w:rsidR="004A568A" w:rsidTr="6FAFEDE3" w14:paraId="1FA6F92C" w14:textId="77777777">
        <w:tc>
          <w:tcPr>
            <w:tcW w:w="1729" w:type="dxa"/>
            <w:vMerge/>
          </w:tcPr>
          <w:p w:rsidRPr="00391600" w:rsidR="004A568A" w:rsidP="004A568A" w:rsidRDefault="004A568A" w14:paraId="365F1552" w14:textId="77777777">
            <w:pPr>
              <w:rPr>
                <w:rFonts w:ascii="Palatino Linotype" w:hAnsi="Palatino Linotype"/>
                <w:sz w:val="20"/>
                <w:szCs w:val="20"/>
              </w:rPr>
            </w:pPr>
          </w:p>
        </w:tc>
        <w:tc>
          <w:tcPr>
            <w:tcW w:w="4176" w:type="dxa"/>
            <w:vAlign w:val="center"/>
          </w:tcPr>
          <w:p w:rsidRPr="00391600" w:rsidR="004A568A" w:rsidP="00970AC4" w:rsidRDefault="004A568A" w14:paraId="78C1B02B"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39906978"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742AE034"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2BE83343"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6FAA930F" w14:textId="474EBE4C">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6035B4C" w14:textId="33B0C9A3">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011423D" w14:textId="6521BB33">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9D230CD" w14:textId="228EDA6D">
            <w:pPr>
              <w:jc w:val="right"/>
              <w:rPr>
                <w:rFonts w:ascii="Palatino Linotype" w:hAnsi="Palatino Linotype"/>
                <w:sz w:val="20"/>
                <w:szCs w:val="20"/>
              </w:rPr>
            </w:pPr>
            <w:r w:rsidRPr="00391600">
              <w:rPr>
                <w:rFonts w:ascii="Palatino Linotype" w:hAnsi="Palatino Linotype"/>
                <w:sz w:val="20"/>
                <w:szCs w:val="20"/>
              </w:rPr>
              <w:t>437,949</w:t>
            </w:r>
          </w:p>
        </w:tc>
      </w:tr>
      <w:tr w:rsidRPr="00391600" w:rsidR="004A568A" w:rsidTr="6FAFEDE3" w14:paraId="21913567" w14:textId="77777777">
        <w:tc>
          <w:tcPr>
            <w:tcW w:w="1729" w:type="dxa"/>
            <w:vMerge/>
          </w:tcPr>
          <w:p w:rsidRPr="00391600" w:rsidR="004A568A" w:rsidP="004A568A" w:rsidRDefault="004A568A" w14:paraId="63B1D883" w14:textId="77777777">
            <w:pPr>
              <w:rPr>
                <w:rFonts w:ascii="Palatino Linotype" w:hAnsi="Palatino Linotype"/>
                <w:sz w:val="20"/>
                <w:szCs w:val="20"/>
              </w:rPr>
            </w:pPr>
          </w:p>
        </w:tc>
        <w:tc>
          <w:tcPr>
            <w:tcW w:w="4176" w:type="dxa"/>
            <w:vAlign w:val="center"/>
          </w:tcPr>
          <w:p w:rsidRPr="00391600" w:rsidR="004A568A" w:rsidP="00970AC4" w:rsidRDefault="004A568A" w14:paraId="38CBF707" w14:textId="77777777">
            <w:pPr>
              <w:rPr>
                <w:rFonts w:ascii="Palatino Linotype" w:hAnsi="Palatino Linotype"/>
                <w:sz w:val="20"/>
                <w:szCs w:val="20"/>
              </w:rPr>
            </w:pPr>
            <w:r w:rsidRPr="00391600">
              <w:rPr>
                <w:rFonts w:ascii="Palatino Linotype" w:hAnsi="Palatino Linotype"/>
                <w:sz w:val="20"/>
                <w:szCs w:val="20"/>
              </w:rPr>
              <w:t>Natural Gas Infrastructure Safety and Integrity</w:t>
            </w:r>
          </w:p>
        </w:tc>
        <w:tc>
          <w:tcPr>
            <w:tcW w:w="1170" w:type="dxa"/>
            <w:vAlign w:val="center"/>
          </w:tcPr>
          <w:p w:rsidRPr="00391600" w:rsidR="004A568A" w:rsidP="00970AC4" w:rsidRDefault="004A568A" w14:paraId="03D08E6E"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72F4BEFD"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324FF67C"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352468BA" w14:textId="32E74AB8">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40AFAF37" w14:textId="0104E423">
            <w:pPr>
              <w:jc w:val="right"/>
              <w:rPr>
                <w:rFonts w:ascii="Palatino Linotype" w:hAnsi="Palatino Linotype"/>
                <w:sz w:val="20"/>
                <w:szCs w:val="20"/>
              </w:rPr>
            </w:pPr>
            <w:r w:rsidRPr="00391600">
              <w:rPr>
                <w:rFonts w:ascii="Palatino Linotype" w:hAnsi="Palatino Linotype"/>
                <w:sz w:val="20"/>
                <w:szCs w:val="20"/>
              </w:rPr>
              <w:t>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46A7312" w14:textId="5A1791B5">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2EE1A55A" w14:textId="5D5E3B26">
            <w:pPr>
              <w:jc w:val="right"/>
              <w:rPr>
                <w:rFonts w:ascii="Palatino Linotype" w:hAnsi="Palatino Linotype"/>
                <w:sz w:val="20"/>
                <w:szCs w:val="20"/>
              </w:rPr>
            </w:pPr>
            <w:r w:rsidRPr="00391600">
              <w:rPr>
                <w:rFonts w:ascii="Palatino Linotype" w:hAnsi="Palatino Linotype"/>
                <w:sz w:val="20"/>
                <w:szCs w:val="20"/>
              </w:rPr>
              <w:t>540,553</w:t>
            </w:r>
          </w:p>
        </w:tc>
      </w:tr>
      <w:tr w:rsidRPr="00391600" w:rsidR="004A568A" w:rsidTr="6FAFEDE3" w14:paraId="0C941EAA" w14:textId="77777777">
        <w:tc>
          <w:tcPr>
            <w:tcW w:w="1729" w:type="dxa"/>
            <w:vMerge/>
          </w:tcPr>
          <w:p w:rsidRPr="00391600" w:rsidR="004A568A" w:rsidP="004A568A" w:rsidRDefault="004A568A" w14:paraId="5ABA83BD" w14:textId="77777777">
            <w:pPr>
              <w:rPr>
                <w:rFonts w:ascii="Palatino Linotype" w:hAnsi="Palatino Linotype"/>
                <w:sz w:val="20"/>
                <w:szCs w:val="20"/>
              </w:rPr>
            </w:pPr>
          </w:p>
        </w:tc>
        <w:tc>
          <w:tcPr>
            <w:tcW w:w="4176" w:type="dxa"/>
            <w:vAlign w:val="center"/>
          </w:tcPr>
          <w:p w:rsidRPr="00391600" w:rsidR="004A568A" w:rsidP="00970AC4" w:rsidRDefault="004A568A" w14:paraId="405CC2E6" w14:textId="77777777">
            <w:pPr>
              <w:rPr>
                <w:rFonts w:ascii="Palatino Linotype" w:hAnsi="Palatino Linotype"/>
                <w:sz w:val="20"/>
                <w:szCs w:val="20"/>
              </w:rPr>
            </w:pPr>
            <w:r w:rsidRPr="00391600">
              <w:rPr>
                <w:rFonts w:ascii="Palatino Linotype" w:hAnsi="Palatino Linotype"/>
                <w:sz w:val="20"/>
                <w:szCs w:val="20"/>
              </w:rPr>
              <w:t>Natural Gas Strategic Planning Research (Crosscutting)</w:t>
            </w:r>
          </w:p>
        </w:tc>
        <w:tc>
          <w:tcPr>
            <w:tcW w:w="1170" w:type="dxa"/>
            <w:vAlign w:val="center"/>
          </w:tcPr>
          <w:p w:rsidRPr="00391600" w:rsidR="004A568A" w:rsidP="00970AC4" w:rsidRDefault="004A568A" w14:paraId="41ADD835" w14:textId="77777777">
            <w:pPr>
              <w:rPr>
                <w:rFonts w:ascii="Palatino Linotype" w:hAnsi="Palatino Linotype"/>
                <w:sz w:val="20"/>
                <w:szCs w:val="20"/>
              </w:rPr>
            </w:pPr>
            <w:r w:rsidRPr="00391600">
              <w:rPr>
                <w:rFonts w:ascii="Palatino Linotype" w:hAnsi="Palatino Linotype"/>
                <w:sz w:val="20"/>
                <w:szCs w:val="20"/>
              </w:rPr>
              <w:t>08/01/2019</w:t>
            </w:r>
          </w:p>
        </w:tc>
        <w:tc>
          <w:tcPr>
            <w:tcW w:w="1530" w:type="dxa"/>
            <w:vAlign w:val="center"/>
          </w:tcPr>
          <w:p w:rsidRPr="00391600" w:rsidR="004A568A" w:rsidP="00970AC4" w:rsidRDefault="004A568A" w14:paraId="454C3D40" w14:textId="77777777">
            <w:pPr>
              <w:rPr>
                <w:rFonts w:ascii="Palatino Linotype" w:hAnsi="Palatino Linotype"/>
                <w:sz w:val="20"/>
                <w:szCs w:val="20"/>
              </w:rPr>
            </w:pPr>
            <w:r w:rsidRPr="00391600">
              <w:rPr>
                <w:rFonts w:ascii="Palatino Linotype" w:hAnsi="Palatino Linotype"/>
                <w:sz w:val="20"/>
                <w:szCs w:val="20"/>
              </w:rPr>
              <w:t>08/01/2021</w:t>
            </w:r>
          </w:p>
        </w:tc>
        <w:tc>
          <w:tcPr>
            <w:tcW w:w="1380" w:type="dxa"/>
            <w:tcBorders>
              <w:right w:val="single" w:color="auto" w:sz="4" w:space="0"/>
            </w:tcBorders>
            <w:vAlign w:val="center"/>
          </w:tcPr>
          <w:p w:rsidRPr="00391600" w:rsidR="004A568A" w:rsidP="00970AC4" w:rsidRDefault="004A568A" w14:paraId="18D68B7B" w14:textId="77777777">
            <w:pPr>
              <w:rPr>
                <w:rFonts w:ascii="Palatino Linotype" w:hAnsi="Palatino Linotype"/>
                <w:sz w:val="20"/>
                <w:szCs w:val="20"/>
              </w:rPr>
            </w:pPr>
            <w:r w:rsidRPr="00391600">
              <w:rPr>
                <w:rFonts w:ascii="Palatino Linotype" w:hAnsi="Palatino Linotype"/>
                <w:sz w:val="20"/>
                <w:szCs w:val="20"/>
              </w:rPr>
              <w:t>08/01/2025</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12C8D524" w14:textId="6E2A37E7">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9B1AF3E" w14:textId="5E947978">
            <w:pPr>
              <w:jc w:val="right"/>
              <w:rPr>
                <w:rFonts w:ascii="Palatino Linotype" w:hAnsi="Palatino Linotype"/>
                <w:sz w:val="20"/>
                <w:szCs w:val="20"/>
              </w:rPr>
            </w:pPr>
            <w:r w:rsidRPr="00391600">
              <w:rPr>
                <w:rFonts w:ascii="Palatino Linotype" w:hAnsi="Palatino Linotype"/>
                <w:sz w:val="20"/>
                <w:szCs w:val="20"/>
              </w:rPr>
              <w:t>2,290,000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3530110" w14:textId="553DA219">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309CDB41" w14:textId="030FF973">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5C425846" w14:textId="77777777">
        <w:tc>
          <w:tcPr>
            <w:tcW w:w="1729" w:type="dxa"/>
            <w:vMerge w:val="restart"/>
          </w:tcPr>
          <w:p w:rsidRPr="00391600" w:rsidR="004A568A" w:rsidP="004A568A" w:rsidRDefault="004A568A" w14:paraId="29690F44" w14:textId="77777777">
            <w:pPr>
              <w:rPr>
                <w:rFonts w:ascii="Palatino Linotype" w:hAnsi="Palatino Linotype"/>
                <w:sz w:val="20"/>
                <w:szCs w:val="20"/>
              </w:rPr>
            </w:pPr>
            <w:r w:rsidRPr="00391600">
              <w:rPr>
                <w:rFonts w:ascii="Palatino Linotype" w:hAnsi="Palatino Linotype"/>
                <w:sz w:val="20"/>
                <w:szCs w:val="20"/>
              </w:rPr>
              <w:t>FY 2020-2021</w:t>
            </w:r>
          </w:p>
        </w:tc>
        <w:tc>
          <w:tcPr>
            <w:tcW w:w="4176" w:type="dxa"/>
            <w:vAlign w:val="center"/>
          </w:tcPr>
          <w:p w:rsidRPr="00391600" w:rsidR="004A568A" w:rsidP="00970AC4" w:rsidRDefault="004A568A" w14:paraId="3E7B5D53" w14:textId="77777777">
            <w:pPr>
              <w:rPr>
                <w:rFonts w:ascii="Palatino Linotype" w:hAnsi="Palatino Linotype"/>
                <w:sz w:val="20"/>
                <w:szCs w:val="20"/>
              </w:rPr>
            </w:pPr>
            <w:r w:rsidRPr="00391600">
              <w:rPr>
                <w:rFonts w:ascii="Palatino Linotype" w:hAnsi="Palatino Linotype"/>
                <w:sz w:val="20"/>
                <w:szCs w:val="20"/>
              </w:rPr>
              <w:t>Transportation</w:t>
            </w:r>
          </w:p>
        </w:tc>
        <w:tc>
          <w:tcPr>
            <w:tcW w:w="1170" w:type="dxa"/>
            <w:vAlign w:val="center"/>
          </w:tcPr>
          <w:p w:rsidRPr="00391600" w:rsidR="004A568A" w:rsidP="00970AC4" w:rsidRDefault="004A568A" w14:paraId="1DB806C8" w14:textId="77777777">
            <w:pPr>
              <w:rPr>
                <w:rFonts w:ascii="Palatino Linotype" w:hAnsi="Palatino Linotype"/>
                <w:sz w:val="20"/>
                <w:szCs w:val="20"/>
              </w:rPr>
            </w:pPr>
            <w:r w:rsidRPr="00391600">
              <w:rPr>
                <w:rFonts w:ascii="Palatino Linotype" w:hAnsi="Palatino Linotype"/>
                <w:sz w:val="20"/>
                <w:szCs w:val="20"/>
              </w:rPr>
              <w:t>11/05/2020</w:t>
            </w:r>
          </w:p>
        </w:tc>
        <w:tc>
          <w:tcPr>
            <w:tcW w:w="1530" w:type="dxa"/>
            <w:vAlign w:val="center"/>
          </w:tcPr>
          <w:p w:rsidRPr="00391600" w:rsidR="004A568A" w:rsidP="00970AC4" w:rsidRDefault="004A568A" w14:paraId="37E8E107" w14:textId="77777777">
            <w:pPr>
              <w:rPr>
                <w:rFonts w:ascii="Palatino Linotype" w:hAnsi="Palatino Linotype"/>
                <w:sz w:val="20"/>
                <w:szCs w:val="20"/>
              </w:rPr>
            </w:pPr>
            <w:r w:rsidRPr="00391600">
              <w:rPr>
                <w:rFonts w:ascii="Palatino Linotype" w:hAnsi="Palatino Linotype"/>
                <w:sz w:val="20"/>
                <w:szCs w:val="20"/>
              </w:rPr>
              <w:t>11/05/2022</w:t>
            </w:r>
          </w:p>
        </w:tc>
        <w:tc>
          <w:tcPr>
            <w:tcW w:w="1380" w:type="dxa"/>
            <w:tcBorders>
              <w:right w:val="single" w:color="auto" w:sz="4" w:space="0"/>
            </w:tcBorders>
            <w:vAlign w:val="center"/>
          </w:tcPr>
          <w:p w:rsidRPr="00391600" w:rsidR="004A568A" w:rsidP="00970AC4" w:rsidRDefault="004A568A" w14:paraId="7C0D901F" w14:textId="77777777">
            <w:pPr>
              <w:rPr>
                <w:rFonts w:ascii="Palatino Linotype" w:hAnsi="Palatino Linotype"/>
                <w:sz w:val="20"/>
                <w:szCs w:val="20"/>
              </w:rPr>
            </w:pPr>
            <w:r w:rsidRPr="00391600">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38503B3F" w14:textId="64AF888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F5EF983" w14:textId="4B282807">
            <w:pPr>
              <w:jc w:val="right"/>
              <w:rPr>
                <w:rFonts w:ascii="Palatino Linotype" w:hAnsi="Palatino Linotype"/>
                <w:sz w:val="20"/>
                <w:szCs w:val="20"/>
              </w:rPr>
            </w:pPr>
            <w:r w:rsidRPr="00391600">
              <w:rPr>
                <w:rFonts w:ascii="Palatino Linotype" w:hAnsi="Palatino Linotype"/>
                <w:sz w:val="20"/>
                <w:szCs w:val="20"/>
              </w:rPr>
              <w:t>333</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895F5F0" w14:textId="38806EA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996E0FE" w14:textId="16E15FAF">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3D5BF4B6" w14:textId="77777777">
        <w:tc>
          <w:tcPr>
            <w:tcW w:w="1729" w:type="dxa"/>
            <w:vMerge/>
          </w:tcPr>
          <w:p w:rsidRPr="00391600" w:rsidR="004A568A" w:rsidP="004A568A" w:rsidRDefault="004A568A" w14:paraId="784153C3" w14:textId="77777777">
            <w:pPr>
              <w:rPr>
                <w:rFonts w:ascii="Palatino Linotype" w:hAnsi="Palatino Linotype"/>
                <w:sz w:val="20"/>
                <w:szCs w:val="20"/>
              </w:rPr>
            </w:pPr>
          </w:p>
        </w:tc>
        <w:tc>
          <w:tcPr>
            <w:tcW w:w="4176" w:type="dxa"/>
            <w:vAlign w:val="center"/>
          </w:tcPr>
          <w:p w:rsidRPr="00391600" w:rsidR="004A568A" w:rsidP="00970AC4" w:rsidRDefault="004A568A" w14:paraId="7D3753FA"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4E9D8CA4" w14:textId="77777777">
            <w:pPr>
              <w:rPr>
                <w:rFonts w:ascii="Palatino Linotype" w:hAnsi="Palatino Linotype"/>
                <w:sz w:val="20"/>
                <w:szCs w:val="20"/>
              </w:rPr>
            </w:pPr>
            <w:r w:rsidRPr="00391600">
              <w:rPr>
                <w:rFonts w:ascii="Palatino Linotype" w:hAnsi="Palatino Linotype"/>
                <w:sz w:val="20"/>
                <w:szCs w:val="20"/>
              </w:rPr>
              <w:t>11/05/2020</w:t>
            </w:r>
          </w:p>
        </w:tc>
        <w:tc>
          <w:tcPr>
            <w:tcW w:w="1530" w:type="dxa"/>
            <w:vAlign w:val="center"/>
          </w:tcPr>
          <w:p w:rsidRPr="00391600" w:rsidR="004A568A" w:rsidP="00970AC4" w:rsidRDefault="004A568A" w14:paraId="0D293BEF" w14:textId="77777777">
            <w:pPr>
              <w:rPr>
                <w:rFonts w:ascii="Palatino Linotype" w:hAnsi="Palatino Linotype"/>
                <w:sz w:val="20"/>
                <w:szCs w:val="20"/>
              </w:rPr>
            </w:pPr>
            <w:r w:rsidRPr="00391600">
              <w:rPr>
                <w:rFonts w:ascii="Palatino Linotype" w:hAnsi="Palatino Linotype"/>
                <w:sz w:val="20"/>
                <w:szCs w:val="20"/>
              </w:rPr>
              <w:t>11/05/2022</w:t>
            </w:r>
          </w:p>
        </w:tc>
        <w:tc>
          <w:tcPr>
            <w:tcW w:w="1380" w:type="dxa"/>
            <w:tcBorders>
              <w:right w:val="single" w:color="auto" w:sz="4" w:space="0"/>
            </w:tcBorders>
            <w:vAlign w:val="center"/>
          </w:tcPr>
          <w:p w:rsidRPr="00391600" w:rsidR="004A568A" w:rsidP="00970AC4" w:rsidRDefault="004A568A" w14:paraId="01ECF6D3" w14:textId="77777777">
            <w:pPr>
              <w:rPr>
                <w:rFonts w:ascii="Palatino Linotype" w:hAnsi="Palatino Linotype"/>
                <w:sz w:val="20"/>
                <w:szCs w:val="20"/>
              </w:rPr>
            </w:pPr>
            <w:r w:rsidRPr="00391600">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5A529EB4" w14:textId="3D16C8AA">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AC5BC90" w14:textId="6B9841FB">
            <w:pPr>
              <w:jc w:val="right"/>
              <w:rPr>
                <w:rFonts w:ascii="Palatino Linotype" w:hAnsi="Palatino Linotype"/>
                <w:sz w:val="20"/>
                <w:szCs w:val="20"/>
              </w:rPr>
            </w:pPr>
            <w:r w:rsidRPr="00391600">
              <w:rPr>
                <w:rFonts w:ascii="Palatino Linotype" w:hAnsi="Palatino Linotype"/>
                <w:sz w:val="20"/>
                <w:szCs w:val="20"/>
              </w:rPr>
              <w:t>725</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5BF86BCD" w14:textId="3221C0C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0EDFDE33" w14:textId="5F208B2D">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43900C1F" w14:textId="77777777">
        <w:tc>
          <w:tcPr>
            <w:tcW w:w="1729" w:type="dxa"/>
            <w:vMerge/>
          </w:tcPr>
          <w:p w:rsidRPr="00391600" w:rsidR="004A568A" w:rsidP="004A568A" w:rsidRDefault="004A568A" w14:paraId="0BC7CE13" w14:textId="77777777">
            <w:pPr>
              <w:rPr>
                <w:rFonts w:ascii="Palatino Linotype" w:hAnsi="Palatino Linotype"/>
                <w:sz w:val="20"/>
                <w:szCs w:val="20"/>
              </w:rPr>
            </w:pPr>
          </w:p>
        </w:tc>
        <w:tc>
          <w:tcPr>
            <w:tcW w:w="4176" w:type="dxa"/>
            <w:vAlign w:val="center"/>
          </w:tcPr>
          <w:p w:rsidRPr="00391600" w:rsidR="004A568A" w:rsidP="00970AC4" w:rsidRDefault="004A568A" w14:paraId="0B396E38" w14:textId="77777777">
            <w:pPr>
              <w:rPr>
                <w:rFonts w:ascii="Palatino Linotype" w:hAnsi="Palatino Linotype"/>
                <w:sz w:val="20"/>
                <w:szCs w:val="20"/>
              </w:rPr>
            </w:pPr>
            <w:r w:rsidRPr="00391600">
              <w:rPr>
                <w:rFonts w:ascii="Palatino Linotype" w:hAnsi="Palatino Linotype"/>
                <w:sz w:val="20"/>
                <w:szCs w:val="20"/>
              </w:rPr>
              <w:t>Natural Gas Infrastructure Safety and Integrity</w:t>
            </w:r>
          </w:p>
        </w:tc>
        <w:tc>
          <w:tcPr>
            <w:tcW w:w="1170" w:type="dxa"/>
            <w:vAlign w:val="center"/>
          </w:tcPr>
          <w:p w:rsidRPr="00391600" w:rsidR="004A568A" w:rsidP="00970AC4" w:rsidRDefault="004A568A" w14:paraId="3546207A" w14:textId="77777777">
            <w:pPr>
              <w:rPr>
                <w:rFonts w:ascii="Palatino Linotype" w:hAnsi="Palatino Linotype"/>
                <w:sz w:val="20"/>
                <w:szCs w:val="20"/>
              </w:rPr>
            </w:pPr>
            <w:r w:rsidRPr="00391600">
              <w:rPr>
                <w:rFonts w:ascii="Palatino Linotype" w:hAnsi="Palatino Linotype"/>
                <w:sz w:val="20"/>
                <w:szCs w:val="20"/>
              </w:rPr>
              <w:t>11/05/2020</w:t>
            </w:r>
          </w:p>
        </w:tc>
        <w:tc>
          <w:tcPr>
            <w:tcW w:w="1530" w:type="dxa"/>
            <w:vAlign w:val="center"/>
          </w:tcPr>
          <w:p w:rsidRPr="00391600" w:rsidR="004A568A" w:rsidP="00970AC4" w:rsidRDefault="004A568A" w14:paraId="5E58C2C2" w14:textId="77777777">
            <w:pPr>
              <w:rPr>
                <w:rFonts w:ascii="Palatino Linotype" w:hAnsi="Palatino Linotype"/>
                <w:sz w:val="20"/>
                <w:szCs w:val="20"/>
              </w:rPr>
            </w:pPr>
            <w:r w:rsidRPr="00391600">
              <w:rPr>
                <w:rFonts w:ascii="Palatino Linotype" w:hAnsi="Palatino Linotype"/>
                <w:sz w:val="20"/>
                <w:szCs w:val="20"/>
              </w:rPr>
              <w:t>11/05/2022</w:t>
            </w:r>
          </w:p>
        </w:tc>
        <w:tc>
          <w:tcPr>
            <w:tcW w:w="1380" w:type="dxa"/>
            <w:tcBorders>
              <w:right w:val="single" w:color="auto" w:sz="4" w:space="0"/>
            </w:tcBorders>
            <w:vAlign w:val="center"/>
          </w:tcPr>
          <w:p w:rsidRPr="00391600" w:rsidR="004A568A" w:rsidP="00970AC4" w:rsidRDefault="004A568A" w14:paraId="0E346F89" w14:textId="77777777">
            <w:pPr>
              <w:rPr>
                <w:rFonts w:ascii="Palatino Linotype" w:hAnsi="Palatino Linotype"/>
                <w:sz w:val="20"/>
                <w:szCs w:val="20"/>
              </w:rPr>
            </w:pPr>
            <w:r w:rsidRPr="00391600">
              <w:rPr>
                <w:rFonts w:ascii="Palatino Linotype" w:hAnsi="Palatino Linotype"/>
                <w:sz w:val="20"/>
                <w:szCs w:val="20"/>
              </w:rPr>
              <w:t>11/05/2026</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7E9620B7" w14:textId="2E1CFF1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0CA79332" w14:textId="478F9D74">
            <w:pPr>
              <w:jc w:val="right"/>
              <w:rPr>
                <w:rFonts w:ascii="Palatino Linotype" w:hAnsi="Palatino Linotype"/>
                <w:sz w:val="20"/>
                <w:szCs w:val="20"/>
              </w:rPr>
            </w:pPr>
            <w:r w:rsidRPr="00391600">
              <w:rPr>
                <w:rFonts w:ascii="Palatino Linotype" w:hAnsi="Palatino Linotype"/>
                <w:sz w:val="20"/>
                <w:szCs w:val="20"/>
              </w:rPr>
              <w:t>72</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17D8F095" w14:textId="53ED706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3C69007" w14:textId="7E881C94">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3653B249" w14:textId="77777777">
        <w:tc>
          <w:tcPr>
            <w:tcW w:w="1729" w:type="dxa"/>
          </w:tcPr>
          <w:p w:rsidRPr="00391600" w:rsidR="004A568A" w:rsidP="004A568A" w:rsidRDefault="004A568A" w14:paraId="082DE838" w14:textId="77777777">
            <w:pPr>
              <w:rPr>
                <w:rFonts w:ascii="Palatino Linotype" w:hAnsi="Palatino Linotype"/>
                <w:sz w:val="20"/>
                <w:szCs w:val="20"/>
              </w:rPr>
            </w:pPr>
            <w:r w:rsidRPr="00391600">
              <w:rPr>
                <w:rFonts w:ascii="Palatino Linotype" w:hAnsi="Palatino Linotype"/>
                <w:sz w:val="20"/>
                <w:szCs w:val="20"/>
              </w:rPr>
              <w:t>FY 2021-2022</w:t>
            </w:r>
          </w:p>
        </w:tc>
        <w:tc>
          <w:tcPr>
            <w:tcW w:w="4176" w:type="dxa"/>
            <w:vAlign w:val="center"/>
          </w:tcPr>
          <w:p w:rsidRPr="00391600" w:rsidR="004A568A" w:rsidP="00970AC4" w:rsidRDefault="004A568A" w14:paraId="64324F7C" w14:textId="77777777">
            <w:pPr>
              <w:rPr>
                <w:rFonts w:ascii="Palatino Linotype" w:hAnsi="Palatino Linotype"/>
                <w:sz w:val="20"/>
                <w:szCs w:val="20"/>
              </w:rPr>
            </w:pPr>
            <w:r w:rsidRPr="00391600">
              <w:rPr>
                <w:rFonts w:ascii="Palatino Linotype" w:hAnsi="Palatino Linotype"/>
                <w:sz w:val="20"/>
                <w:szCs w:val="20"/>
              </w:rPr>
              <w:t>Energy-Related Environmental Research</w:t>
            </w:r>
          </w:p>
        </w:tc>
        <w:tc>
          <w:tcPr>
            <w:tcW w:w="1170" w:type="dxa"/>
            <w:vAlign w:val="center"/>
          </w:tcPr>
          <w:p w:rsidRPr="00391600" w:rsidR="004A568A" w:rsidP="00970AC4" w:rsidRDefault="004A568A" w14:paraId="79202927" w14:textId="77777777">
            <w:pPr>
              <w:rPr>
                <w:rFonts w:ascii="Palatino Linotype" w:hAnsi="Palatino Linotype"/>
                <w:sz w:val="20"/>
                <w:szCs w:val="20"/>
              </w:rPr>
            </w:pPr>
            <w:r w:rsidRPr="00391600">
              <w:rPr>
                <w:rFonts w:ascii="Palatino Linotype" w:hAnsi="Palatino Linotype"/>
                <w:sz w:val="20"/>
                <w:szCs w:val="20"/>
              </w:rPr>
              <w:t>09/23/2021</w:t>
            </w:r>
          </w:p>
        </w:tc>
        <w:tc>
          <w:tcPr>
            <w:tcW w:w="1530" w:type="dxa"/>
            <w:vAlign w:val="center"/>
          </w:tcPr>
          <w:p w:rsidRPr="00391600" w:rsidR="004A568A" w:rsidP="00970AC4" w:rsidRDefault="004A568A" w14:paraId="61D7A697" w14:textId="77777777">
            <w:pPr>
              <w:rPr>
                <w:rFonts w:ascii="Palatino Linotype" w:hAnsi="Palatino Linotype"/>
                <w:sz w:val="20"/>
                <w:szCs w:val="20"/>
              </w:rPr>
            </w:pPr>
            <w:r w:rsidRPr="00391600">
              <w:rPr>
                <w:rFonts w:ascii="Palatino Linotype" w:hAnsi="Palatino Linotype"/>
                <w:sz w:val="20"/>
                <w:szCs w:val="20"/>
              </w:rPr>
              <w:t>09/23/2023</w:t>
            </w:r>
          </w:p>
        </w:tc>
        <w:tc>
          <w:tcPr>
            <w:tcW w:w="1380" w:type="dxa"/>
            <w:tcBorders>
              <w:right w:val="single" w:color="auto" w:sz="4" w:space="0"/>
            </w:tcBorders>
            <w:vAlign w:val="center"/>
          </w:tcPr>
          <w:p w:rsidRPr="00391600" w:rsidR="004A568A" w:rsidP="00970AC4" w:rsidRDefault="004A568A" w14:paraId="291EDE93" w14:textId="77777777">
            <w:pPr>
              <w:rPr>
                <w:rFonts w:ascii="Palatino Linotype" w:hAnsi="Palatino Linotype"/>
                <w:sz w:val="20"/>
                <w:szCs w:val="20"/>
              </w:rPr>
            </w:pPr>
            <w:r w:rsidRPr="00391600">
              <w:rPr>
                <w:rFonts w:ascii="Palatino Linotype" w:hAnsi="Palatino Linotype"/>
                <w:sz w:val="20"/>
                <w:szCs w:val="20"/>
              </w:rPr>
              <w:t>09/23/2027</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D4AC099" w14:textId="2974082D">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04D8093" w14:textId="4A4EAEAA">
            <w:pPr>
              <w:jc w:val="right"/>
              <w:rPr>
                <w:rFonts w:ascii="Palatino Linotype" w:hAnsi="Palatino Linotype"/>
                <w:sz w:val="20"/>
                <w:szCs w:val="20"/>
              </w:rPr>
            </w:pPr>
            <w:r w:rsidRPr="00391600">
              <w:rPr>
                <w:rFonts w:ascii="Palatino Linotype" w:hAnsi="Palatino Linotype"/>
                <w:sz w:val="20"/>
                <w:szCs w:val="20"/>
              </w:rPr>
              <w:t>600,864</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1E5C7B70" w14:textId="56FDFEA7">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584A52B4" w14:textId="46BD54CC">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31C5ABB9" w14:textId="77777777">
        <w:tc>
          <w:tcPr>
            <w:tcW w:w="1729" w:type="dxa"/>
            <w:vMerge w:val="restart"/>
          </w:tcPr>
          <w:p w:rsidRPr="00391600" w:rsidR="004A568A" w:rsidP="004A568A" w:rsidRDefault="004A568A" w14:paraId="43EB6DC4" w14:textId="77777777">
            <w:pPr>
              <w:rPr>
                <w:rFonts w:ascii="Palatino Linotype" w:hAnsi="Palatino Linotype"/>
                <w:sz w:val="20"/>
                <w:szCs w:val="20"/>
              </w:rPr>
            </w:pPr>
            <w:r w:rsidRPr="00391600">
              <w:rPr>
                <w:rFonts w:ascii="Palatino Linotype" w:hAnsi="Palatino Linotype"/>
                <w:sz w:val="20"/>
                <w:szCs w:val="20"/>
              </w:rPr>
              <w:t>FY 2022-2023</w:t>
            </w:r>
          </w:p>
        </w:tc>
        <w:tc>
          <w:tcPr>
            <w:tcW w:w="4176" w:type="dxa"/>
            <w:vAlign w:val="center"/>
          </w:tcPr>
          <w:p w:rsidRPr="00391600" w:rsidR="004A568A" w:rsidP="00970AC4" w:rsidRDefault="004A568A" w14:paraId="39DECA7A" w14:textId="77777777">
            <w:pPr>
              <w:rPr>
                <w:rFonts w:ascii="Palatino Linotype" w:hAnsi="Palatino Linotype"/>
                <w:sz w:val="20"/>
                <w:szCs w:val="20"/>
              </w:rPr>
            </w:pPr>
            <w:r w:rsidRPr="00391600">
              <w:rPr>
                <w:rFonts w:ascii="Palatino Linotype" w:hAnsi="Palatino Linotype"/>
                <w:sz w:val="20"/>
                <w:szCs w:val="20"/>
              </w:rPr>
              <w:t>Decarbonization of Gas End Uses</w:t>
            </w:r>
          </w:p>
        </w:tc>
        <w:tc>
          <w:tcPr>
            <w:tcW w:w="1170" w:type="dxa"/>
            <w:vAlign w:val="center"/>
          </w:tcPr>
          <w:p w:rsidRPr="00391600" w:rsidR="004A568A" w:rsidP="00970AC4" w:rsidRDefault="004A568A" w14:paraId="330A6EBB" w14:textId="77777777">
            <w:pPr>
              <w:rPr>
                <w:rFonts w:ascii="Palatino Linotype" w:hAnsi="Palatino Linotype"/>
                <w:sz w:val="20"/>
                <w:szCs w:val="20"/>
              </w:rPr>
            </w:pPr>
            <w:r w:rsidRPr="00391600">
              <w:rPr>
                <w:rFonts w:ascii="Palatino Linotype" w:hAnsi="Palatino Linotype"/>
                <w:sz w:val="20"/>
                <w:szCs w:val="20"/>
              </w:rPr>
              <w:t>03/16/2023</w:t>
            </w:r>
          </w:p>
        </w:tc>
        <w:tc>
          <w:tcPr>
            <w:tcW w:w="1530" w:type="dxa"/>
            <w:vAlign w:val="center"/>
          </w:tcPr>
          <w:p w:rsidRPr="00391600" w:rsidR="004A568A" w:rsidP="00970AC4" w:rsidRDefault="004A568A" w14:paraId="3246CF8E" w14:textId="77777777">
            <w:pPr>
              <w:rPr>
                <w:rFonts w:ascii="Palatino Linotype" w:hAnsi="Palatino Linotype"/>
                <w:sz w:val="20"/>
                <w:szCs w:val="20"/>
              </w:rPr>
            </w:pPr>
            <w:r w:rsidRPr="00391600">
              <w:rPr>
                <w:rFonts w:ascii="Palatino Linotype" w:hAnsi="Palatino Linotype"/>
                <w:sz w:val="20"/>
                <w:szCs w:val="20"/>
              </w:rPr>
              <w:t>03/16/2025</w:t>
            </w:r>
          </w:p>
        </w:tc>
        <w:tc>
          <w:tcPr>
            <w:tcW w:w="1380" w:type="dxa"/>
            <w:tcBorders>
              <w:right w:val="single" w:color="auto" w:sz="4" w:space="0"/>
            </w:tcBorders>
            <w:vAlign w:val="center"/>
          </w:tcPr>
          <w:p w:rsidRPr="00391600" w:rsidR="004A568A" w:rsidP="00970AC4" w:rsidRDefault="004A568A" w14:paraId="61954955" w14:textId="77777777">
            <w:pPr>
              <w:rPr>
                <w:rFonts w:ascii="Palatino Linotype" w:hAnsi="Palatino Linotype"/>
                <w:sz w:val="20"/>
                <w:szCs w:val="20"/>
              </w:rPr>
            </w:pPr>
            <w:r w:rsidRPr="00391600">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6CDD2B95" w14:textId="636A7DDD">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372B3E69" w14:textId="6473D210">
            <w:pPr>
              <w:jc w:val="right"/>
              <w:rPr>
                <w:rFonts w:ascii="Palatino Linotype" w:hAnsi="Palatino Linotype"/>
                <w:sz w:val="20"/>
                <w:szCs w:val="20"/>
              </w:rPr>
            </w:pPr>
            <w:r w:rsidRPr="00391600">
              <w:rPr>
                <w:rFonts w:ascii="Palatino Linotype" w:hAnsi="Palatino Linotype"/>
                <w:sz w:val="20"/>
                <w:szCs w:val="20"/>
              </w:rPr>
              <w:t>3,175,645</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774E4980" w14:textId="691F2156">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10617A4" w14:textId="686AF9D6">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4BBF4B39" w14:textId="77777777">
        <w:tc>
          <w:tcPr>
            <w:tcW w:w="1729" w:type="dxa"/>
            <w:vMerge/>
          </w:tcPr>
          <w:p w:rsidRPr="00391600" w:rsidR="004A568A" w:rsidP="004A568A" w:rsidRDefault="004A568A" w14:paraId="07599414" w14:textId="77777777">
            <w:pPr>
              <w:rPr>
                <w:rFonts w:ascii="Palatino Linotype" w:hAnsi="Palatino Linotype"/>
                <w:sz w:val="20"/>
                <w:szCs w:val="20"/>
              </w:rPr>
            </w:pPr>
          </w:p>
        </w:tc>
        <w:tc>
          <w:tcPr>
            <w:tcW w:w="4176" w:type="dxa"/>
            <w:vAlign w:val="center"/>
          </w:tcPr>
          <w:p w:rsidRPr="00391600" w:rsidR="004A568A" w:rsidP="00970AC4" w:rsidRDefault="004A568A" w14:paraId="12927BC4" w14:textId="77777777">
            <w:pPr>
              <w:rPr>
                <w:rFonts w:ascii="Palatino Linotype" w:hAnsi="Palatino Linotype"/>
                <w:sz w:val="20"/>
                <w:szCs w:val="20"/>
              </w:rPr>
            </w:pPr>
            <w:r w:rsidRPr="00391600">
              <w:rPr>
                <w:rFonts w:ascii="Palatino Linotype" w:hAnsi="Palatino Linotype"/>
                <w:sz w:val="20"/>
                <w:szCs w:val="20"/>
              </w:rPr>
              <w:t>Energy Efficiency</w:t>
            </w:r>
          </w:p>
        </w:tc>
        <w:tc>
          <w:tcPr>
            <w:tcW w:w="1170" w:type="dxa"/>
            <w:vAlign w:val="center"/>
          </w:tcPr>
          <w:p w:rsidRPr="00391600" w:rsidR="004A568A" w:rsidP="00970AC4" w:rsidRDefault="004A568A" w14:paraId="18A2C008" w14:textId="77777777">
            <w:pPr>
              <w:rPr>
                <w:rFonts w:ascii="Palatino Linotype" w:hAnsi="Palatino Linotype"/>
                <w:sz w:val="20"/>
                <w:szCs w:val="20"/>
              </w:rPr>
            </w:pPr>
            <w:r w:rsidRPr="00391600">
              <w:rPr>
                <w:rFonts w:ascii="Palatino Linotype" w:hAnsi="Palatino Linotype"/>
                <w:sz w:val="20"/>
                <w:szCs w:val="20"/>
              </w:rPr>
              <w:t>03/16/2023</w:t>
            </w:r>
          </w:p>
        </w:tc>
        <w:tc>
          <w:tcPr>
            <w:tcW w:w="1530" w:type="dxa"/>
            <w:vAlign w:val="center"/>
          </w:tcPr>
          <w:p w:rsidRPr="00391600" w:rsidR="004A568A" w:rsidP="00970AC4" w:rsidRDefault="004A568A" w14:paraId="36ADC4BB" w14:textId="77777777">
            <w:pPr>
              <w:rPr>
                <w:rFonts w:ascii="Palatino Linotype" w:hAnsi="Palatino Linotype"/>
                <w:sz w:val="20"/>
                <w:szCs w:val="20"/>
              </w:rPr>
            </w:pPr>
            <w:r w:rsidRPr="00391600">
              <w:rPr>
                <w:rFonts w:ascii="Palatino Linotype" w:hAnsi="Palatino Linotype"/>
                <w:sz w:val="20"/>
                <w:szCs w:val="20"/>
              </w:rPr>
              <w:t>03/16/2025</w:t>
            </w:r>
          </w:p>
        </w:tc>
        <w:tc>
          <w:tcPr>
            <w:tcW w:w="1380" w:type="dxa"/>
            <w:tcBorders>
              <w:right w:val="single" w:color="auto" w:sz="4" w:space="0"/>
            </w:tcBorders>
            <w:vAlign w:val="center"/>
          </w:tcPr>
          <w:p w:rsidRPr="00391600" w:rsidR="004A568A" w:rsidP="00970AC4" w:rsidRDefault="004A568A" w14:paraId="4360FAE6" w14:textId="77777777">
            <w:pPr>
              <w:rPr>
                <w:rFonts w:ascii="Palatino Linotype" w:hAnsi="Palatino Linotype"/>
                <w:sz w:val="20"/>
                <w:szCs w:val="20"/>
              </w:rPr>
            </w:pPr>
            <w:r w:rsidRPr="00391600">
              <w:rPr>
                <w:rFonts w:ascii="Palatino Linotype" w:hAnsi="Palatino Linotype"/>
                <w:sz w:val="20"/>
                <w:szCs w:val="20"/>
              </w:rPr>
              <w:t>03/16/2029</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0AAAED2D" w14:textId="076B671F">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A860F89" w14:textId="1CB84676">
            <w:pPr>
              <w:jc w:val="right"/>
              <w:rPr>
                <w:rFonts w:ascii="Palatino Linotype" w:hAnsi="Palatino Linotype"/>
                <w:sz w:val="20"/>
                <w:szCs w:val="20"/>
              </w:rPr>
            </w:pPr>
            <w:r w:rsidRPr="00391600">
              <w:rPr>
                <w:rFonts w:ascii="Palatino Linotype" w:hAnsi="Palatino Linotype"/>
                <w:sz w:val="20"/>
                <w:szCs w:val="20"/>
              </w:rPr>
              <w:t>1,500,000</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1F52FBD8" w14:textId="6A4EC3D2">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040EEDA3" w14:textId="6AFF7DE0">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2C6E7195" w14:textId="77777777">
        <w:tc>
          <w:tcPr>
            <w:tcW w:w="1729" w:type="dxa"/>
            <w:vMerge/>
          </w:tcPr>
          <w:p w:rsidRPr="00391600" w:rsidR="004A568A" w:rsidP="004A568A" w:rsidRDefault="004A568A" w14:paraId="04B5AEB7" w14:textId="77777777">
            <w:pPr>
              <w:rPr>
                <w:rFonts w:ascii="Palatino Linotype" w:hAnsi="Palatino Linotype"/>
                <w:sz w:val="20"/>
                <w:szCs w:val="20"/>
              </w:rPr>
            </w:pPr>
          </w:p>
        </w:tc>
        <w:tc>
          <w:tcPr>
            <w:tcW w:w="4176" w:type="dxa"/>
            <w:vAlign w:val="center"/>
          </w:tcPr>
          <w:p w:rsidRPr="00391600" w:rsidR="004A568A" w:rsidP="00970AC4" w:rsidRDefault="004A568A" w14:paraId="48FC5043" w14:textId="77777777">
            <w:pPr>
              <w:rPr>
                <w:rFonts w:ascii="Palatino Linotype" w:hAnsi="Palatino Linotype"/>
                <w:sz w:val="20"/>
                <w:szCs w:val="20"/>
              </w:rPr>
            </w:pPr>
            <w:r w:rsidRPr="00391600">
              <w:rPr>
                <w:rFonts w:ascii="Palatino Linotype" w:hAnsi="Palatino Linotype"/>
                <w:sz w:val="20"/>
                <w:szCs w:val="20"/>
              </w:rPr>
              <w:t>Gas Pipeline Safety and Integrity</w:t>
            </w:r>
          </w:p>
        </w:tc>
        <w:tc>
          <w:tcPr>
            <w:tcW w:w="1170" w:type="dxa"/>
            <w:vAlign w:val="center"/>
          </w:tcPr>
          <w:p w:rsidRPr="00391600" w:rsidR="004A568A" w:rsidP="00970AC4" w:rsidRDefault="004A568A" w14:paraId="129FF382" w14:textId="77777777">
            <w:pPr>
              <w:rPr>
                <w:rFonts w:ascii="Palatino Linotype" w:hAnsi="Palatino Linotype"/>
                <w:sz w:val="20"/>
                <w:szCs w:val="20"/>
              </w:rPr>
            </w:pPr>
            <w:r w:rsidRPr="00391600">
              <w:rPr>
                <w:rFonts w:ascii="Palatino Linotype" w:hAnsi="Palatino Linotype"/>
                <w:sz w:val="20"/>
                <w:szCs w:val="20"/>
              </w:rPr>
              <w:t>06/06/2023</w:t>
            </w:r>
          </w:p>
        </w:tc>
        <w:tc>
          <w:tcPr>
            <w:tcW w:w="1530" w:type="dxa"/>
            <w:vAlign w:val="center"/>
          </w:tcPr>
          <w:p w:rsidRPr="00391600" w:rsidR="004A568A" w:rsidP="00970AC4" w:rsidRDefault="004A568A" w14:paraId="1D4D7B8D" w14:textId="77777777">
            <w:pPr>
              <w:rPr>
                <w:rFonts w:ascii="Palatino Linotype" w:hAnsi="Palatino Linotype"/>
                <w:sz w:val="20"/>
                <w:szCs w:val="20"/>
              </w:rPr>
            </w:pPr>
            <w:r w:rsidRPr="00391600">
              <w:rPr>
                <w:rFonts w:ascii="Palatino Linotype" w:hAnsi="Palatino Linotype"/>
                <w:sz w:val="20"/>
                <w:szCs w:val="20"/>
              </w:rPr>
              <w:t>06/06/2025</w:t>
            </w:r>
          </w:p>
        </w:tc>
        <w:tc>
          <w:tcPr>
            <w:tcW w:w="1380" w:type="dxa"/>
            <w:tcBorders>
              <w:right w:val="single" w:color="auto" w:sz="4" w:space="0"/>
            </w:tcBorders>
            <w:vAlign w:val="center"/>
          </w:tcPr>
          <w:p w:rsidRPr="00391600" w:rsidR="004A568A" w:rsidP="00970AC4" w:rsidRDefault="004A568A" w14:paraId="408981FA" w14:textId="77777777">
            <w:pPr>
              <w:rPr>
                <w:rFonts w:ascii="Palatino Linotype" w:hAnsi="Palatino Linotype"/>
                <w:sz w:val="20"/>
                <w:szCs w:val="20"/>
              </w:rPr>
            </w:pPr>
            <w:r w:rsidRPr="00391600">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0C4BF3E6" w14:textId="7CB98640">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764C1EAC" w14:textId="6851946F">
            <w:pPr>
              <w:jc w:val="right"/>
              <w:rPr>
                <w:rFonts w:ascii="Palatino Linotype" w:hAnsi="Palatino Linotype"/>
                <w:sz w:val="20"/>
                <w:szCs w:val="20"/>
              </w:rPr>
            </w:pPr>
            <w:r w:rsidRPr="00391600">
              <w:rPr>
                <w:rFonts w:ascii="Palatino Linotype" w:hAnsi="Palatino Linotype"/>
                <w:sz w:val="20"/>
                <w:szCs w:val="20"/>
              </w:rPr>
              <w:t>7,772</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A39AFF1" w14:textId="6ABB387C">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614197EE" w14:textId="668CF33B">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2D2DB286" w14:textId="77777777">
        <w:tc>
          <w:tcPr>
            <w:tcW w:w="1729" w:type="dxa"/>
            <w:vMerge/>
          </w:tcPr>
          <w:p w:rsidRPr="00391600" w:rsidR="004A568A" w:rsidP="004A568A" w:rsidRDefault="004A568A" w14:paraId="24083F17" w14:textId="77777777">
            <w:pPr>
              <w:rPr>
                <w:rFonts w:ascii="Palatino Linotype" w:hAnsi="Palatino Linotype"/>
                <w:sz w:val="20"/>
                <w:szCs w:val="20"/>
              </w:rPr>
            </w:pPr>
          </w:p>
        </w:tc>
        <w:tc>
          <w:tcPr>
            <w:tcW w:w="4176" w:type="dxa"/>
            <w:vAlign w:val="center"/>
          </w:tcPr>
          <w:p w:rsidRPr="00391600" w:rsidR="004A568A" w:rsidP="00970AC4" w:rsidRDefault="004A568A" w14:paraId="6B6926A6" w14:textId="77777777">
            <w:pPr>
              <w:rPr>
                <w:rFonts w:ascii="Palatino Linotype" w:hAnsi="Palatino Linotype"/>
                <w:sz w:val="20"/>
                <w:szCs w:val="20"/>
              </w:rPr>
            </w:pPr>
            <w:r w:rsidRPr="00391600">
              <w:rPr>
                <w:rFonts w:ascii="Palatino Linotype" w:hAnsi="Palatino Linotype"/>
                <w:sz w:val="20"/>
                <w:szCs w:val="20"/>
              </w:rPr>
              <w:t>Targeted Gas System Decommissioning</w:t>
            </w:r>
          </w:p>
        </w:tc>
        <w:tc>
          <w:tcPr>
            <w:tcW w:w="1170" w:type="dxa"/>
            <w:vAlign w:val="center"/>
          </w:tcPr>
          <w:p w:rsidRPr="00391600" w:rsidR="004A568A" w:rsidP="00970AC4" w:rsidRDefault="004A568A" w14:paraId="3BFCB194" w14:textId="77777777">
            <w:pPr>
              <w:rPr>
                <w:rFonts w:ascii="Palatino Linotype" w:hAnsi="Palatino Linotype"/>
                <w:sz w:val="20"/>
                <w:szCs w:val="20"/>
              </w:rPr>
            </w:pPr>
            <w:r w:rsidRPr="00391600">
              <w:rPr>
                <w:rFonts w:ascii="Palatino Linotype" w:hAnsi="Palatino Linotype"/>
                <w:sz w:val="20"/>
                <w:szCs w:val="20"/>
              </w:rPr>
              <w:t>06/06/2023</w:t>
            </w:r>
          </w:p>
        </w:tc>
        <w:tc>
          <w:tcPr>
            <w:tcW w:w="1530" w:type="dxa"/>
            <w:vAlign w:val="center"/>
          </w:tcPr>
          <w:p w:rsidRPr="00391600" w:rsidR="004A568A" w:rsidP="00970AC4" w:rsidRDefault="004A568A" w14:paraId="68355D98" w14:textId="77777777">
            <w:pPr>
              <w:rPr>
                <w:rFonts w:ascii="Palatino Linotype" w:hAnsi="Palatino Linotype"/>
                <w:sz w:val="20"/>
                <w:szCs w:val="20"/>
              </w:rPr>
            </w:pPr>
            <w:r w:rsidRPr="00391600">
              <w:rPr>
                <w:rFonts w:ascii="Palatino Linotype" w:hAnsi="Palatino Linotype"/>
                <w:sz w:val="20"/>
                <w:szCs w:val="20"/>
              </w:rPr>
              <w:t>06/06/2025</w:t>
            </w:r>
          </w:p>
        </w:tc>
        <w:tc>
          <w:tcPr>
            <w:tcW w:w="1380" w:type="dxa"/>
            <w:tcBorders>
              <w:right w:val="single" w:color="auto" w:sz="4" w:space="0"/>
            </w:tcBorders>
            <w:vAlign w:val="center"/>
          </w:tcPr>
          <w:p w:rsidRPr="00391600" w:rsidR="004A568A" w:rsidP="00970AC4" w:rsidRDefault="004A568A" w14:paraId="62548076" w14:textId="77777777">
            <w:pPr>
              <w:rPr>
                <w:rFonts w:ascii="Palatino Linotype" w:hAnsi="Palatino Linotype"/>
                <w:sz w:val="20"/>
                <w:szCs w:val="20"/>
              </w:rPr>
            </w:pPr>
            <w:r w:rsidRPr="00391600">
              <w:rPr>
                <w:rFonts w:ascii="Palatino Linotype" w:hAnsi="Palatino Linotype"/>
                <w:sz w:val="20"/>
                <w:szCs w:val="20"/>
              </w:rPr>
              <w:t>06/06/2029</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165C2DB9" w14:textId="2955C758">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5ED10C73" w14:textId="6EE87EB3">
            <w:pPr>
              <w:jc w:val="right"/>
              <w:rPr>
                <w:rFonts w:ascii="Palatino Linotype" w:hAnsi="Palatino Linotype"/>
                <w:sz w:val="20"/>
                <w:szCs w:val="20"/>
              </w:rPr>
            </w:pPr>
            <w:r w:rsidRPr="00391600">
              <w:rPr>
                <w:rFonts w:ascii="Palatino Linotype" w:hAnsi="Palatino Linotype"/>
                <w:sz w:val="20"/>
                <w:szCs w:val="20"/>
              </w:rPr>
              <w:t>2,000,315</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45DB327C" w14:textId="2B72EE26">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14D792F6" w14:textId="485C1E30">
            <w:pPr>
              <w:jc w:val="right"/>
              <w:rPr>
                <w:rFonts w:ascii="Palatino Linotype" w:hAnsi="Palatino Linotype"/>
                <w:sz w:val="20"/>
                <w:szCs w:val="20"/>
              </w:rPr>
            </w:pPr>
            <w:r w:rsidRPr="00391600">
              <w:rPr>
                <w:rFonts w:ascii="Palatino Linotype" w:hAnsi="Palatino Linotype"/>
                <w:sz w:val="20"/>
                <w:szCs w:val="20"/>
              </w:rPr>
              <w:t>0**</w:t>
            </w:r>
          </w:p>
        </w:tc>
      </w:tr>
      <w:tr w:rsidRPr="00391600" w:rsidR="004A568A" w:rsidTr="6FAFEDE3" w14:paraId="62230E61" w14:textId="77777777">
        <w:tc>
          <w:tcPr>
            <w:tcW w:w="1729" w:type="dxa"/>
          </w:tcPr>
          <w:p w:rsidRPr="00391600" w:rsidR="004A568A" w:rsidP="004A568A" w:rsidRDefault="004A568A" w14:paraId="4D267946" w14:textId="77777777">
            <w:pPr>
              <w:rPr>
                <w:rFonts w:ascii="Palatino Linotype" w:hAnsi="Palatino Linotype"/>
                <w:sz w:val="20"/>
                <w:szCs w:val="20"/>
              </w:rPr>
            </w:pPr>
            <w:r w:rsidRPr="00391600">
              <w:rPr>
                <w:rFonts w:ascii="Palatino Linotype" w:hAnsi="Palatino Linotype"/>
                <w:sz w:val="20"/>
                <w:szCs w:val="20"/>
              </w:rPr>
              <w:t>FY 2023-2024</w:t>
            </w:r>
          </w:p>
        </w:tc>
        <w:tc>
          <w:tcPr>
            <w:tcW w:w="4176" w:type="dxa"/>
            <w:vAlign w:val="center"/>
          </w:tcPr>
          <w:p w:rsidRPr="00391600" w:rsidR="004A568A" w:rsidP="00970AC4" w:rsidRDefault="004A568A" w14:paraId="58074DEA" w14:textId="77777777">
            <w:pPr>
              <w:rPr>
                <w:rFonts w:ascii="Palatino Linotype" w:hAnsi="Palatino Linotype"/>
                <w:sz w:val="20"/>
                <w:szCs w:val="20"/>
              </w:rPr>
            </w:pPr>
            <w:r w:rsidRPr="00391600">
              <w:rPr>
                <w:rFonts w:ascii="Palatino Linotype" w:hAnsi="Palatino Linotype"/>
                <w:sz w:val="20"/>
                <w:szCs w:val="20"/>
              </w:rPr>
              <w:t>Air Pollutant Exposure Assessment in California Residences</w:t>
            </w:r>
          </w:p>
        </w:tc>
        <w:tc>
          <w:tcPr>
            <w:tcW w:w="1170" w:type="dxa"/>
            <w:vAlign w:val="center"/>
          </w:tcPr>
          <w:p w:rsidRPr="00391600" w:rsidR="004A568A" w:rsidP="00970AC4" w:rsidRDefault="004A568A" w14:paraId="2B4501E5" w14:textId="77777777">
            <w:pPr>
              <w:rPr>
                <w:rFonts w:ascii="Palatino Linotype" w:hAnsi="Palatino Linotype"/>
                <w:sz w:val="20"/>
                <w:szCs w:val="20"/>
              </w:rPr>
            </w:pPr>
            <w:r w:rsidRPr="00391600">
              <w:rPr>
                <w:rFonts w:ascii="Palatino Linotype" w:hAnsi="Palatino Linotype"/>
                <w:sz w:val="20"/>
                <w:szCs w:val="20"/>
              </w:rPr>
              <w:t>05/09/2024</w:t>
            </w:r>
          </w:p>
        </w:tc>
        <w:tc>
          <w:tcPr>
            <w:tcW w:w="1530" w:type="dxa"/>
            <w:vAlign w:val="center"/>
          </w:tcPr>
          <w:p w:rsidRPr="00391600" w:rsidR="004A568A" w:rsidP="00970AC4" w:rsidRDefault="004A568A" w14:paraId="116679A6" w14:textId="77777777">
            <w:pPr>
              <w:rPr>
                <w:rFonts w:ascii="Palatino Linotype" w:hAnsi="Palatino Linotype"/>
                <w:sz w:val="20"/>
                <w:szCs w:val="20"/>
              </w:rPr>
            </w:pPr>
            <w:r w:rsidRPr="00391600">
              <w:rPr>
                <w:rFonts w:ascii="Palatino Linotype" w:hAnsi="Palatino Linotype"/>
                <w:sz w:val="20"/>
                <w:szCs w:val="20"/>
              </w:rPr>
              <w:t>05/09/2026</w:t>
            </w:r>
          </w:p>
        </w:tc>
        <w:tc>
          <w:tcPr>
            <w:tcW w:w="1380" w:type="dxa"/>
            <w:tcBorders>
              <w:right w:val="single" w:color="auto" w:sz="4" w:space="0"/>
            </w:tcBorders>
            <w:vAlign w:val="center"/>
          </w:tcPr>
          <w:p w:rsidRPr="00391600" w:rsidR="004A568A" w:rsidP="00970AC4" w:rsidRDefault="004A568A" w14:paraId="23558569" w14:textId="77777777">
            <w:pPr>
              <w:rPr>
                <w:rFonts w:ascii="Palatino Linotype" w:hAnsi="Palatino Linotype"/>
                <w:sz w:val="20"/>
                <w:szCs w:val="20"/>
              </w:rPr>
            </w:pPr>
            <w:r w:rsidRPr="00391600">
              <w:rPr>
                <w:rFonts w:ascii="Palatino Linotype" w:hAnsi="Palatino Linotype"/>
                <w:sz w:val="20"/>
                <w:szCs w:val="20"/>
              </w:rPr>
              <w:t>05/09/2030</w:t>
            </w:r>
          </w:p>
        </w:tc>
        <w:tc>
          <w:tcPr>
            <w:tcW w:w="296" w:type="dxa"/>
            <w:gridSpan w:val="2"/>
            <w:tcBorders>
              <w:top w:val="single" w:color="auto" w:sz="4" w:space="0"/>
              <w:left w:val="single" w:color="auto" w:sz="4" w:space="0"/>
              <w:bottom w:val="single" w:color="auto" w:sz="4" w:space="0"/>
              <w:right w:val="nil"/>
            </w:tcBorders>
            <w:vAlign w:val="center"/>
          </w:tcPr>
          <w:p w:rsidRPr="00391600" w:rsidR="004A568A" w:rsidP="00970AC4" w:rsidRDefault="004A568A" w14:paraId="27C86ED7" w14:textId="5ACD4838">
            <w:pPr>
              <w:rPr>
                <w:rFonts w:ascii="Palatino Linotype" w:hAnsi="Palatino Linotype"/>
                <w:sz w:val="20"/>
                <w:szCs w:val="20"/>
              </w:rPr>
            </w:pPr>
            <w:r w:rsidRPr="00391600">
              <w:rPr>
                <w:rFonts w:ascii="Palatino Linotype" w:hAnsi="Palatino Linotype"/>
                <w:sz w:val="20"/>
                <w:szCs w:val="20"/>
              </w:rPr>
              <w:t>$</w:t>
            </w:r>
          </w:p>
        </w:tc>
        <w:tc>
          <w:tcPr>
            <w:tcW w:w="1594" w:type="dxa"/>
            <w:gridSpan w:val="2"/>
            <w:tcBorders>
              <w:top w:val="single" w:color="auto" w:sz="4" w:space="0"/>
              <w:left w:val="nil"/>
              <w:bottom w:val="single" w:color="auto" w:sz="4" w:space="0"/>
              <w:right w:val="single" w:color="auto" w:sz="4" w:space="0"/>
            </w:tcBorders>
            <w:vAlign w:val="center"/>
          </w:tcPr>
          <w:p w:rsidRPr="00391600" w:rsidR="004A568A" w:rsidP="004A568A" w:rsidRDefault="004A568A" w14:paraId="22EBD826" w14:textId="76F9F993">
            <w:pPr>
              <w:jc w:val="right"/>
              <w:rPr>
                <w:rFonts w:ascii="Palatino Linotype" w:hAnsi="Palatino Linotype"/>
                <w:sz w:val="20"/>
                <w:szCs w:val="20"/>
              </w:rPr>
            </w:pPr>
            <w:r w:rsidRPr="00391600">
              <w:rPr>
                <w:rFonts w:ascii="Palatino Linotype" w:hAnsi="Palatino Linotype"/>
                <w:sz w:val="20"/>
                <w:szCs w:val="20"/>
              </w:rPr>
              <w:t>5,000,016</w:t>
            </w:r>
          </w:p>
        </w:tc>
        <w:tc>
          <w:tcPr>
            <w:tcW w:w="236" w:type="dxa"/>
            <w:tcBorders>
              <w:top w:val="single" w:color="auto" w:sz="4" w:space="0"/>
              <w:left w:val="single" w:color="auto" w:sz="4" w:space="0"/>
              <w:bottom w:val="single" w:color="auto" w:sz="4" w:space="0"/>
              <w:right w:val="nil"/>
            </w:tcBorders>
            <w:vAlign w:val="center"/>
          </w:tcPr>
          <w:p w:rsidRPr="00391600" w:rsidR="004A568A" w:rsidP="00970AC4" w:rsidRDefault="004A568A" w14:paraId="02D57080" w14:textId="7327005E">
            <w:pPr>
              <w:rPr>
                <w:rFonts w:ascii="Palatino Linotype" w:hAnsi="Palatino Linotype"/>
                <w:sz w:val="20"/>
                <w:szCs w:val="20"/>
              </w:rPr>
            </w:pPr>
            <w:r w:rsidRPr="00391600">
              <w:rPr>
                <w:rFonts w:ascii="Palatino Linotype" w:hAnsi="Palatino Linotype"/>
                <w:sz w:val="20"/>
                <w:szCs w:val="20"/>
              </w:rPr>
              <w:t>$</w:t>
            </w:r>
          </w:p>
        </w:tc>
        <w:tc>
          <w:tcPr>
            <w:tcW w:w="2014" w:type="dxa"/>
            <w:gridSpan w:val="2"/>
            <w:tcBorders>
              <w:top w:val="single" w:color="auto" w:sz="4" w:space="0"/>
              <w:left w:val="nil"/>
              <w:bottom w:val="single" w:color="auto" w:sz="4" w:space="0"/>
              <w:right w:val="single" w:color="auto" w:sz="4" w:space="0"/>
            </w:tcBorders>
            <w:vAlign w:val="center"/>
          </w:tcPr>
          <w:p w:rsidRPr="00391600" w:rsidR="004A568A" w:rsidP="00970AC4" w:rsidRDefault="004A568A" w14:paraId="4CCFFCD3" w14:textId="10FEE5AA">
            <w:pPr>
              <w:jc w:val="right"/>
              <w:rPr>
                <w:rFonts w:ascii="Palatino Linotype" w:hAnsi="Palatino Linotype"/>
                <w:sz w:val="20"/>
                <w:szCs w:val="20"/>
              </w:rPr>
            </w:pPr>
            <w:r w:rsidRPr="00391600">
              <w:rPr>
                <w:rFonts w:ascii="Palatino Linotype" w:hAnsi="Palatino Linotype"/>
                <w:sz w:val="20"/>
                <w:szCs w:val="20"/>
              </w:rPr>
              <w:t>0**</w:t>
            </w:r>
          </w:p>
        </w:tc>
      </w:tr>
      <w:tr w:rsidRPr="00391600" w:rsidR="003F491C" w:rsidTr="6FAFEDE3" w14:paraId="5F6B9824" w14:textId="3A460AD0">
        <w:tc>
          <w:tcPr>
            <w:tcW w:w="9985" w:type="dxa"/>
            <w:gridSpan w:val="5"/>
            <w:tcBorders>
              <w:right w:val="single" w:color="auto" w:sz="4" w:space="0"/>
            </w:tcBorders>
            <w:vAlign w:val="center"/>
          </w:tcPr>
          <w:p w:rsidRPr="00391600" w:rsidR="003F491C" w:rsidP="004A568A" w:rsidRDefault="003F491C" w14:paraId="2BF6F587" w14:textId="77777777">
            <w:pPr>
              <w:jc w:val="right"/>
              <w:rPr>
                <w:rFonts w:ascii="Palatino Linotype" w:hAnsi="Palatino Linotype"/>
                <w:sz w:val="20"/>
                <w:szCs w:val="20"/>
              </w:rPr>
            </w:pPr>
            <w:r w:rsidRPr="00391600">
              <w:rPr>
                <w:rFonts w:ascii="Palatino Linotype" w:hAnsi="Palatino Linotype"/>
                <w:sz w:val="20"/>
                <w:szCs w:val="20"/>
              </w:rPr>
              <w:t>TOTAL:</w:t>
            </w:r>
          </w:p>
        </w:tc>
        <w:tc>
          <w:tcPr>
            <w:tcW w:w="630" w:type="dxa"/>
            <w:gridSpan w:val="3"/>
            <w:tcBorders>
              <w:top w:val="single" w:color="auto" w:sz="4" w:space="0"/>
              <w:left w:val="single" w:color="auto" w:sz="4" w:space="0"/>
              <w:bottom w:val="single" w:color="auto" w:sz="4" w:space="0"/>
              <w:right w:val="nil"/>
            </w:tcBorders>
            <w:vAlign w:val="center"/>
          </w:tcPr>
          <w:p w:rsidRPr="00391600" w:rsidR="003F491C" w:rsidP="00970AC4" w:rsidRDefault="003F491C" w14:paraId="293F1536" w14:textId="3411DA78">
            <w:pPr>
              <w:rPr>
                <w:rFonts w:ascii="Palatino Linotype" w:hAnsi="Palatino Linotype"/>
                <w:sz w:val="20"/>
                <w:szCs w:val="20"/>
              </w:rPr>
            </w:pPr>
            <w:r w:rsidRPr="00391600">
              <w:rPr>
                <w:rFonts w:ascii="Palatino Linotype" w:hAnsi="Palatino Linotype"/>
                <w:sz w:val="20"/>
                <w:szCs w:val="20"/>
              </w:rPr>
              <w:t>$</w:t>
            </w:r>
          </w:p>
        </w:tc>
        <w:tc>
          <w:tcPr>
            <w:tcW w:w="1260" w:type="dxa"/>
            <w:tcBorders>
              <w:top w:val="single" w:color="auto" w:sz="4" w:space="0"/>
              <w:left w:val="nil"/>
              <w:bottom w:val="single" w:color="auto" w:sz="4" w:space="0"/>
              <w:right w:val="single" w:color="auto" w:sz="4" w:space="0"/>
            </w:tcBorders>
            <w:vAlign w:val="center"/>
          </w:tcPr>
          <w:p w:rsidRPr="00391600" w:rsidR="003F491C" w:rsidP="004A568A" w:rsidRDefault="003F491C" w14:paraId="21C4C2D8" w14:textId="47C69B42">
            <w:pPr>
              <w:jc w:val="right"/>
              <w:rPr>
                <w:rFonts w:ascii="Palatino Linotype" w:hAnsi="Palatino Linotype"/>
                <w:sz w:val="20"/>
                <w:szCs w:val="20"/>
              </w:rPr>
            </w:pPr>
            <w:r w:rsidRPr="00391600">
              <w:rPr>
                <w:rFonts w:ascii="Palatino Linotype" w:hAnsi="Palatino Linotype"/>
                <w:sz w:val="20"/>
                <w:szCs w:val="20"/>
              </w:rPr>
              <w:t>23,343,525</w:t>
            </w:r>
          </w:p>
        </w:tc>
        <w:tc>
          <w:tcPr>
            <w:tcW w:w="540" w:type="dxa"/>
            <w:gridSpan w:val="2"/>
            <w:tcBorders>
              <w:top w:val="single" w:color="auto" w:sz="4" w:space="0"/>
              <w:left w:val="single" w:color="auto" w:sz="4" w:space="0"/>
              <w:bottom w:val="single" w:color="auto" w:sz="4" w:space="0"/>
              <w:right w:val="nil"/>
            </w:tcBorders>
            <w:vAlign w:val="center"/>
          </w:tcPr>
          <w:p w:rsidRPr="00391600" w:rsidR="003F491C" w:rsidP="00970AC4" w:rsidRDefault="003F491C" w14:paraId="051D8FE2" w14:textId="0CDD52F9">
            <w:pPr>
              <w:rPr>
                <w:rFonts w:ascii="Palatino Linotype" w:hAnsi="Palatino Linotype"/>
                <w:sz w:val="20"/>
                <w:szCs w:val="20"/>
              </w:rPr>
            </w:pPr>
            <w:r w:rsidRPr="00391600">
              <w:rPr>
                <w:rFonts w:ascii="Palatino Linotype" w:hAnsi="Palatino Linotype"/>
                <w:sz w:val="20"/>
                <w:szCs w:val="20"/>
              </w:rPr>
              <w:t>$</w:t>
            </w:r>
          </w:p>
        </w:tc>
        <w:tc>
          <w:tcPr>
            <w:tcW w:w="1710" w:type="dxa"/>
            <w:tcBorders>
              <w:top w:val="single" w:color="auto" w:sz="4" w:space="0"/>
              <w:left w:val="nil"/>
              <w:bottom w:val="single" w:color="auto" w:sz="4" w:space="0"/>
              <w:right w:val="single" w:color="auto" w:sz="4" w:space="0"/>
            </w:tcBorders>
            <w:vAlign w:val="center"/>
          </w:tcPr>
          <w:p w:rsidRPr="00391600" w:rsidR="003F491C" w:rsidP="00970AC4" w:rsidRDefault="003F491C" w14:paraId="518E2606" w14:textId="1DBD7683">
            <w:pPr>
              <w:jc w:val="right"/>
              <w:rPr>
                <w:rFonts w:ascii="Palatino Linotype" w:hAnsi="Palatino Linotype"/>
              </w:rPr>
            </w:pPr>
            <w:r w:rsidRPr="00391600">
              <w:rPr>
                <w:rFonts w:ascii="Palatino Linotype" w:hAnsi="Palatino Linotype"/>
                <w:sz w:val="20"/>
                <w:szCs w:val="20"/>
              </w:rPr>
              <w:t>7,733,165</w:t>
            </w:r>
          </w:p>
        </w:tc>
      </w:tr>
      <w:tr w:rsidRPr="00391600" w:rsidR="003F491C" w:rsidTr="6FAFEDE3" w14:paraId="5CE86EF5" w14:textId="77777777">
        <w:tc>
          <w:tcPr>
            <w:tcW w:w="9985" w:type="dxa"/>
            <w:gridSpan w:val="5"/>
            <w:tcBorders>
              <w:top w:val="single" w:color="auto" w:sz="4" w:space="0"/>
              <w:right w:val="single" w:color="auto" w:sz="4" w:space="0"/>
            </w:tcBorders>
            <w:vAlign w:val="center"/>
          </w:tcPr>
          <w:p w:rsidRPr="00391600" w:rsidR="003F491C" w:rsidP="004A568A" w:rsidRDefault="003F491C" w14:paraId="3DB88F32" w14:textId="2E211B9F">
            <w:pPr>
              <w:jc w:val="right"/>
              <w:rPr>
                <w:rFonts w:ascii="Palatino Linotype" w:hAnsi="Palatino Linotype"/>
                <w:sz w:val="20"/>
                <w:szCs w:val="20"/>
              </w:rPr>
            </w:pPr>
            <w:r w:rsidRPr="00391600">
              <w:rPr>
                <w:rFonts w:ascii="Palatino Linotype" w:hAnsi="Palatino Linotype"/>
                <w:b/>
                <w:bCs/>
                <w:color w:val="000000" w:themeColor="text1"/>
                <w:sz w:val="20"/>
                <w:szCs w:val="20"/>
              </w:rPr>
              <w:t xml:space="preserve">TOTAL </w:t>
            </w:r>
            <w:r w:rsidRPr="00391600" w:rsidR="00393946">
              <w:rPr>
                <w:rFonts w:ascii="Palatino Linotype" w:hAnsi="Palatino Linotype"/>
                <w:b/>
                <w:bCs/>
                <w:color w:val="000000" w:themeColor="text1"/>
                <w:sz w:val="20"/>
                <w:szCs w:val="20"/>
              </w:rPr>
              <w:t xml:space="preserve">IDENTIFIED </w:t>
            </w:r>
            <w:r w:rsidRPr="00391600">
              <w:rPr>
                <w:rFonts w:ascii="Palatino Linotype" w:hAnsi="Palatino Linotype"/>
                <w:b/>
                <w:color w:val="000000" w:themeColor="text1"/>
                <w:sz w:val="20"/>
                <w:szCs w:val="20"/>
              </w:rPr>
              <w:t xml:space="preserve">UNSPENT </w:t>
            </w:r>
            <w:r w:rsidRPr="00391600">
              <w:rPr>
                <w:rFonts w:ascii="Palatino Linotype" w:hAnsi="Palatino Linotype"/>
                <w:b/>
                <w:bCs/>
                <w:sz w:val="20"/>
                <w:szCs w:val="20"/>
              </w:rPr>
              <w:t>FUNDS:</w:t>
            </w:r>
          </w:p>
        </w:tc>
        <w:tc>
          <w:tcPr>
            <w:tcW w:w="270" w:type="dxa"/>
            <w:tcBorders>
              <w:top w:val="single" w:color="auto" w:sz="4" w:space="0"/>
              <w:left w:val="single" w:color="auto" w:sz="4" w:space="0"/>
              <w:bottom w:val="single" w:color="auto" w:sz="4" w:space="0"/>
              <w:right w:val="nil"/>
            </w:tcBorders>
            <w:vAlign w:val="center"/>
          </w:tcPr>
          <w:p w:rsidRPr="00391600" w:rsidR="003F491C" w:rsidP="00970AC4" w:rsidRDefault="003F491C" w14:paraId="7A324C54" w14:textId="08784B92">
            <w:pPr>
              <w:rPr>
                <w:rFonts w:ascii="Palatino Linotype" w:hAnsi="Palatino Linotype"/>
                <w:b/>
                <w:bCs/>
                <w:sz w:val="20"/>
                <w:szCs w:val="20"/>
              </w:rPr>
            </w:pPr>
            <w:r w:rsidRPr="00391600">
              <w:rPr>
                <w:rFonts w:ascii="Palatino Linotype" w:hAnsi="Palatino Linotype"/>
                <w:b/>
                <w:bCs/>
                <w:sz w:val="20"/>
                <w:szCs w:val="20"/>
              </w:rPr>
              <w:t>$</w:t>
            </w:r>
          </w:p>
        </w:tc>
        <w:tc>
          <w:tcPr>
            <w:tcW w:w="3870" w:type="dxa"/>
            <w:gridSpan w:val="6"/>
            <w:tcBorders>
              <w:top w:val="single" w:color="auto" w:sz="4" w:space="0"/>
              <w:left w:val="nil"/>
              <w:bottom w:val="single" w:color="auto" w:sz="4" w:space="0"/>
              <w:right w:val="single" w:color="auto" w:sz="4" w:space="0"/>
            </w:tcBorders>
            <w:vAlign w:val="center"/>
          </w:tcPr>
          <w:p w:rsidRPr="00391600" w:rsidR="003F491C" w:rsidP="00970AC4" w:rsidRDefault="003F491C" w14:paraId="6C5A3D24" w14:textId="3382A953">
            <w:pPr>
              <w:jc w:val="center"/>
              <w:rPr>
                <w:rFonts w:ascii="Palatino Linotype" w:hAnsi="Palatino Linotype"/>
                <w:b/>
                <w:bCs/>
                <w:sz w:val="20"/>
                <w:szCs w:val="20"/>
              </w:rPr>
            </w:pPr>
            <w:r w:rsidRPr="00391600">
              <w:rPr>
                <w:rFonts w:ascii="Palatino Linotype" w:hAnsi="Palatino Linotype"/>
                <w:b/>
                <w:bCs/>
                <w:sz w:val="20"/>
                <w:szCs w:val="20"/>
              </w:rPr>
              <w:t>$31,076,69</w:t>
            </w:r>
            <w:r w:rsidRPr="00391600" w:rsidR="004D4A90">
              <w:rPr>
                <w:rFonts w:ascii="Palatino Linotype" w:hAnsi="Palatino Linotype"/>
                <w:b/>
                <w:bCs/>
                <w:sz w:val="20"/>
                <w:szCs w:val="20"/>
              </w:rPr>
              <w:t>0</w:t>
            </w:r>
          </w:p>
        </w:tc>
      </w:tr>
    </w:tbl>
    <w:p w:rsidRPr="00391600" w:rsidR="005E4979" w:rsidP="005E4979" w:rsidRDefault="005E4979" w14:paraId="5FC7E835" w14:textId="610BC07D">
      <w:pPr>
        <w:spacing w:before="240" w:after="0"/>
        <w:rPr>
          <w:rFonts w:ascii="Palatino Linotype" w:hAnsi="Palatino Linotype"/>
          <w:bCs/>
          <w:i/>
          <w:iCs/>
          <w:sz w:val="20"/>
          <w:szCs w:val="20"/>
        </w:rPr>
      </w:pPr>
      <w:r w:rsidRPr="00391600">
        <w:rPr>
          <w:rFonts w:ascii="Palatino Linotype" w:hAnsi="Palatino Linotype"/>
          <w:bCs/>
          <w:i/>
          <w:iCs/>
          <w:sz w:val="20"/>
          <w:szCs w:val="20"/>
        </w:rPr>
        <w:t xml:space="preserve">*Information in indicated columns are pulled from CEC’s </w:t>
      </w:r>
      <w:r w:rsidRPr="00391600" w:rsidR="0056763F">
        <w:rPr>
          <w:rFonts w:ascii="Palatino Linotype" w:hAnsi="Palatino Linotype"/>
          <w:bCs/>
          <w:i/>
          <w:iCs/>
          <w:sz w:val="20"/>
          <w:szCs w:val="20"/>
        </w:rPr>
        <w:t>d</w:t>
      </w:r>
      <w:r w:rsidRPr="00391600">
        <w:rPr>
          <w:rFonts w:ascii="Palatino Linotype" w:hAnsi="Palatino Linotype"/>
          <w:bCs/>
          <w:i/>
          <w:iCs/>
          <w:sz w:val="20"/>
          <w:szCs w:val="20"/>
        </w:rPr>
        <w:t xml:space="preserve">ata </w:t>
      </w:r>
      <w:r w:rsidRPr="00391600" w:rsidR="0056763F">
        <w:rPr>
          <w:rFonts w:ascii="Palatino Linotype" w:hAnsi="Palatino Linotype"/>
          <w:bCs/>
          <w:i/>
          <w:iCs/>
          <w:sz w:val="20"/>
          <w:szCs w:val="20"/>
        </w:rPr>
        <w:t>r</w:t>
      </w:r>
      <w:r w:rsidRPr="00391600">
        <w:rPr>
          <w:rFonts w:ascii="Palatino Linotype" w:hAnsi="Palatino Linotype"/>
          <w:bCs/>
          <w:i/>
          <w:iCs/>
          <w:sz w:val="20"/>
          <w:szCs w:val="20"/>
        </w:rPr>
        <w:t xml:space="preserve">equest </w:t>
      </w:r>
      <w:r w:rsidRPr="00391600" w:rsidR="00BC7BF1">
        <w:rPr>
          <w:rFonts w:ascii="Palatino Linotype" w:hAnsi="Palatino Linotype"/>
          <w:bCs/>
          <w:i/>
          <w:iCs/>
          <w:sz w:val="20"/>
          <w:szCs w:val="20"/>
        </w:rPr>
        <w:t>r</w:t>
      </w:r>
      <w:r w:rsidRPr="00391600">
        <w:rPr>
          <w:rFonts w:ascii="Palatino Linotype" w:hAnsi="Palatino Linotype"/>
          <w:bCs/>
          <w:i/>
          <w:iCs/>
          <w:sz w:val="20"/>
          <w:szCs w:val="20"/>
        </w:rPr>
        <w:t>esponse provided April 30, 2026.</w:t>
      </w:r>
    </w:p>
    <w:p w:rsidR="00BF14DE" w:rsidP="005E4979" w:rsidRDefault="002F78F4" w14:paraId="3D855D6A" w14:textId="77777777">
      <w:pPr>
        <w:rPr>
          <w:rFonts w:ascii="Palatino Linotype" w:hAnsi="Palatino Linotype"/>
          <w:bCs/>
          <w:i/>
          <w:iCs/>
          <w:sz w:val="20"/>
          <w:szCs w:val="20"/>
        </w:rPr>
        <w:sectPr w:rsidR="00BF14DE" w:rsidSect="00122075">
          <w:pgSz w:w="15840" w:h="12240" w:orient="landscape"/>
          <w:pgMar w:top="720" w:right="720" w:bottom="720" w:left="720" w:header="720" w:footer="720" w:gutter="0"/>
          <w:cols w:space="720"/>
          <w:docGrid w:linePitch="360"/>
        </w:sectPr>
      </w:pPr>
      <w:r w:rsidRPr="00391600">
        <w:rPr>
          <w:rFonts w:ascii="Palatino Linotype" w:hAnsi="Palatino Linotype"/>
          <w:bCs/>
          <w:i/>
          <w:iCs/>
          <w:sz w:val="20"/>
          <w:szCs w:val="20"/>
        </w:rPr>
        <w:t>*</w:t>
      </w:r>
      <w:r w:rsidRPr="00391600" w:rsidR="005E4979">
        <w:rPr>
          <w:rFonts w:ascii="Palatino Linotype" w:hAnsi="Palatino Linotype"/>
          <w:bCs/>
          <w:i/>
          <w:iCs/>
          <w:sz w:val="20"/>
          <w:szCs w:val="20"/>
        </w:rPr>
        <w:t>*</w:t>
      </w:r>
      <w:r w:rsidRPr="00391600">
        <w:rPr>
          <w:rFonts w:ascii="Palatino Linotype" w:hAnsi="Palatino Linotype"/>
          <w:bCs/>
          <w:i/>
          <w:iCs/>
          <w:sz w:val="20"/>
          <w:szCs w:val="20"/>
        </w:rPr>
        <w:t>Unspent Encumbered Funds balance is not $0</w:t>
      </w:r>
      <w:r w:rsidRPr="00391600" w:rsidR="00BC7BF1">
        <w:rPr>
          <w:rFonts w:ascii="Palatino Linotype" w:hAnsi="Palatino Linotype"/>
          <w:bCs/>
          <w:i/>
          <w:iCs/>
          <w:sz w:val="20"/>
          <w:szCs w:val="20"/>
        </w:rPr>
        <w:t>,</w:t>
      </w:r>
      <w:r w:rsidRPr="00391600">
        <w:rPr>
          <w:rFonts w:ascii="Palatino Linotype" w:hAnsi="Palatino Linotype"/>
          <w:bCs/>
          <w:i/>
          <w:iCs/>
          <w:sz w:val="20"/>
          <w:szCs w:val="20"/>
        </w:rPr>
        <w:t xml:space="preserve"> but </w:t>
      </w:r>
      <w:r w:rsidRPr="00391600" w:rsidR="00FE7ECC">
        <w:rPr>
          <w:rFonts w:ascii="Palatino Linotype" w:hAnsi="Palatino Linotype"/>
          <w:bCs/>
          <w:i/>
          <w:iCs/>
          <w:sz w:val="20"/>
          <w:szCs w:val="20"/>
        </w:rPr>
        <w:t>less than four years have passed since encumbrance</w:t>
      </w:r>
      <w:r w:rsidRPr="00391600" w:rsidR="009B61BB">
        <w:rPr>
          <w:rFonts w:ascii="Palatino Linotype" w:hAnsi="Palatino Linotype"/>
          <w:bCs/>
          <w:i/>
          <w:iCs/>
          <w:sz w:val="20"/>
          <w:szCs w:val="20"/>
        </w:rPr>
        <w:t>.</w:t>
      </w:r>
      <w:r w:rsidRPr="00391600">
        <w:rPr>
          <w:rFonts w:ascii="Palatino Linotype" w:hAnsi="Palatino Linotype"/>
          <w:bCs/>
          <w:i/>
          <w:iCs/>
          <w:sz w:val="20"/>
          <w:szCs w:val="20"/>
        </w:rPr>
        <w:t xml:space="preserve"> </w:t>
      </w:r>
      <w:r w:rsidRPr="00391600" w:rsidR="00D36239">
        <w:rPr>
          <w:rFonts w:ascii="Palatino Linotype" w:hAnsi="Palatino Linotype"/>
          <w:bCs/>
          <w:i/>
          <w:iCs/>
          <w:sz w:val="20"/>
          <w:szCs w:val="20"/>
        </w:rPr>
        <w:t xml:space="preserve">Note: CEC’s reported balance of </w:t>
      </w:r>
      <w:r w:rsidRPr="00391600" w:rsidR="00E435AA">
        <w:rPr>
          <w:rFonts w:ascii="Palatino Linotype" w:hAnsi="Palatino Linotype"/>
          <w:bCs/>
          <w:i/>
          <w:iCs/>
          <w:sz w:val="20"/>
          <w:szCs w:val="20"/>
        </w:rPr>
        <w:t>approved funds within encumbrance and spending windows is $53,603,242.</w:t>
      </w:r>
    </w:p>
    <w:p w:rsidR="009512E3" w:rsidP="00EB64CC" w:rsidRDefault="009512E3" w14:paraId="23E64B3E" w14:textId="77777777">
      <w:pPr>
        <w:spacing w:line="240" w:lineRule="auto"/>
        <w:rPr>
          <w:rFonts w:ascii="Palatino Linotype" w:hAnsi="Palatino Linotype"/>
          <w:b/>
        </w:rPr>
      </w:pPr>
    </w:p>
    <w:p w:rsidR="009512E3" w:rsidP="00EB64CC" w:rsidRDefault="009512E3" w14:paraId="604156EB" w14:textId="77777777">
      <w:pPr>
        <w:spacing w:line="240" w:lineRule="auto"/>
        <w:rPr>
          <w:rFonts w:ascii="Palatino Linotype" w:hAnsi="Palatino Linotype"/>
          <w:b/>
        </w:rPr>
      </w:pPr>
    </w:p>
    <w:p w:rsidR="009512E3" w:rsidP="00EB64CC" w:rsidRDefault="009512E3" w14:paraId="1CE0827C" w14:textId="77777777">
      <w:pPr>
        <w:spacing w:line="240" w:lineRule="auto"/>
        <w:rPr>
          <w:rFonts w:ascii="Palatino Linotype" w:hAnsi="Palatino Linotype"/>
          <w:b/>
        </w:rPr>
      </w:pPr>
    </w:p>
    <w:p w:rsidR="009512E3" w:rsidP="00EB64CC" w:rsidRDefault="009512E3" w14:paraId="0443024C" w14:textId="77777777">
      <w:pPr>
        <w:spacing w:line="240" w:lineRule="auto"/>
        <w:rPr>
          <w:rFonts w:ascii="Palatino Linotype" w:hAnsi="Palatino Linotype"/>
          <w:b/>
        </w:rPr>
      </w:pPr>
    </w:p>
    <w:p w:rsidRPr="000D0BB2" w:rsidR="009512E3" w:rsidP="009512E3" w:rsidRDefault="009512E3" w14:paraId="4AC1D907" w14:textId="7E63E2FE">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G</w:t>
      </w:r>
    </w:p>
    <w:p w:rsidR="009512E3" w:rsidP="00EB64CC" w:rsidRDefault="009512E3" w14:paraId="5306A50C" w14:textId="77777777">
      <w:pPr>
        <w:spacing w:line="240" w:lineRule="auto"/>
        <w:rPr>
          <w:rFonts w:ascii="Palatino Linotype" w:hAnsi="Palatino Linotype"/>
          <w:b/>
        </w:rPr>
      </w:pPr>
    </w:p>
    <w:p w:rsidR="009512E3" w:rsidP="00EB64CC" w:rsidRDefault="009512E3" w14:paraId="4E8397AA" w14:textId="77777777">
      <w:pPr>
        <w:spacing w:line="240" w:lineRule="auto"/>
        <w:rPr>
          <w:rFonts w:ascii="Palatino Linotype" w:hAnsi="Palatino Linotype"/>
          <w:b/>
        </w:rPr>
      </w:pPr>
    </w:p>
    <w:p w:rsidR="009512E3" w:rsidP="00EB64CC" w:rsidRDefault="009512E3" w14:paraId="1F3F5D76" w14:textId="77777777">
      <w:pPr>
        <w:spacing w:line="240" w:lineRule="auto"/>
        <w:rPr>
          <w:rFonts w:ascii="Palatino Linotype" w:hAnsi="Palatino Linotype"/>
          <w:b/>
        </w:rPr>
      </w:pPr>
    </w:p>
    <w:p w:rsidR="009512E3" w:rsidP="00EB64CC" w:rsidRDefault="009512E3" w14:paraId="2C6051E6" w14:textId="77777777">
      <w:pPr>
        <w:spacing w:line="240" w:lineRule="auto"/>
        <w:rPr>
          <w:rFonts w:ascii="Palatino Linotype" w:hAnsi="Palatino Linotype"/>
          <w:b/>
        </w:rPr>
      </w:pPr>
    </w:p>
    <w:p w:rsidR="009512E3" w:rsidP="00EB64CC" w:rsidRDefault="009512E3" w14:paraId="62438B6F" w14:textId="77777777">
      <w:pPr>
        <w:spacing w:line="240" w:lineRule="auto"/>
        <w:rPr>
          <w:rFonts w:ascii="Palatino Linotype" w:hAnsi="Palatino Linotype"/>
          <w:b/>
        </w:rPr>
      </w:pPr>
    </w:p>
    <w:p w:rsidR="009512E3" w:rsidP="00EB64CC" w:rsidRDefault="009512E3" w14:paraId="5449019B" w14:textId="77777777">
      <w:pPr>
        <w:spacing w:line="240" w:lineRule="auto"/>
        <w:rPr>
          <w:rFonts w:ascii="Palatino Linotype" w:hAnsi="Palatino Linotype"/>
          <w:b/>
        </w:rPr>
        <w:sectPr w:rsidR="009512E3" w:rsidSect="004A39B4">
          <w:footerReference w:type="default" r:id="rId71"/>
          <w:pgSz w:w="15840" w:h="12240" w:orient="landscape"/>
          <w:pgMar w:top="720" w:right="720" w:bottom="720" w:left="720" w:header="720" w:footer="720" w:gutter="0"/>
          <w:pgNumType w:start="1"/>
          <w:cols w:space="720"/>
          <w:docGrid w:linePitch="360"/>
        </w:sectPr>
      </w:pPr>
    </w:p>
    <w:p w:rsidRPr="00391600" w:rsidR="002F78F4" w:rsidP="00EB64CC" w:rsidRDefault="002F78F4" w14:paraId="7A3964FA" w14:textId="0632B482">
      <w:pPr>
        <w:spacing w:line="240" w:lineRule="auto"/>
        <w:rPr>
          <w:rFonts w:ascii="Palatino Linotype" w:hAnsi="Palatino Linotype"/>
          <w:b/>
          <w:bCs/>
        </w:rPr>
      </w:pPr>
      <w:r w:rsidRPr="00391600">
        <w:rPr>
          <w:rFonts w:ascii="Palatino Linotype" w:hAnsi="Palatino Linotype"/>
          <w:b/>
        </w:rPr>
        <w:lastRenderedPageBreak/>
        <w:t xml:space="preserve">APPENDIX </w:t>
      </w:r>
      <w:r w:rsidRPr="00391600" w:rsidR="000E0EBD">
        <w:rPr>
          <w:rFonts w:ascii="Palatino Linotype" w:hAnsi="Palatino Linotype"/>
          <w:b/>
        </w:rPr>
        <w:t>G</w:t>
      </w:r>
      <w:r w:rsidRPr="00391600">
        <w:rPr>
          <w:rFonts w:ascii="Palatino Linotype" w:hAnsi="Palatino Linotype"/>
          <w:b/>
        </w:rPr>
        <w:t>: Compliance Assessment of Advice Letter 12-G – 2024 Plan</w:t>
      </w:r>
    </w:p>
    <w:tbl>
      <w:tblPr>
        <w:tblStyle w:val="TableGrid"/>
        <w:tblW w:w="0" w:type="auto"/>
        <w:tblLook w:val="04A0" w:firstRow="1" w:lastRow="0" w:firstColumn="1" w:lastColumn="0" w:noHBand="0" w:noVBand="1"/>
      </w:tblPr>
      <w:tblGrid>
        <w:gridCol w:w="3145"/>
        <w:gridCol w:w="7920"/>
        <w:gridCol w:w="3240"/>
      </w:tblGrid>
      <w:tr w:rsidRPr="00391600" w:rsidR="002F78F4" w:rsidTr="6FAFEDE3" w14:paraId="3C565983" w14:textId="77777777">
        <w:trPr>
          <w:trHeight w:val="340"/>
          <w:tblHeader/>
        </w:trPr>
        <w:tc>
          <w:tcPr>
            <w:tcW w:w="3145" w:type="dxa"/>
            <w:vAlign w:val="center"/>
          </w:tcPr>
          <w:p w:rsidRPr="00391600" w:rsidR="002F78F4" w:rsidP="00BB366A" w:rsidRDefault="002F78F4" w14:paraId="06E3B825" w14:textId="77777777">
            <w:pPr>
              <w:rPr>
                <w:rFonts w:ascii="Palatino Linotype" w:hAnsi="Palatino Linotype"/>
                <w:b/>
                <w:bCs/>
                <w:sz w:val="20"/>
                <w:szCs w:val="20"/>
              </w:rPr>
            </w:pPr>
            <w:r w:rsidRPr="00391600">
              <w:rPr>
                <w:rFonts w:ascii="Palatino Linotype" w:hAnsi="Palatino Linotype"/>
                <w:b/>
                <w:sz w:val="20"/>
                <w:szCs w:val="20"/>
              </w:rPr>
              <w:t>CPUC Requirement</w:t>
            </w:r>
          </w:p>
        </w:tc>
        <w:tc>
          <w:tcPr>
            <w:tcW w:w="7920" w:type="dxa"/>
            <w:vAlign w:val="center"/>
          </w:tcPr>
          <w:p w:rsidRPr="00391600" w:rsidR="002F78F4" w:rsidP="00BB366A" w:rsidRDefault="002F78F4" w14:paraId="691C1784" w14:textId="77777777">
            <w:pPr>
              <w:rPr>
                <w:rFonts w:ascii="Palatino Linotype" w:hAnsi="Palatino Linotype"/>
                <w:b/>
                <w:bCs/>
                <w:sz w:val="20"/>
                <w:szCs w:val="20"/>
              </w:rPr>
            </w:pPr>
            <w:r w:rsidRPr="00391600">
              <w:rPr>
                <w:rFonts w:ascii="Palatino Linotype" w:hAnsi="Palatino Linotype"/>
                <w:b/>
                <w:sz w:val="20"/>
                <w:szCs w:val="20"/>
              </w:rPr>
              <w:t>CEC Response in AL 12-G</w:t>
            </w:r>
          </w:p>
        </w:tc>
        <w:tc>
          <w:tcPr>
            <w:tcW w:w="3240" w:type="dxa"/>
            <w:vAlign w:val="center"/>
          </w:tcPr>
          <w:p w:rsidRPr="00391600" w:rsidR="002F78F4" w:rsidP="00BB366A" w:rsidRDefault="002F78F4" w14:paraId="75BF0601" w14:textId="77777777">
            <w:pPr>
              <w:rPr>
                <w:rFonts w:ascii="Palatino Linotype" w:hAnsi="Palatino Linotype"/>
                <w:b/>
                <w:bCs/>
                <w:color w:val="EE0000"/>
                <w:sz w:val="20"/>
                <w:szCs w:val="20"/>
              </w:rPr>
            </w:pPr>
            <w:r w:rsidRPr="00391600">
              <w:rPr>
                <w:rFonts w:ascii="Palatino Linotype" w:hAnsi="Palatino Linotype"/>
                <w:b/>
                <w:sz w:val="20"/>
                <w:szCs w:val="20"/>
              </w:rPr>
              <w:t>Compliance Assessment</w:t>
            </w:r>
          </w:p>
        </w:tc>
      </w:tr>
      <w:tr w:rsidRPr="00391600" w:rsidR="002F78F4" w:rsidTr="6FAFEDE3" w14:paraId="401C3732" w14:textId="77777777">
        <w:trPr>
          <w:trHeight w:val="655"/>
        </w:trPr>
        <w:tc>
          <w:tcPr>
            <w:tcW w:w="3145" w:type="dxa"/>
          </w:tcPr>
          <w:p w:rsidRPr="00391600" w:rsidR="002F78F4" w:rsidP="00BB366A" w:rsidRDefault="002F78F4" w14:paraId="57B4C7E3" w14:textId="77777777">
            <w:pPr>
              <w:rPr>
                <w:rFonts w:ascii="Palatino Linotype" w:hAnsi="Palatino Linotype"/>
                <w:i/>
                <w:iCs/>
                <w:sz w:val="20"/>
                <w:szCs w:val="20"/>
              </w:rPr>
            </w:pPr>
            <w:r w:rsidRPr="00391600">
              <w:rPr>
                <w:rFonts w:ascii="Palatino Linotype" w:hAnsi="Palatino Linotype"/>
                <w:b/>
                <w:bCs/>
                <w:sz w:val="20"/>
                <w:szCs w:val="20"/>
              </w:rPr>
              <w:t>Public Utilities Code 740.1</w:t>
            </w:r>
            <w:r w:rsidRPr="00391600">
              <w:rPr>
                <w:rFonts w:ascii="Palatino Linotype" w:hAnsi="Palatino Linotype"/>
                <w:sz w:val="20"/>
                <w:szCs w:val="20"/>
              </w:rPr>
              <w:t xml:space="preserve"> at </w:t>
            </w:r>
            <w:r w:rsidRPr="00391600">
              <w:rPr>
                <w:rFonts w:ascii="Palatino Linotype" w:hAnsi="Palatino Linotype" w:eastAsia="Palatino Linotype" w:cs="Times New Roman"/>
                <w:bCs/>
                <w:color w:val="000000" w:themeColor="text1"/>
                <w:kern w:val="0"/>
                <w:sz w:val="20"/>
                <w:szCs w:val="20"/>
                <w14:ligatures w14:val="none"/>
              </w:rPr>
              <w:t>(d)</w:t>
            </w:r>
            <w:r w:rsidRPr="00391600">
              <w:rPr>
                <w:rFonts w:ascii="Palatino Linotype" w:hAnsi="Palatino Linotype" w:eastAsia="Palatino Linotype" w:cs="Times New Roman"/>
                <w:bCs/>
                <w:i/>
                <w:iCs/>
                <w:color w:val="000000" w:themeColor="text1"/>
                <w:kern w:val="0"/>
                <w:sz w:val="20"/>
                <w:szCs w:val="20"/>
                <w14:ligatures w14:val="none"/>
              </w:rPr>
              <w:t xml:space="preserve"> Projects should not unnecessarily duplicate research currently, previously, or imminently undertaken by other electrical or gas corporations or research organizations.</w:t>
            </w:r>
          </w:p>
        </w:tc>
        <w:tc>
          <w:tcPr>
            <w:tcW w:w="7920" w:type="dxa"/>
          </w:tcPr>
          <w:p w:rsidRPr="00391600" w:rsidR="002F78F4" w:rsidP="00BB366A" w:rsidRDefault="002F78F4" w14:paraId="4D652C60" w14:textId="3BEB3157">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Support Equitable, Safe, and Cost-Effective Decarbonization of California’s Gas System</w:t>
            </w:r>
            <w:r w:rsidRPr="00391600">
              <w:rPr>
                <w:rFonts w:ascii="Palatino Linotype" w:hAnsi="Palatino Linotype"/>
                <w:color w:val="000000" w:themeColor="text1"/>
                <w:sz w:val="20"/>
                <w:szCs w:val="20"/>
              </w:rPr>
              <w:t xml:space="preserve">: </w:t>
            </w:r>
            <w:r w:rsidRPr="00391600" w:rsidR="602D045A">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states that "[p]</w:t>
            </w:r>
            <w:proofErr w:type="spellStart"/>
            <w:r w:rsidRPr="00391600">
              <w:rPr>
                <w:rFonts w:ascii="Palatino Linotype" w:hAnsi="Palatino Linotype"/>
                <w:color w:val="000000" w:themeColor="text1"/>
                <w:sz w:val="20"/>
                <w:szCs w:val="20"/>
              </w:rPr>
              <w:t>rojects</w:t>
            </w:r>
            <w:proofErr w:type="spellEnd"/>
            <w:r w:rsidRPr="00391600">
              <w:rPr>
                <w:rFonts w:ascii="Palatino Linotype" w:hAnsi="Palatino Linotype"/>
                <w:color w:val="000000" w:themeColor="text1"/>
                <w:sz w:val="20"/>
                <w:szCs w:val="20"/>
              </w:rPr>
              <w:t xml:space="preserve"> funded by earlier Gas R&amp;D decommissioning initiatives are continuing to make progress in compiling infrastructure and other geospatial data in guiding planning, assessing air quality impacts of reducing fossil gas use, and analyzing location-specific data to identify promising candidate pilot sites for infrastructure decommissioning."</w:t>
            </w:r>
            <w:r w:rsidRPr="00391600">
              <w:rPr>
                <w:rStyle w:val="FootnoteReference"/>
                <w:rFonts w:ascii="Palatino Linotype" w:hAnsi="Palatino Linotype"/>
                <w:color w:val="000000" w:themeColor="text1"/>
                <w:sz w:val="20"/>
                <w:szCs w:val="20"/>
              </w:rPr>
              <w:footnoteReference w:id="183"/>
            </w:r>
            <w:r w:rsidRPr="00391600">
              <w:rPr>
                <w:rFonts w:ascii="Palatino Linotype" w:hAnsi="Palatino Linotype"/>
                <w:color w:val="000000" w:themeColor="text1"/>
                <w:sz w:val="20"/>
                <w:szCs w:val="20"/>
              </w:rPr>
              <w:t xml:space="preserve"> Under Expected Initiative Outcomes, </w:t>
            </w:r>
            <w:r w:rsidRPr="00391600" w:rsidR="602D045A">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lists "[s]</w:t>
            </w:r>
            <w:proofErr w:type="spellStart"/>
            <w:r w:rsidRPr="00391600">
              <w:rPr>
                <w:rFonts w:ascii="Palatino Linotype" w:hAnsi="Palatino Linotype"/>
                <w:color w:val="000000" w:themeColor="text1"/>
                <w:sz w:val="20"/>
                <w:szCs w:val="20"/>
              </w:rPr>
              <w:t>ynthesizing</w:t>
            </w:r>
            <w:proofErr w:type="spellEnd"/>
            <w:r w:rsidRPr="00391600">
              <w:rPr>
                <w:rFonts w:ascii="Palatino Linotype" w:hAnsi="Palatino Linotype"/>
                <w:color w:val="000000" w:themeColor="text1"/>
                <w:sz w:val="20"/>
                <w:szCs w:val="20"/>
              </w:rPr>
              <w:t xml:space="preserve"> and communicating evidence of air quality impacts, health implications, and other costs and benefits from converting from fossil gas, including attention to the distribution of these impacts. This work could draw data from a variety of existing resources, e.g., measured data on air exchange rates in homes along with house square footage as collected during home energy upgrade programs, and pollutant concentration data from indoor air quality research. It could then use a combination of data to model impacts."</w:t>
            </w:r>
            <w:r w:rsidRPr="00391600">
              <w:rPr>
                <w:rStyle w:val="FootnoteReference"/>
                <w:rFonts w:ascii="Palatino Linotype" w:hAnsi="Palatino Linotype"/>
                <w:color w:val="000000" w:themeColor="text1"/>
                <w:sz w:val="20"/>
                <w:szCs w:val="20"/>
              </w:rPr>
              <w:footnoteReference w:id="184"/>
            </w:r>
            <w:r w:rsidRPr="00391600">
              <w:rPr>
                <w:rFonts w:ascii="Palatino Linotype" w:hAnsi="Palatino Linotype"/>
                <w:color w:val="000000" w:themeColor="text1"/>
                <w:sz w:val="20"/>
                <w:szCs w:val="20"/>
              </w:rPr>
              <w:t xml:space="preserve"> In Appendix D: List of 2023 Gas R&amp;D Events, CEC lists (1) a Pre-Application Workshop: Quantifying Exposures to Indoor Air Pollutants in Multifamily Homes that Cook with Gas or Alternatives (GFO-23-501) in November 2023 and (2) Meeting of the California Energy Commission’s Healthy, Equitable Energy Transition (HEET) Working Group, covering the theme “Understanding Air Quality and Equity Impacts of Clean Energy Interventions Using Models and Measurements” in December 2023.</w:t>
            </w:r>
          </w:p>
          <w:p w:rsidRPr="00391600" w:rsidR="002F78F4" w:rsidP="00BB366A" w:rsidRDefault="002F78F4" w14:paraId="3D6441B5" w14:textId="69DBC37C">
            <w:pPr>
              <w:rPr>
                <w:rFonts w:ascii="Palatino Linotype" w:hAnsi="Palatino Linotype"/>
                <w:bCs/>
                <w:color w:val="A6A6A6" w:themeColor="background1" w:themeShade="A6"/>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Innovations for Cost-Effective Operation and Maintenance of Critical Infrastructure During the Gas Transition</w:t>
            </w:r>
            <w:r w:rsidRPr="00391600">
              <w:rPr>
                <w:rFonts w:ascii="Palatino Linotype" w:hAnsi="Palatino Linotype"/>
                <w:bCs/>
                <w:color w:val="000000" w:themeColor="text1"/>
                <w:sz w:val="20"/>
                <w:szCs w:val="20"/>
              </w:rPr>
              <w:t xml:space="preserve">: See: </w:t>
            </w:r>
            <w:r w:rsidRPr="00391600" w:rsidR="00D159FC">
              <w:rPr>
                <w:rFonts w:ascii="Palatino Linotype" w:hAnsi="Palatino Linotype"/>
                <w:bCs/>
                <w:color w:val="000000" w:themeColor="text1"/>
                <w:sz w:val="20"/>
                <w:szCs w:val="20"/>
              </w:rPr>
              <w:t xml:space="preserve">The </w:t>
            </w:r>
            <w:r w:rsidRPr="00391600">
              <w:rPr>
                <w:rFonts w:ascii="Palatino Linotype" w:hAnsi="Palatino Linotype"/>
                <w:bCs/>
                <w:sz w:val="20"/>
                <w:szCs w:val="20"/>
              </w:rPr>
              <w:t xml:space="preserve">CEC Response in AL 12-G to </w:t>
            </w:r>
            <w:hyperlink r:id="rId72">
              <w:r w:rsidRPr="00391600">
                <w:rPr>
                  <w:rStyle w:val="Hyperlink"/>
                  <w:rFonts w:ascii="Palatino Linotype" w:hAnsi="Palatino Linotype"/>
                  <w:sz w:val="20"/>
                  <w:szCs w:val="20"/>
                </w:rPr>
                <w:t>Resolution G-3603</w:t>
              </w:r>
            </w:hyperlink>
            <w:r w:rsidRPr="00391600">
              <w:rPr>
                <w:rFonts w:ascii="Palatino Linotype" w:hAnsi="Palatino Linotype"/>
                <w:sz w:val="20"/>
                <w:szCs w:val="20"/>
              </w:rPr>
              <w:t xml:space="preserve"> (2024) at OP 4.</w:t>
            </w:r>
          </w:p>
          <w:p w:rsidRPr="00391600" w:rsidR="002F78F4" w:rsidP="00BB366A" w:rsidRDefault="002F78F4" w14:paraId="4A3986A2" w14:textId="7D0FBB8B">
            <w:pPr>
              <w:rPr>
                <w:rFonts w:ascii="Palatino Linotype" w:hAnsi="Palatino Linotype"/>
                <w:bCs/>
                <w:color w:val="A6A6A6" w:themeColor="background1" w:themeShade="A6"/>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Fuel-Flexible Distributed Power Generation</w:t>
            </w:r>
            <w:r w:rsidRPr="00391600">
              <w:rPr>
                <w:rFonts w:ascii="Palatino Linotype" w:hAnsi="Palatino Linotype"/>
                <w:color w:val="000000" w:themeColor="text1"/>
                <w:sz w:val="20"/>
                <w:szCs w:val="20"/>
              </w:rPr>
              <w:t xml:space="preserve">: </w:t>
            </w:r>
            <w:r w:rsidRPr="00391600" w:rsidR="602D045A">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states it has "collaborated on and co-funded several Gas R&amp;D projects in the past and further collaboration is expected in the future" and that this Initiative "could also leverage other state programs such as those funded through CPUC including the SoCalGas FY 2022-2023 </w:t>
            </w:r>
            <w:r w:rsidRPr="00391600">
              <w:rPr>
                <w:rFonts w:ascii="Palatino Linotype" w:hAnsi="Palatino Linotype"/>
                <w:color w:val="000000" w:themeColor="text1"/>
                <w:sz w:val="20"/>
                <w:szCs w:val="20"/>
              </w:rPr>
              <w:lastRenderedPageBreak/>
              <w:t>R&amp;D Budget Plan</w:t>
            </w:r>
            <w:r w:rsidRPr="00391600" w:rsidR="6610F2AD">
              <w:rPr>
                <w:rFonts w:ascii="Palatino Linotype" w:hAnsi="Palatino Linotype"/>
                <w:color w:val="000000" w:themeColor="text1"/>
                <w:sz w:val="20"/>
                <w:szCs w:val="20"/>
              </w:rPr>
              <w:t>,</w:t>
            </w:r>
            <w:r w:rsidRPr="00391600">
              <w:rPr>
                <w:rFonts w:ascii="Palatino Linotype" w:hAnsi="Palatino Linotype"/>
                <w:color w:val="000000" w:themeColor="text1"/>
                <w:sz w:val="20"/>
                <w:szCs w:val="20"/>
              </w:rPr>
              <w:t>"</w:t>
            </w:r>
            <w:r w:rsidRPr="00391600">
              <w:rPr>
                <w:rStyle w:val="FootnoteReference"/>
                <w:rFonts w:ascii="Palatino Linotype" w:hAnsi="Palatino Linotype"/>
                <w:color w:val="000000" w:themeColor="text1"/>
                <w:sz w:val="20"/>
                <w:szCs w:val="20"/>
              </w:rPr>
              <w:footnoteReference w:id="185"/>
            </w:r>
            <w:r w:rsidRPr="00391600">
              <w:rPr>
                <w:rFonts w:ascii="Palatino Linotype" w:hAnsi="Palatino Linotype"/>
                <w:color w:val="000000" w:themeColor="text1"/>
                <w:sz w:val="20"/>
                <w:szCs w:val="20"/>
              </w:rPr>
              <w:t xml:space="preserve"> listing several of S</w:t>
            </w:r>
            <w:r w:rsidRPr="00391600" w:rsidR="00D86396">
              <w:rPr>
                <w:rFonts w:ascii="Palatino Linotype" w:hAnsi="Palatino Linotype"/>
                <w:color w:val="000000" w:themeColor="text1"/>
                <w:sz w:val="20"/>
                <w:szCs w:val="20"/>
              </w:rPr>
              <w:t>oCalGas</w:t>
            </w:r>
            <w:r w:rsidRPr="00391600">
              <w:rPr>
                <w:rFonts w:ascii="Palatino Linotype" w:hAnsi="Palatino Linotype"/>
                <w:color w:val="000000" w:themeColor="text1"/>
                <w:sz w:val="20"/>
                <w:szCs w:val="20"/>
              </w:rPr>
              <w:t>' "synergistic and non-duplicative R&amp;D initiatives.”</w:t>
            </w:r>
            <w:r w:rsidRPr="00391600">
              <w:rPr>
                <w:rStyle w:val="FootnoteReference"/>
                <w:rFonts w:ascii="Palatino Linotype" w:hAnsi="Palatino Linotype"/>
                <w:color w:val="000000" w:themeColor="text1"/>
                <w:sz w:val="20"/>
                <w:szCs w:val="20"/>
              </w:rPr>
              <w:footnoteReference w:id="186"/>
            </w:r>
          </w:p>
        </w:tc>
        <w:tc>
          <w:tcPr>
            <w:tcW w:w="3240" w:type="dxa"/>
          </w:tcPr>
          <w:p w:rsidRPr="00391600" w:rsidR="002F78F4" w:rsidP="00BB366A" w:rsidRDefault="002F78F4" w14:paraId="1BEED271" w14:textId="08F2A7A9">
            <w:pPr>
              <w:rPr>
                <w:rFonts w:ascii="Palatino Linotype" w:hAnsi="Palatino Linotype"/>
                <w:b/>
                <w:sz w:val="20"/>
                <w:szCs w:val="20"/>
              </w:rPr>
            </w:pPr>
            <w:r w:rsidRPr="00391600">
              <w:rPr>
                <w:rFonts w:ascii="Palatino Linotype" w:hAnsi="Palatino Linotype"/>
                <w:b/>
                <w:bCs/>
                <w:sz w:val="20"/>
                <w:szCs w:val="20"/>
              </w:rPr>
              <w:lastRenderedPageBreak/>
              <w:t xml:space="preserve">    1</w:t>
            </w:r>
            <w:r w:rsidRPr="00391600">
              <w:rPr>
                <w:rFonts w:ascii="Palatino Linotype" w:hAnsi="Palatino Linotype"/>
                <w:sz w:val="20"/>
                <w:szCs w:val="20"/>
              </w:rPr>
              <w:t xml:space="preserve">. </w:t>
            </w:r>
            <w:r w:rsidRPr="00391600" w:rsidR="413A3179">
              <w:rPr>
                <w:rFonts w:ascii="Palatino Linotype" w:hAnsi="Palatino Linotype"/>
                <w:sz w:val="20"/>
                <w:szCs w:val="20"/>
              </w:rPr>
              <w:t xml:space="preserve">The </w:t>
            </w:r>
            <w:r w:rsidRPr="00391600">
              <w:rPr>
                <w:rFonts w:ascii="Palatino Linotype" w:hAnsi="Palatino Linotype"/>
                <w:sz w:val="20"/>
                <w:szCs w:val="20"/>
              </w:rPr>
              <w:t xml:space="preserve">CEC must provide greater detail to demonstrate that </w:t>
            </w:r>
            <w:proofErr w:type="gramStart"/>
            <w:r w:rsidRPr="00391600">
              <w:rPr>
                <w:rFonts w:ascii="Palatino Linotype" w:hAnsi="Palatino Linotype"/>
                <w:sz w:val="20"/>
                <w:szCs w:val="20"/>
              </w:rPr>
              <w:t>outputs</w:t>
            </w:r>
            <w:proofErr w:type="gramEnd"/>
            <w:r w:rsidRPr="00391600">
              <w:rPr>
                <w:rFonts w:ascii="Palatino Linotype" w:hAnsi="Palatino Linotype"/>
                <w:sz w:val="20"/>
                <w:szCs w:val="20"/>
              </w:rPr>
              <w:t xml:space="preserve"> and </w:t>
            </w:r>
            <w:proofErr w:type="gramStart"/>
            <w:r w:rsidRPr="00391600">
              <w:rPr>
                <w:rFonts w:ascii="Palatino Linotype" w:hAnsi="Palatino Linotype"/>
                <w:sz w:val="20"/>
                <w:szCs w:val="20"/>
              </w:rPr>
              <w:t>impacts</w:t>
            </w:r>
            <w:proofErr w:type="gramEnd"/>
            <w:r w:rsidRPr="00391600">
              <w:rPr>
                <w:rFonts w:ascii="Palatino Linotype" w:hAnsi="Palatino Linotype"/>
                <w:sz w:val="20"/>
                <w:szCs w:val="20"/>
              </w:rPr>
              <w:t xml:space="preserve"> will be targeted and utilized to promote complementary rather than duplicative efforts. In </w:t>
            </w:r>
            <w:r w:rsidRPr="00391600" w:rsidR="413A3179">
              <w:rPr>
                <w:rFonts w:ascii="Palatino Linotype" w:hAnsi="Palatino Linotype"/>
                <w:sz w:val="20"/>
                <w:szCs w:val="20"/>
              </w:rPr>
              <w:t xml:space="preserve">the </w:t>
            </w:r>
            <w:r w:rsidRPr="00391600">
              <w:rPr>
                <w:rFonts w:ascii="Palatino Linotype" w:hAnsi="Palatino Linotype"/>
                <w:sz w:val="20"/>
                <w:szCs w:val="20"/>
              </w:rPr>
              <w:t>CEC's FY 2023-2024 Plan, it describes how this Initiative “advances the [CEC's] Gas R&amp;D Program’s decommissioning portfolio by filling a key gap between prior work and future planned efforts" and proceeds to list Initiatives and projects funded via previous CEC Gas RD&amp;D Plans as well as this proposed FY 2024-2025 Initiative under "Gas decommissioning planning tools and frameworks."</w:t>
            </w:r>
            <w:r w:rsidRPr="00391600">
              <w:rPr>
                <w:rStyle w:val="FootnoteReference"/>
                <w:rFonts w:ascii="Palatino Linotype" w:hAnsi="Palatino Linotype"/>
                <w:sz w:val="20"/>
                <w:szCs w:val="20"/>
              </w:rPr>
              <w:footnoteReference w:id="187"/>
            </w:r>
            <w:r w:rsidRPr="00391600">
              <w:rPr>
                <w:rFonts w:ascii="Palatino Linotype" w:hAnsi="Palatino Linotype"/>
                <w:sz w:val="20"/>
                <w:szCs w:val="20"/>
              </w:rPr>
              <w:t xml:space="preserve"> </w:t>
            </w:r>
            <w:r w:rsidRPr="00391600" w:rsidR="5B55F781">
              <w:rPr>
                <w:rFonts w:ascii="Palatino Linotype" w:hAnsi="Palatino Linotype"/>
                <w:sz w:val="20"/>
                <w:szCs w:val="20"/>
              </w:rPr>
              <w:t xml:space="preserve">The </w:t>
            </w:r>
            <w:r w:rsidRPr="00391600">
              <w:rPr>
                <w:rFonts w:ascii="Palatino Linotype" w:hAnsi="Palatino Linotype"/>
                <w:sz w:val="20"/>
                <w:szCs w:val="20"/>
              </w:rPr>
              <w:t xml:space="preserve">CEC </w:t>
            </w:r>
            <w:r w:rsidRPr="00391600" w:rsidR="0FF98073">
              <w:rPr>
                <w:rFonts w:ascii="Palatino Linotype" w:hAnsi="Palatino Linotype"/>
                <w:sz w:val="20"/>
                <w:szCs w:val="20"/>
              </w:rPr>
              <w:t>must</w:t>
            </w:r>
            <w:r w:rsidRPr="00391600">
              <w:rPr>
                <w:rFonts w:ascii="Palatino Linotype" w:hAnsi="Palatino Linotype"/>
                <w:sz w:val="20"/>
                <w:szCs w:val="20"/>
              </w:rPr>
              <w:t xml:space="preserve"> model the thorough accounting of previous investments included in its FY 2023-2024 and FY 2025-2026 Plans, including correlating this Initiative with direct activities related to “Quantifying Exposures to Indoor Air </w:t>
            </w:r>
            <w:r w:rsidRPr="00391600">
              <w:rPr>
                <w:rFonts w:ascii="Palatino Linotype" w:hAnsi="Palatino Linotype"/>
                <w:sz w:val="20"/>
                <w:szCs w:val="20"/>
              </w:rPr>
              <w:lastRenderedPageBreak/>
              <w:t xml:space="preserve">Pollutants in Multifamily Homes that Cook with Gas or Alternatives.” </w:t>
            </w:r>
            <w:r w:rsidRPr="00391600" w:rsidR="602D045A">
              <w:rPr>
                <w:rFonts w:ascii="Palatino Linotype" w:hAnsi="Palatino Linotype"/>
                <w:b/>
                <w:bCs/>
                <w:sz w:val="20"/>
                <w:szCs w:val="20"/>
              </w:rPr>
              <w:t xml:space="preserve">The </w:t>
            </w:r>
            <w:r w:rsidRPr="00391600">
              <w:rPr>
                <w:rFonts w:ascii="Palatino Linotype" w:hAnsi="Palatino Linotype"/>
                <w:b/>
                <w:bCs/>
                <w:sz w:val="20"/>
                <w:szCs w:val="20"/>
              </w:rPr>
              <w:t xml:space="preserve">CEC is </w:t>
            </w:r>
            <w:r w:rsidRPr="00391600">
              <w:rPr>
                <w:rFonts w:ascii="Palatino Linotype" w:hAnsi="Palatino Linotype"/>
                <w:b/>
                <w:bCs/>
                <w:i/>
                <w:iCs/>
                <w:sz w:val="20"/>
                <w:szCs w:val="20"/>
              </w:rPr>
              <w:t xml:space="preserve">not </w:t>
            </w:r>
            <w:r w:rsidRPr="00391600">
              <w:rPr>
                <w:rFonts w:ascii="Palatino Linotype" w:hAnsi="Palatino Linotype"/>
                <w:b/>
                <w:bCs/>
                <w:sz w:val="20"/>
                <w:szCs w:val="20"/>
              </w:rPr>
              <w:t>compliant with this requirement.</w:t>
            </w:r>
          </w:p>
          <w:p w:rsidRPr="00391600" w:rsidR="002F78F4" w:rsidP="00BB366A" w:rsidRDefault="002F78F4" w14:paraId="340BE782" w14:textId="355854C3">
            <w:pPr>
              <w:rPr>
                <w:rFonts w:ascii="Palatino Linotype" w:hAnsi="Palatino Linotype"/>
                <w:bCs/>
                <w:sz w:val="20"/>
                <w:szCs w:val="20"/>
              </w:rPr>
            </w:pPr>
            <w:r w:rsidRPr="00391600">
              <w:rPr>
                <w:rFonts w:ascii="Palatino Linotype" w:hAnsi="Palatino Linotype"/>
                <w:b/>
                <w:sz w:val="20"/>
                <w:szCs w:val="20"/>
              </w:rPr>
              <w:t xml:space="preserve">    2. </w:t>
            </w:r>
            <w:r w:rsidRPr="00391600">
              <w:rPr>
                <w:rFonts w:ascii="Palatino Linotype" w:hAnsi="Palatino Linotype"/>
                <w:bCs/>
                <w:sz w:val="20"/>
                <w:szCs w:val="20"/>
              </w:rPr>
              <w:t xml:space="preserve">See: Compliance Assessment of </w:t>
            </w:r>
            <w:hyperlink w:history="1" r:id="rId73">
              <w:r w:rsidRPr="00391600">
                <w:rPr>
                  <w:rStyle w:val="Hyperlink"/>
                  <w:rFonts w:ascii="Palatino Linotype" w:hAnsi="Palatino Linotype"/>
                  <w:bCs/>
                  <w:sz w:val="20"/>
                  <w:szCs w:val="20"/>
                </w:rPr>
                <w:t>Resolution G-3603</w:t>
              </w:r>
            </w:hyperlink>
            <w:r w:rsidRPr="00391600">
              <w:rPr>
                <w:rFonts w:ascii="Palatino Linotype" w:hAnsi="Palatino Linotype"/>
                <w:bCs/>
                <w:sz w:val="20"/>
                <w:szCs w:val="20"/>
              </w:rPr>
              <w:t xml:space="preserve"> (2024) at OP 4. </w:t>
            </w:r>
            <w:r w:rsidRPr="00391600" w:rsidR="00D159FC">
              <w:rPr>
                <w:rFonts w:ascii="Palatino Linotype" w:hAnsi="Palatino Linotype"/>
                <w:b/>
                <w:sz w:val="20"/>
                <w:szCs w:val="20"/>
              </w:rPr>
              <w:t xml:space="preserve">The </w:t>
            </w:r>
            <w:r w:rsidRPr="00391600">
              <w:rPr>
                <w:rFonts w:ascii="Palatino Linotype" w:hAnsi="Palatino Linotype"/>
                <w:b/>
                <w:sz w:val="20"/>
                <w:szCs w:val="20"/>
              </w:rPr>
              <w:t xml:space="preserve">CEC is </w:t>
            </w:r>
            <w:r w:rsidRPr="00391600">
              <w:rPr>
                <w:rFonts w:ascii="Palatino Linotype" w:hAnsi="Palatino Linotype"/>
                <w:b/>
                <w:i/>
                <w:iCs/>
                <w:sz w:val="20"/>
                <w:szCs w:val="20"/>
              </w:rPr>
              <w:t xml:space="preserve">not </w:t>
            </w:r>
            <w:r w:rsidRPr="00391600">
              <w:rPr>
                <w:rFonts w:ascii="Palatino Linotype" w:hAnsi="Palatino Linotype"/>
                <w:b/>
                <w:sz w:val="20"/>
                <w:szCs w:val="20"/>
              </w:rPr>
              <w:t>compliant with this requirement.</w:t>
            </w:r>
          </w:p>
          <w:p w:rsidRPr="00391600" w:rsidR="002F78F4" w:rsidP="00BB366A" w:rsidRDefault="002F78F4" w14:paraId="47BD3161" w14:textId="1E47ABE1">
            <w:pPr>
              <w:rPr>
                <w:rFonts w:ascii="Palatino Linotype" w:hAnsi="Palatino Linotype"/>
                <w:bCs/>
                <w:sz w:val="20"/>
                <w:szCs w:val="20"/>
              </w:rPr>
            </w:pPr>
            <w:r w:rsidRPr="00391600">
              <w:rPr>
                <w:rFonts w:ascii="Palatino Linotype" w:hAnsi="Palatino Linotype"/>
                <w:bCs/>
                <w:sz w:val="20"/>
                <w:szCs w:val="20"/>
              </w:rPr>
              <w:t xml:space="preserve">   </w:t>
            </w:r>
            <w:r w:rsidRPr="00391600">
              <w:rPr>
                <w:rFonts w:ascii="Palatino Linotype" w:hAnsi="Palatino Linotype"/>
                <w:b/>
                <w:sz w:val="20"/>
                <w:szCs w:val="20"/>
              </w:rPr>
              <w:t xml:space="preserve"> 3</w:t>
            </w:r>
            <w:r w:rsidRPr="00391600">
              <w:rPr>
                <w:rFonts w:ascii="Palatino Linotype" w:hAnsi="Palatino Linotype"/>
                <w:bCs/>
                <w:sz w:val="20"/>
                <w:szCs w:val="20"/>
              </w:rPr>
              <w:t xml:space="preserve">. </w:t>
            </w:r>
            <w:r w:rsidRPr="00391600" w:rsidR="00D159FC">
              <w:rPr>
                <w:rFonts w:ascii="Palatino Linotype" w:hAnsi="Palatino Linotype"/>
                <w:bCs/>
                <w:sz w:val="20"/>
                <w:szCs w:val="20"/>
              </w:rPr>
              <w:t xml:space="preserve">The </w:t>
            </w:r>
            <w:r w:rsidRPr="00391600">
              <w:rPr>
                <w:rFonts w:ascii="Palatino Linotype" w:hAnsi="Palatino Linotype"/>
                <w:bCs/>
                <w:sz w:val="20"/>
                <w:szCs w:val="20"/>
              </w:rPr>
              <w:t>CEC sufficiently details and contrasts similar RD&amp;D Initiatives and activities conducted by S</w:t>
            </w:r>
            <w:r w:rsidRPr="00391600" w:rsidR="00D86396">
              <w:rPr>
                <w:rFonts w:ascii="Palatino Linotype" w:hAnsi="Palatino Linotype"/>
                <w:bCs/>
                <w:sz w:val="20"/>
                <w:szCs w:val="20"/>
              </w:rPr>
              <w:t>oCalGas</w:t>
            </w:r>
            <w:r w:rsidRPr="00391600">
              <w:rPr>
                <w:rFonts w:ascii="Palatino Linotype" w:hAnsi="Palatino Linotype"/>
                <w:bCs/>
                <w:sz w:val="20"/>
                <w:szCs w:val="20"/>
              </w:rPr>
              <w:t>.</w:t>
            </w:r>
            <w:r w:rsidRPr="00391600">
              <w:rPr>
                <w:rFonts w:ascii="Palatino Linotype" w:hAnsi="Palatino Linotype"/>
                <w:b/>
                <w:sz w:val="20"/>
                <w:szCs w:val="20"/>
              </w:rPr>
              <w:t xml:space="preserve"> </w:t>
            </w:r>
            <w:r w:rsidRPr="00391600" w:rsidR="00D159FC">
              <w:rPr>
                <w:rFonts w:ascii="Palatino Linotype" w:hAnsi="Palatino Linotype"/>
                <w:b/>
                <w:sz w:val="20"/>
                <w:szCs w:val="20"/>
              </w:rPr>
              <w:t xml:space="preserve">The </w:t>
            </w:r>
            <w:r w:rsidRPr="00391600">
              <w:rPr>
                <w:rFonts w:ascii="Palatino Linotype" w:hAnsi="Palatino Linotype"/>
                <w:b/>
                <w:sz w:val="20"/>
                <w:szCs w:val="20"/>
              </w:rPr>
              <w:t>CEC is compliant with this requirement.</w:t>
            </w:r>
          </w:p>
        </w:tc>
      </w:tr>
      <w:tr w:rsidRPr="00391600" w:rsidR="002F78F4" w:rsidTr="6FAFEDE3" w14:paraId="1174BDA8" w14:textId="77777777">
        <w:trPr>
          <w:trHeight w:val="638"/>
        </w:trPr>
        <w:tc>
          <w:tcPr>
            <w:tcW w:w="3145" w:type="dxa"/>
          </w:tcPr>
          <w:p w:rsidRPr="00391600" w:rsidR="002F78F4" w:rsidP="00BB366A" w:rsidRDefault="002F78F4" w14:paraId="157E54A8" w14:textId="77777777">
            <w:pPr>
              <w:rPr>
                <w:rFonts w:ascii="Palatino Linotype" w:hAnsi="Palatino Linotype"/>
                <w:i/>
                <w:iCs/>
                <w:sz w:val="20"/>
                <w:szCs w:val="20"/>
              </w:rPr>
            </w:pPr>
            <w:r w:rsidRPr="00391600">
              <w:rPr>
                <w:rFonts w:ascii="Palatino Linotype" w:hAnsi="Palatino Linotype"/>
                <w:b/>
                <w:bCs/>
                <w:sz w:val="20"/>
                <w:szCs w:val="20"/>
              </w:rPr>
              <w:lastRenderedPageBreak/>
              <w:t>Public Utilities Code 740.1</w:t>
            </w:r>
            <w:r w:rsidRPr="00391600">
              <w:rPr>
                <w:rFonts w:ascii="Palatino Linotype" w:hAnsi="Palatino Linotype"/>
                <w:sz w:val="20"/>
                <w:szCs w:val="20"/>
              </w:rPr>
              <w:t xml:space="preserve"> at </w:t>
            </w:r>
            <w:r w:rsidRPr="00391600">
              <w:rPr>
                <w:rFonts w:ascii="Palatino Linotype" w:hAnsi="Palatino Linotype"/>
                <w:bCs/>
                <w:sz w:val="20"/>
                <w:szCs w:val="20"/>
              </w:rPr>
              <w:t>(e)</w:t>
            </w:r>
            <w:r w:rsidRPr="00391600">
              <w:rPr>
                <w:rFonts w:ascii="Palatino Linotype" w:hAnsi="Palatino Linotype"/>
                <w:bCs/>
                <w:i/>
                <w:iCs/>
                <w:sz w:val="20"/>
                <w:szCs w:val="20"/>
              </w:rPr>
              <w:t xml:space="preserve"> Each project should also support one or more of the following objectives:</w:t>
            </w:r>
          </w:p>
          <w:p w:rsidRPr="00391600" w:rsidR="002F78F4" w:rsidP="003B475F" w:rsidRDefault="002F78F4" w14:paraId="2A825C31" w14:textId="77777777">
            <w:pPr>
              <w:pStyle w:val="ListParagraph"/>
              <w:numPr>
                <w:ilvl w:val="0"/>
                <w:numId w:val="21"/>
              </w:numPr>
              <w:rPr>
                <w:rFonts w:ascii="Palatino Linotype" w:hAnsi="Palatino Linotype"/>
                <w:bCs/>
                <w:i/>
                <w:iCs/>
                <w:sz w:val="20"/>
                <w:szCs w:val="20"/>
              </w:rPr>
            </w:pPr>
            <w:r w:rsidRPr="00391600">
              <w:rPr>
                <w:rFonts w:ascii="Palatino Linotype" w:hAnsi="Palatino Linotype"/>
                <w:bCs/>
                <w:i/>
                <w:iCs/>
                <w:sz w:val="20"/>
                <w:szCs w:val="20"/>
              </w:rPr>
              <w:t>Environmental improvement.</w:t>
            </w:r>
          </w:p>
          <w:p w:rsidRPr="00391600" w:rsidR="002F78F4" w:rsidP="003B475F" w:rsidRDefault="002F78F4" w14:paraId="66178F40" w14:textId="77777777">
            <w:pPr>
              <w:pStyle w:val="ListParagraph"/>
              <w:numPr>
                <w:ilvl w:val="0"/>
                <w:numId w:val="21"/>
              </w:numPr>
              <w:rPr>
                <w:rFonts w:ascii="Palatino Linotype" w:hAnsi="Palatino Linotype"/>
                <w:bCs/>
                <w:i/>
                <w:iCs/>
                <w:sz w:val="20"/>
                <w:szCs w:val="20"/>
              </w:rPr>
            </w:pPr>
            <w:r w:rsidRPr="00391600">
              <w:rPr>
                <w:rFonts w:ascii="Palatino Linotype" w:hAnsi="Palatino Linotype"/>
                <w:bCs/>
                <w:i/>
                <w:iCs/>
                <w:sz w:val="20"/>
                <w:szCs w:val="20"/>
              </w:rPr>
              <w:t>Public and employee safety.</w:t>
            </w:r>
          </w:p>
          <w:p w:rsidRPr="00391600" w:rsidR="002F78F4" w:rsidP="003B475F" w:rsidRDefault="002F78F4" w14:paraId="30DF8715" w14:textId="77777777">
            <w:pPr>
              <w:pStyle w:val="ListParagraph"/>
              <w:numPr>
                <w:ilvl w:val="0"/>
                <w:numId w:val="21"/>
              </w:numPr>
              <w:rPr>
                <w:rFonts w:ascii="Palatino Linotype" w:hAnsi="Palatino Linotype"/>
                <w:bCs/>
                <w:i/>
                <w:iCs/>
                <w:sz w:val="20"/>
                <w:szCs w:val="20"/>
              </w:rPr>
            </w:pPr>
            <w:r w:rsidRPr="00391600">
              <w:rPr>
                <w:rFonts w:ascii="Palatino Linotype" w:hAnsi="Palatino Linotype"/>
                <w:bCs/>
                <w:i/>
                <w:iCs/>
                <w:sz w:val="20"/>
                <w:szCs w:val="20"/>
              </w:rPr>
              <w:t>Conservation by efficient resource use or by reducing or shifting system load.</w:t>
            </w:r>
          </w:p>
          <w:p w:rsidRPr="00391600" w:rsidR="002F78F4" w:rsidP="003B475F" w:rsidRDefault="002F78F4" w14:paraId="0A4DFBA3" w14:textId="77777777">
            <w:pPr>
              <w:pStyle w:val="ListParagraph"/>
              <w:numPr>
                <w:ilvl w:val="0"/>
                <w:numId w:val="21"/>
              </w:numPr>
              <w:rPr>
                <w:rFonts w:ascii="Palatino Linotype" w:hAnsi="Palatino Linotype"/>
                <w:bCs/>
                <w:i/>
                <w:iCs/>
                <w:sz w:val="20"/>
                <w:szCs w:val="20"/>
              </w:rPr>
            </w:pPr>
            <w:r w:rsidRPr="00391600">
              <w:rPr>
                <w:rFonts w:ascii="Palatino Linotype" w:hAnsi="Palatino Linotype"/>
                <w:bCs/>
                <w:i/>
                <w:iCs/>
                <w:sz w:val="20"/>
                <w:szCs w:val="20"/>
              </w:rPr>
              <w:lastRenderedPageBreak/>
              <w:t>Development of new resources and processes, particularly renewable resources and processes which further supply technologies.</w:t>
            </w:r>
          </w:p>
          <w:p w:rsidRPr="00391600" w:rsidR="002F78F4" w:rsidP="003B475F" w:rsidRDefault="002F78F4" w14:paraId="6CBB48DF" w14:textId="77777777">
            <w:pPr>
              <w:pStyle w:val="ListParagraph"/>
              <w:numPr>
                <w:ilvl w:val="0"/>
                <w:numId w:val="21"/>
              </w:numPr>
              <w:rPr>
                <w:rFonts w:ascii="Palatino Linotype" w:hAnsi="Palatino Linotype"/>
                <w:bCs/>
                <w:i/>
                <w:iCs/>
                <w:sz w:val="20"/>
                <w:szCs w:val="20"/>
              </w:rPr>
            </w:pPr>
            <w:r w:rsidRPr="00391600">
              <w:rPr>
                <w:rFonts w:ascii="Palatino Linotype" w:hAnsi="Palatino Linotype"/>
                <w:bCs/>
                <w:i/>
                <w:iCs/>
                <w:sz w:val="20"/>
                <w:szCs w:val="20"/>
              </w:rPr>
              <w:t>Improve operating efficiency and reliability or otherwise reduce operating costs.</w:t>
            </w:r>
          </w:p>
        </w:tc>
        <w:tc>
          <w:tcPr>
            <w:tcW w:w="7920" w:type="dxa"/>
          </w:tcPr>
          <w:p w:rsidRPr="00391600" w:rsidR="002F78F4" w:rsidP="00BB366A" w:rsidRDefault="00D159FC" w14:paraId="67E776BD" w14:textId="16640097">
            <w:pPr>
              <w:rPr>
                <w:rFonts w:ascii="Palatino Linotype" w:hAnsi="Palatino Linotype"/>
                <w:bCs/>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sz w:val="20"/>
                <w:szCs w:val="20"/>
              </w:rPr>
              <w:t xml:space="preserve">CEC proposes budget allocations broken down by Initiatives within Investment Themes as follows: </w:t>
            </w:r>
          </w:p>
          <w:p w:rsidRPr="00391600" w:rsidR="002F78F4" w:rsidP="00BB366A" w:rsidRDefault="002F78F4" w14:paraId="35C327DF" w14:textId="77777777">
            <w:pPr>
              <w:pStyle w:val="ListParagraph"/>
              <w:rPr>
                <w:rFonts w:ascii="Palatino Linotype" w:hAnsi="Palatino Linotype"/>
                <w:bCs/>
                <w:sz w:val="20"/>
                <w:szCs w:val="20"/>
              </w:rPr>
            </w:pPr>
            <w:r w:rsidRPr="00391600">
              <w:rPr>
                <w:rFonts w:ascii="Palatino Linotype" w:hAnsi="Palatino Linotype"/>
                <w:sz w:val="20"/>
                <w:szCs w:val="20"/>
              </w:rPr>
              <w:t>Gas System Safety</w:t>
            </w:r>
            <w:r w:rsidRPr="00391600">
              <w:rPr>
                <w:rFonts w:ascii="Palatino Linotype" w:hAnsi="Palatino Linotype"/>
                <w:bCs/>
                <w:sz w:val="20"/>
                <w:szCs w:val="20"/>
              </w:rPr>
              <w:t xml:space="preserve">: </w:t>
            </w:r>
          </w:p>
          <w:p w:rsidRPr="00391600" w:rsidR="002F78F4" w:rsidP="00BB366A" w:rsidRDefault="002F78F4" w14:paraId="1ADD6F7B" w14:textId="77777777">
            <w:pPr>
              <w:pStyle w:val="ListParagraph"/>
              <w:ind w:left="1440"/>
              <w:rPr>
                <w:rFonts w:ascii="Palatino Linotype" w:hAnsi="Palatino Linotype"/>
                <w:bCs/>
                <w:sz w:val="20"/>
                <w:szCs w:val="20"/>
              </w:rPr>
            </w:pPr>
            <w:r w:rsidRPr="00391600">
              <w:rPr>
                <w:rFonts w:ascii="Palatino Linotype" w:hAnsi="Palatino Linotype"/>
                <w:b/>
                <w:bCs/>
                <w:sz w:val="20"/>
                <w:szCs w:val="20"/>
              </w:rPr>
              <w:t>1</w:t>
            </w:r>
            <w:r w:rsidRPr="00391600">
              <w:rPr>
                <w:rFonts w:ascii="Palatino Linotype" w:hAnsi="Palatino Linotype"/>
                <w:sz w:val="20"/>
                <w:szCs w:val="20"/>
              </w:rPr>
              <w:t>. Innovations for Cost-Effective Operation and Maintenance of Critical Infrastructure During the Gas Transition.</w:t>
            </w:r>
            <w:r w:rsidRPr="00391600">
              <w:rPr>
                <w:rStyle w:val="FootnoteReference"/>
                <w:rFonts w:ascii="Palatino Linotype" w:hAnsi="Palatino Linotype"/>
                <w:sz w:val="20"/>
                <w:szCs w:val="20"/>
              </w:rPr>
              <w:footnoteReference w:id="188"/>
            </w:r>
          </w:p>
          <w:p w:rsidRPr="00391600" w:rsidR="002F78F4" w:rsidP="00BB366A" w:rsidRDefault="002F78F4" w14:paraId="3C0A7084" w14:textId="77777777">
            <w:pPr>
              <w:pStyle w:val="ListParagraph"/>
              <w:rPr>
                <w:rFonts w:ascii="Palatino Linotype" w:hAnsi="Palatino Linotype"/>
                <w:bCs/>
                <w:sz w:val="20"/>
                <w:szCs w:val="20"/>
              </w:rPr>
            </w:pPr>
            <w:r w:rsidRPr="00391600">
              <w:rPr>
                <w:rFonts w:ascii="Palatino Linotype" w:hAnsi="Palatino Linotype"/>
                <w:sz w:val="20"/>
                <w:szCs w:val="20"/>
              </w:rPr>
              <w:t>Gas Decommissioning</w:t>
            </w:r>
            <w:r w:rsidRPr="00391600">
              <w:rPr>
                <w:rFonts w:ascii="Palatino Linotype" w:hAnsi="Palatino Linotype"/>
                <w:bCs/>
                <w:sz w:val="20"/>
                <w:szCs w:val="20"/>
              </w:rPr>
              <w:t xml:space="preserve">: </w:t>
            </w:r>
          </w:p>
          <w:p w:rsidRPr="00391600" w:rsidR="002F78F4" w:rsidP="00BB366A" w:rsidRDefault="002F78F4" w14:paraId="778B3F95" w14:textId="77777777">
            <w:pPr>
              <w:pStyle w:val="ListParagraph"/>
              <w:ind w:left="1440"/>
              <w:rPr>
                <w:rFonts w:ascii="Palatino Linotype" w:hAnsi="Palatino Linotype"/>
                <w:bCs/>
                <w:sz w:val="20"/>
                <w:szCs w:val="20"/>
              </w:rPr>
            </w:pPr>
            <w:r w:rsidRPr="00391600">
              <w:rPr>
                <w:rFonts w:ascii="Palatino Linotype" w:hAnsi="Palatino Linotype"/>
                <w:b/>
                <w:bCs/>
                <w:sz w:val="20"/>
                <w:szCs w:val="20"/>
              </w:rPr>
              <w:t>2</w:t>
            </w:r>
            <w:r w:rsidRPr="00391600">
              <w:rPr>
                <w:rFonts w:ascii="Palatino Linotype" w:hAnsi="Palatino Linotype"/>
                <w:sz w:val="20"/>
                <w:szCs w:val="20"/>
              </w:rPr>
              <w:t>. Support Equitable, Safe, and Cost-Effective Decarbonization of California’s Gas System.</w:t>
            </w:r>
            <w:r w:rsidRPr="00391600">
              <w:rPr>
                <w:rStyle w:val="FootnoteReference"/>
                <w:rFonts w:ascii="Palatino Linotype" w:hAnsi="Palatino Linotype"/>
                <w:sz w:val="20"/>
                <w:szCs w:val="20"/>
              </w:rPr>
              <w:footnoteReference w:id="189"/>
            </w:r>
          </w:p>
          <w:p w:rsidRPr="00391600" w:rsidR="002F78F4" w:rsidP="00BB366A" w:rsidRDefault="002F78F4" w14:paraId="341329D8" w14:textId="77777777">
            <w:pPr>
              <w:pStyle w:val="ListParagraph"/>
              <w:rPr>
                <w:rFonts w:ascii="Palatino Linotype" w:hAnsi="Palatino Linotype"/>
                <w:bCs/>
                <w:sz w:val="20"/>
                <w:szCs w:val="20"/>
              </w:rPr>
            </w:pPr>
            <w:r w:rsidRPr="00391600">
              <w:rPr>
                <w:rFonts w:ascii="Palatino Linotype" w:hAnsi="Palatino Linotype"/>
                <w:sz w:val="20"/>
                <w:szCs w:val="20"/>
              </w:rPr>
              <w:t>Renewable Generation</w:t>
            </w:r>
            <w:r w:rsidRPr="00391600">
              <w:rPr>
                <w:rFonts w:ascii="Palatino Linotype" w:hAnsi="Palatino Linotype"/>
                <w:bCs/>
                <w:sz w:val="20"/>
                <w:szCs w:val="20"/>
              </w:rPr>
              <w:t xml:space="preserve">: </w:t>
            </w:r>
          </w:p>
          <w:p w:rsidRPr="00391600" w:rsidR="002F78F4" w:rsidP="00BB366A" w:rsidRDefault="002F78F4" w14:paraId="5E3920E7" w14:textId="77777777">
            <w:pPr>
              <w:pStyle w:val="ListParagraph"/>
              <w:ind w:left="1440"/>
              <w:rPr>
                <w:rFonts w:ascii="Palatino Linotype" w:hAnsi="Palatino Linotype"/>
                <w:bCs/>
                <w:sz w:val="20"/>
                <w:szCs w:val="20"/>
              </w:rPr>
            </w:pPr>
            <w:r w:rsidRPr="00391600">
              <w:rPr>
                <w:rFonts w:ascii="Palatino Linotype" w:hAnsi="Palatino Linotype"/>
                <w:b/>
                <w:bCs/>
                <w:sz w:val="20"/>
                <w:szCs w:val="20"/>
              </w:rPr>
              <w:t>3.</w:t>
            </w:r>
            <w:r w:rsidRPr="00391600">
              <w:rPr>
                <w:rFonts w:ascii="Palatino Linotype" w:hAnsi="Palatino Linotype"/>
                <w:sz w:val="20"/>
                <w:szCs w:val="20"/>
              </w:rPr>
              <w:t xml:space="preserve"> Fuel-Flexible Distributed Power Generation.</w:t>
            </w:r>
            <w:r w:rsidRPr="00391600">
              <w:rPr>
                <w:rStyle w:val="FootnoteReference"/>
                <w:rFonts w:ascii="Palatino Linotype" w:hAnsi="Palatino Linotype"/>
                <w:sz w:val="20"/>
                <w:szCs w:val="20"/>
              </w:rPr>
              <w:footnoteReference w:id="190"/>
            </w:r>
          </w:p>
        </w:tc>
        <w:tc>
          <w:tcPr>
            <w:tcW w:w="3240" w:type="dxa"/>
          </w:tcPr>
          <w:p w:rsidRPr="00391600" w:rsidR="002F78F4" w:rsidP="00BB366A" w:rsidRDefault="002F78F4" w14:paraId="50B02B2A" w14:textId="125BA8B8">
            <w:pPr>
              <w:rPr>
                <w:rFonts w:ascii="Palatino Linotype" w:hAnsi="Palatino Linotype"/>
                <w:bCs/>
                <w:sz w:val="20"/>
                <w:szCs w:val="20"/>
              </w:rPr>
            </w:pPr>
            <w:r w:rsidRPr="00391600">
              <w:rPr>
                <w:rFonts w:ascii="Palatino Linotype" w:hAnsi="Palatino Linotype"/>
                <w:bCs/>
                <w:sz w:val="20"/>
                <w:szCs w:val="20"/>
              </w:rPr>
              <w:t xml:space="preserve">Each of </w:t>
            </w:r>
            <w:r w:rsidRPr="00391600" w:rsidR="00E85EF5">
              <w:rPr>
                <w:rFonts w:ascii="Palatino Linotype" w:hAnsi="Palatino Linotype"/>
                <w:bCs/>
                <w:sz w:val="20"/>
                <w:szCs w:val="20"/>
              </w:rPr>
              <w:t xml:space="preserve">the </w:t>
            </w:r>
            <w:r w:rsidRPr="00391600">
              <w:rPr>
                <w:rFonts w:ascii="Palatino Linotype" w:hAnsi="Palatino Linotype"/>
                <w:bCs/>
                <w:sz w:val="20"/>
                <w:szCs w:val="20"/>
              </w:rPr>
              <w:t xml:space="preserve">CEC’s proposed Initiatives supports one or more of the required objectives. </w:t>
            </w:r>
            <w:r w:rsidRPr="00391600" w:rsidR="00D159FC">
              <w:rPr>
                <w:rFonts w:ascii="Palatino Linotype" w:hAnsi="Palatino Linotype"/>
                <w:b/>
                <w:sz w:val="20"/>
                <w:szCs w:val="20"/>
              </w:rPr>
              <w:t>The</w:t>
            </w:r>
            <w:r w:rsidRPr="00391600" w:rsidR="00D159FC">
              <w:rPr>
                <w:rFonts w:ascii="Palatino Linotype" w:hAnsi="Palatino Linotype"/>
                <w:bCs/>
                <w:sz w:val="20"/>
                <w:szCs w:val="20"/>
              </w:rPr>
              <w:t xml:space="preserve"> </w:t>
            </w:r>
            <w:r w:rsidRPr="00391600">
              <w:rPr>
                <w:rFonts w:ascii="Palatino Linotype" w:hAnsi="Palatino Linotype"/>
                <w:b/>
                <w:sz w:val="20"/>
                <w:szCs w:val="20"/>
              </w:rPr>
              <w:t>CEC is compliant with this requirement.</w:t>
            </w:r>
          </w:p>
        </w:tc>
      </w:tr>
      <w:tr w:rsidRPr="00391600" w:rsidR="002F78F4" w:rsidTr="6FAFEDE3" w14:paraId="09261C87" w14:textId="77777777">
        <w:trPr>
          <w:trHeight w:val="638"/>
        </w:trPr>
        <w:tc>
          <w:tcPr>
            <w:tcW w:w="3145" w:type="dxa"/>
          </w:tcPr>
          <w:p w:rsidRPr="00391600" w:rsidR="002F78F4" w:rsidP="00BB366A" w:rsidRDefault="002F78F4" w14:paraId="469C8FE0" w14:textId="77777777">
            <w:pPr>
              <w:rPr>
                <w:rFonts w:ascii="Palatino Linotype" w:hAnsi="Palatino Linotype"/>
                <w:bCs/>
                <w:sz w:val="20"/>
                <w:szCs w:val="20"/>
              </w:rPr>
            </w:pPr>
            <w:hyperlink w:history="1" r:id="rId74">
              <w:r w:rsidRPr="00391600">
                <w:rPr>
                  <w:rStyle w:val="Hyperlink"/>
                  <w:rFonts w:ascii="Palatino Linotype" w:hAnsi="Palatino Linotype"/>
                  <w:b/>
                  <w:sz w:val="20"/>
                  <w:szCs w:val="20"/>
                </w:rPr>
                <w:t>D.04-08-010</w:t>
              </w:r>
            </w:hyperlink>
            <w:r w:rsidRPr="00391600">
              <w:rPr>
                <w:rFonts w:ascii="Palatino Linotype" w:hAnsi="Palatino Linotype"/>
                <w:bCs/>
                <w:sz w:val="20"/>
                <w:szCs w:val="20"/>
              </w:rPr>
              <w:t xml:space="preserve"> at p. 28. </w:t>
            </w:r>
            <w:r w:rsidRPr="00391600">
              <w:rPr>
                <w:rFonts w:ascii="Palatino Linotype" w:hAnsi="Palatino Linotype"/>
                <w:bCs/>
                <w:i/>
                <w:iCs/>
                <w:sz w:val="20"/>
                <w:szCs w:val="20"/>
              </w:rPr>
              <w:t>Support State Energy policy.</w:t>
            </w:r>
          </w:p>
        </w:tc>
        <w:tc>
          <w:tcPr>
            <w:tcW w:w="7920" w:type="dxa"/>
          </w:tcPr>
          <w:p w:rsidRPr="00391600" w:rsidR="002F78F4" w:rsidP="00BB366A" w:rsidRDefault="602D045A" w14:paraId="7F4866E7" w14:textId="553373C4">
            <w:p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CEC states that “the Gas R&amp;D Program supports state energy policies and goals, such as achieving economywide carbon neutrality by 2045 (Executive Order B-55-18 and AB 1279, Muratsuchi, Chapter 337, Statutes of 2022) and doubling energy efficiency by 2030 (SB 350, De León, Chapter 547, Statutes of 2015)” among “several other ley energy and climate policies and goals.”</w:t>
            </w:r>
            <w:r w:rsidRPr="00391600" w:rsidR="002F78F4">
              <w:rPr>
                <w:rStyle w:val="FootnoteReference"/>
                <w:rFonts w:ascii="Palatino Linotype" w:hAnsi="Palatino Linotype"/>
                <w:color w:val="000000" w:themeColor="text1"/>
                <w:sz w:val="20"/>
                <w:szCs w:val="20"/>
              </w:rPr>
              <w:footnoteReference w:id="191"/>
            </w:r>
            <w:r w:rsidRPr="00391600" w:rsidR="002F78F4">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 xml:space="preserve">CEC provides additional information on policies relevant to each Initiative in Appendix A. </w:t>
            </w:r>
          </w:p>
        </w:tc>
        <w:tc>
          <w:tcPr>
            <w:tcW w:w="3240" w:type="dxa"/>
          </w:tcPr>
          <w:p w:rsidRPr="00391600" w:rsidR="002F78F4" w:rsidP="00BB366A" w:rsidRDefault="00D159FC" w14:paraId="17A0A6A7" w14:textId="70933ABB">
            <w:pPr>
              <w:rPr>
                <w:rFonts w:ascii="Palatino Linotype" w:hAnsi="Palatino Linotype"/>
                <w:bCs/>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 xml:space="preserve">CEC discusses several State Energy policies which its program supports. </w:t>
            </w:r>
            <w:r w:rsidRPr="00391600">
              <w:rPr>
                <w:rFonts w:ascii="Palatino Linotype" w:hAnsi="Palatino Linotype"/>
                <w:b/>
                <w:sz w:val="20"/>
                <w:szCs w:val="20"/>
              </w:rPr>
              <w:t xml:space="preserve">The </w:t>
            </w:r>
            <w:r w:rsidRPr="00391600" w:rsidR="002F78F4">
              <w:rPr>
                <w:rFonts w:ascii="Palatino Linotype" w:hAnsi="Palatino Linotype"/>
                <w:b/>
                <w:sz w:val="20"/>
                <w:szCs w:val="20"/>
              </w:rPr>
              <w:t>CEC is compliant with this requirement.</w:t>
            </w:r>
          </w:p>
        </w:tc>
      </w:tr>
      <w:tr w:rsidRPr="00391600" w:rsidR="002F78F4" w:rsidTr="6FAFEDE3" w14:paraId="746D0E05" w14:textId="77777777">
        <w:trPr>
          <w:trHeight w:val="638"/>
        </w:trPr>
        <w:tc>
          <w:tcPr>
            <w:tcW w:w="3145" w:type="dxa"/>
          </w:tcPr>
          <w:p w:rsidRPr="00391600" w:rsidR="002F78F4" w:rsidP="00BB366A" w:rsidRDefault="002F78F4" w14:paraId="162121F1" w14:textId="77777777">
            <w:pPr>
              <w:rPr>
                <w:rFonts w:ascii="Palatino Linotype" w:hAnsi="Palatino Linotype"/>
                <w:bCs/>
                <w:sz w:val="20"/>
                <w:szCs w:val="20"/>
              </w:rPr>
            </w:pPr>
            <w:hyperlink w:history="1" r:id="rId75">
              <w:r w:rsidRPr="00391600">
                <w:rPr>
                  <w:rStyle w:val="Hyperlink"/>
                  <w:rFonts w:ascii="Palatino Linotype" w:hAnsi="Palatino Linotype"/>
                  <w:b/>
                  <w:sz w:val="20"/>
                  <w:szCs w:val="20"/>
                </w:rPr>
                <w:t>D.04-08-010</w:t>
              </w:r>
            </w:hyperlink>
            <w:r w:rsidRPr="00391600">
              <w:rPr>
                <w:rFonts w:ascii="Palatino Linotype" w:hAnsi="Palatino Linotype"/>
                <w:bCs/>
                <w:sz w:val="20"/>
                <w:szCs w:val="20"/>
              </w:rPr>
              <w:t>:</w:t>
            </w:r>
          </w:p>
          <w:p w:rsidRPr="00391600" w:rsidR="002F78F4" w:rsidP="00BB366A" w:rsidRDefault="002F78F4" w14:paraId="101FC530" w14:textId="77777777">
            <w:pPr>
              <w:rPr>
                <w:rFonts w:ascii="Palatino Linotype" w:hAnsi="Palatino Linotype"/>
                <w:i/>
                <w:iCs/>
                <w:sz w:val="20"/>
                <w:szCs w:val="20"/>
              </w:rPr>
            </w:pPr>
            <w:r w:rsidRPr="00391600">
              <w:rPr>
                <w:rFonts w:ascii="Palatino Linotype" w:hAnsi="Palatino Linotype"/>
                <w:bCs/>
                <w:sz w:val="20"/>
                <w:szCs w:val="20"/>
              </w:rPr>
              <w:t xml:space="preserve"> </w:t>
            </w:r>
            <w:r w:rsidRPr="00391600">
              <w:rPr>
                <w:rFonts w:ascii="Palatino Linotype" w:hAnsi="Palatino Linotype"/>
                <w:i/>
                <w:iCs/>
                <w:sz w:val="20"/>
                <w:szCs w:val="20"/>
              </w:rPr>
              <w:t xml:space="preserve">[The Gas RD&amp;D program shall have] a maximum cap of $24 million after four years; these amounts shall include all necessary R&amp;D administrative costs </w:t>
            </w:r>
            <w:r w:rsidRPr="00391600">
              <w:rPr>
                <w:rFonts w:ascii="Palatino Linotype" w:hAnsi="Palatino Linotype"/>
                <w:sz w:val="20"/>
                <w:szCs w:val="20"/>
              </w:rPr>
              <w:t>(p. 38).</w:t>
            </w:r>
          </w:p>
          <w:p w:rsidRPr="00391600" w:rsidR="002F78F4" w:rsidP="00BB366A" w:rsidRDefault="002F78F4" w14:paraId="2DDC837A" w14:textId="77777777">
            <w:pPr>
              <w:spacing w:before="240"/>
              <w:rPr>
                <w:rFonts w:ascii="Palatino Linotype" w:hAnsi="Palatino Linotype"/>
                <w:color w:val="0070C0"/>
                <w:sz w:val="20"/>
                <w:szCs w:val="20"/>
              </w:rPr>
            </w:pPr>
            <w:r w:rsidRPr="00391600">
              <w:rPr>
                <w:rFonts w:ascii="Palatino Linotype" w:hAnsi="Palatino Linotype"/>
                <w:i/>
                <w:iCs/>
                <w:color w:val="000000" w:themeColor="text1"/>
                <w:sz w:val="20"/>
                <w:szCs w:val="20"/>
              </w:rPr>
              <w:t xml:space="preserve">Disbursements from the Fund to the R&amp;D administrator shall not exceed the adopted zero-based R&amp;D budget </w:t>
            </w:r>
            <w:r w:rsidRPr="00391600">
              <w:rPr>
                <w:rFonts w:ascii="Palatino Linotype" w:hAnsi="Palatino Linotype"/>
                <w:color w:val="000000" w:themeColor="text1"/>
                <w:sz w:val="20"/>
                <w:szCs w:val="20"/>
              </w:rPr>
              <w:t>(p. 41-42).</w:t>
            </w:r>
          </w:p>
        </w:tc>
        <w:tc>
          <w:tcPr>
            <w:tcW w:w="7920" w:type="dxa"/>
          </w:tcPr>
          <w:p w:rsidRPr="00391600" w:rsidR="002F78F4" w:rsidP="00BB366A" w:rsidRDefault="602D045A" w14:paraId="7FACAC45" w14:textId="6AC0AE76">
            <w:pPr>
              <w:rPr>
                <w:rFonts w:ascii="Palatino Linotype" w:hAnsi="Palatino Linotype"/>
                <w:bCs/>
                <w:color w:val="A6A6A6" w:themeColor="background1" w:themeShade="A6"/>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proposes a total FY2024-2025 Plan budget of $24 million, including Program Administration costs.</w:t>
            </w:r>
            <w:r w:rsidRPr="00391600" w:rsidR="002F78F4">
              <w:rPr>
                <w:rStyle w:val="FootnoteReference"/>
                <w:rFonts w:ascii="Palatino Linotype" w:hAnsi="Palatino Linotype"/>
                <w:color w:val="000000" w:themeColor="text1"/>
                <w:sz w:val="20"/>
                <w:szCs w:val="20"/>
              </w:rPr>
              <w:footnoteReference w:id="192"/>
            </w:r>
          </w:p>
        </w:tc>
        <w:tc>
          <w:tcPr>
            <w:tcW w:w="3240" w:type="dxa"/>
          </w:tcPr>
          <w:p w:rsidRPr="00391600" w:rsidR="002F78F4" w:rsidP="00BB366A" w:rsidRDefault="00D159FC" w14:paraId="1E59C1D0" w14:textId="5C934E4C">
            <w:pPr>
              <w:rPr>
                <w:rFonts w:ascii="Palatino Linotype" w:hAnsi="Palatino Linotype"/>
                <w:color w:val="000000" w:themeColor="text1"/>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CEC’s proposed budget, including all necessary RD&amp;D administrative costs, complies with the $24M annual cap.</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t>CEC is compliant with this requirement</w:t>
            </w:r>
            <w:r w:rsidRPr="00391600" w:rsidR="002F78F4">
              <w:rPr>
                <w:rFonts w:ascii="Palatino Linotype" w:hAnsi="Palatino Linotype"/>
                <w:b/>
                <w:color w:val="000000" w:themeColor="text1"/>
                <w:sz w:val="20"/>
                <w:szCs w:val="20"/>
              </w:rPr>
              <w:t>.</w:t>
            </w:r>
          </w:p>
        </w:tc>
      </w:tr>
      <w:tr w:rsidRPr="00391600" w:rsidR="002F78F4" w:rsidTr="6FAFEDE3" w14:paraId="104CD535" w14:textId="77777777">
        <w:trPr>
          <w:trHeight w:val="638"/>
        </w:trPr>
        <w:tc>
          <w:tcPr>
            <w:tcW w:w="3145" w:type="dxa"/>
          </w:tcPr>
          <w:p w:rsidRPr="00391600" w:rsidR="002F78F4" w:rsidP="00BB366A" w:rsidRDefault="002F78F4" w14:paraId="16BFBE45" w14:textId="77777777">
            <w:pPr>
              <w:rPr>
                <w:rFonts w:ascii="Palatino Linotype" w:hAnsi="Palatino Linotype"/>
              </w:rPr>
            </w:pPr>
            <w:hyperlink w:history="1" r:id="rId76">
              <w:r w:rsidRPr="00391600">
                <w:rPr>
                  <w:rStyle w:val="Hyperlink"/>
                  <w:rFonts w:ascii="Palatino Linotype" w:hAnsi="Palatino Linotype"/>
                  <w:b/>
                  <w:sz w:val="20"/>
                  <w:szCs w:val="20"/>
                </w:rPr>
                <w:t>D.04-08-010</w:t>
              </w:r>
            </w:hyperlink>
            <w:r w:rsidRPr="00391600">
              <w:rPr>
                <w:rFonts w:ascii="Palatino Linotype" w:hAnsi="Palatino Linotype"/>
                <w:bCs/>
                <w:sz w:val="20"/>
                <w:szCs w:val="20"/>
              </w:rPr>
              <w:t xml:space="preserve"> at p. 42. </w:t>
            </w:r>
            <w:r w:rsidRPr="00391600">
              <w:rPr>
                <w:rFonts w:ascii="Palatino Linotype" w:hAnsi="Palatino Linotype"/>
                <w:bCs/>
                <w:i/>
                <w:iCs/>
                <w:sz w:val="20"/>
                <w:szCs w:val="20"/>
              </w:rPr>
              <w:t xml:space="preserve">[W]e </w:t>
            </w:r>
            <w:proofErr w:type="gramStart"/>
            <w:r w:rsidRPr="00391600">
              <w:rPr>
                <w:rFonts w:ascii="Palatino Linotype" w:hAnsi="Palatino Linotype"/>
                <w:bCs/>
                <w:i/>
                <w:iCs/>
                <w:sz w:val="20"/>
                <w:szCs w:val="20"/>
              </w:rPr>
              <w:t>expect</w:t>
            </w:r>
            <w:proofErr w:type="gramEnd"/>
            <w:r w:rsidRPr="00391600">
              <w:rPr>
                <w:rFonts w:ascii="Palatino Linotype" w:hAnsi="Palatino Linotype"/>
                <w:bCs/>
                <w:i/>
                <w:iCs/>
                <w:sz w:val="20"/>
                <w:szCs w:val="20"/>
              </w:rPr>
              <w:t xml:space="preserve"> the administrator to inform the Energy Division </w:t>
            </w:r>
            <w:proofErr w:type="gramStart"/>
            <w:r w:rsidRPr="00391600">
              <w:rPr>
                <w:rFonts w:ascii="Palatino Linotype" w:hAnsi="Palatino Linotype"/>
                <w:bCs/>
                <w:i/>
                <w:iCs/>
                <w:sz w:val="20"/>
                <w:szCs w:val="20"/>
              </w:rPr>
              <w:t>if and when</w:t>
            </w:r>
            <w:proofErr w:type="gramEnd"/>
            <w:r w:rsidRPr="00391600">
              <w:rPr>
                <w:rFonts w:ascii="Palatino Linotype" w:hAnsi="Palatino Linotype"/>
                <w:bCs/>
                <w:i/>
                <w:iCs/>
                <w:sz w:val="20"/>
                <w:szCs w:val="20"/>
              </w:rPr>
              <w:t xml:space="preserve"> any </w:t>
            </w:r>
            <w:r w:rsidRPr="00391600">
              <w:rPr>
                <w:rFonts w:ascii="Palatino Linotype" w:hAnsi="Palatino Linotype"/>
                <w:bCs/>
                <w:i/>
                <w:iCs/>
                <w:sz w:val="20"/>
                <w:szCs w:val="20"/>
              </w:rPr>
              <w:lastRenderedPageBreak/>
              <w:t>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391600" w:rsidR="002F78F4" w:rsidP="00BB366A" w:rsidRDefault="00D159FC" w14:paraId="54F318A2" w14:textId="6BE3B86B">
            <w:pPr>
              <w:rPr>
                <w:rFonts w:ascii="Palatino Linotype" w:hAnsi="Palatino Linotype"/>
                <w:bCs/>
                <w:color w:val="A6A6A6" w:themeColor="background1" w:themeShade="A6"/>
                <w:sz w:val="20"/>
                <w:szCs w:val="20"/>
              </w:rPr>
            </w:pPr>
            <w:r w:rsidRPr="00391600">
              <w:rPr>
                <w:rFonts w:ascii="Palatino Linotype" w:hAnsi="Palatino Linotype"/>
                <w:bCs/>
                <w:sz w:val="20"/>
                <w:szCs w:val="20"/>
              </w:rPr>
              <w:lastRenderedPageBreak/>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391600" w:rsidR="002F78F4" w:rsidP="00BB366A" w:rsidRDefault="00D159FC" w14:paraId="0D04E834" w14:textId="7C238BD2">
            <w:pPr>
              <w:rPr>
                <w:rFonts w:ascii="Palatino Linotype" w:hAnsi="Palatino Linotype"/>
                <w:bCs/>
                <w:color w:val="000000" w:themeColor="text1"/>
                <w:sz w:val="20"/>
                <w:szCs w:val="20"/>
              </w:rPr>
            </w:pPr>
            <w:r w:rsidRPr="00391600">
              <w:rPr>
                <w:rFonts w:ascii="Palatino Linotype" w:hAnsi="Palatino Linotype"/>
                <w:b/>
                <w:sz w:val="20"/>
                <w:szCs w:val="20"/>
              </w:rPr>
              <w:t>The</w:t>
            </w:r>
            <w:r w:rsidRPr="00391600">
              <w:rPr>
                <w:rFonts w:ascii="Palatino Linotype" w:hAnsi="Palatino Linotype"/>
                <w:b/>
                <w:color w:val="000000" w:themeColor="text1"/>
                <w:sz w:val="20"/>
                <w:szCs w:val="20"/>
              </w:rPr>
              <w:t xml:space="preserve"> </w:t>
            </w:r>
            <w:r w:rsidRPr="00391600" w:rsidR="002F78F4">
              <w:rPr>
                <w:rFonts w:ascii="Palatino Linotype" w:hAnsi="Palatino Linotype"/>
                <w:b/>
                <w:color w:val="000000" w:themeColor="text1"/>
                <w:sz w:val="20"/>
                <w:szCs w:val="20"/>
              </w:rPr>
              <w:t xml:space="preserve">CEC </w:t>
            </w:r>
            <w:r w:rsidRPr="00391600" w:rsidR="00B83C9F">
              <w:rPr>
                <w:rFonts w:ascii="Palatino Linotype" w:hAnsi="Palatino Linotype"/>
                <w:b/>
                <w:color w:val="000000" w:themeColor="text1"/>
                <w:sz w:val="20"/>
                <w:szCs w:val="20"/>
              </w:rPr>
              <w:t xml:space="preserve">does </w:t>
            </w:r>
            <w:r w:rsidRPr="00391600" w:rsidR="00B83C9F">
              <w:rPr>
                <w:rFonts w:ascii="Palatino Linotype" w:hAnsi="Palatino Linotype"/>
                <w:b/>
                <w:i/>
                <w:color w:val="000000" w:themeColor="text1"/>
                <w:sz w:val="20"/>
                <w:szCs w:val="20"/>
              </w:rPr>
              <w:t>not</w:t>
            </w:r>
            <w:r w:rsidRPr="00391600" w:rsidR="00B83C9F">
              <w:rPr>
                <w:rFonts w:ascii="Palatino Linotype" w:hAnsi="Palatino Linotype"/>
                <w:b/>
                <w:color w:val="000000" w:themeColor="text1"/>
                <w:sz w:val="20"/>
                <w:szCs w:val="20"/>
              </w:rPr>
              <w:t xml:space="preserve"> demonstrate</w:t>
            </w:r>
            <w:r w:rsidRPr="00391600" w:rsidR="002F78F4">
              <w:rPr>
                <w:rFonts w:ascii="Palatino Linotype" w:hAnsi="Palatino Linotype"/>
                <w:b/>
                <w:i/>
                <w:iCs/>
                <w:color w:val="000000" w:themeColor="text1"/>
                <w:sz w:val="20"/>
                <w:szCs w:val="20"/>
              </w:rPr>
              <w:t xml:space="preserve"> </w:t>
            </w:r>
            <w:r w:rsidRPr="00391600" w:rsidR="002F78F4">
              <w:rPr>
                <w:rFonts w:ascii="Palatino Linotype" w:hAnsi="Palatino Linotype"/>
                <w:b/>
                <w:color w:val="000000" w:themeColor="text1"/>
                <w:sz w:val="20"/>
                <w:szCs w:val="20"/>
              </w:rPr>
              <w:t>complian</w:t>
            </w:r>
            <w:r w:rsidRPr="00391600" w:rsidR="00B83C9F">
              <w:rPr>
                <w:rFonts w:ascii="Palatino Linotype" w:hAnsi="Palatino Linotype"/>
                <w:b/>
                <w:color w:val="000000" w:themeColor="text1"/>
                <w:sz w:val="20"/>
                <w:szCs w:val="20"/>
              </w:rPr>
              <w:t xml:space="preserve">ce </w:t>
            </w:r>
            <w:r w:rsidRPr="00391600" w:rsidR="002F78F4">
              <w:rPr>
                <w:rFonts w:ascii="Palatino Linotype" w:hAnsi="Palatino Linotype"/>
                <w:b/>
                <w:color w:val="000000" w:themeColor="text1"/>
                <w:sz w:val="20"/>
                <w:szCs w:val="20"/>
              </w:rPr>
              <w:t>with this requirement.</w:t>
            </w:r>
            <w:r w:rsidRPr="00391600" w:rsidR="002F78F4">
              <w:rPr>
                <w:rFonts w:ascii="Palatino Linotype" w:hAnsi="Palatino Linotype"/>
                <w:bCs/>
                <w:sz w:val="20"/>
                <w:szCs w:val="20"/>
              </w:rPr>
              <w:t xml:space="preserve"> </w:t>
            </w:r>
            <w:r w:rsidRPr="00391600" w:rsidR="00B83C9F">
              <w:rPr>
                <w:rFonts w:ascii="Palatino Linotype" w:hAnsi="Palatino Linotype"/>
                <w:bCs/>
                <w:sz w:val="20"/>
                <w:szCs w:val="20"/>
              </w:rPr>
              <w:t xml:space="preserve">In Annual Plans, </w:t>
            </w:r>
            <w:r w:rsidRPr="00391600" w:rsidR="00B83C9F">
              <w:rPr>
                <w:rFonts w:ascii="Palatino Linotype" w:hAnsi="Palatino Linotype"/>
                <w:bCs/>
                <w:sz w:val="20"/>
                <w:szCs w:val="20"/>
              </w:rPr>
              <w:lastRenderedPageBreak/>
              <w:t>t</w:t>
            </w:r>
            <w:r w:rsidRPr="00391600">
              <w:rPr>
                <w:rFonts w:ascii="Palatino Linotype" w:hAnsi="Palatino Linotype"/>
                <w:bCs/>
                <w:sz w:val="20"/>
                <w:szCs w:val="20"/>
              </w:rPr>
              <w:t xml:space="preserve">he </w:t>
            </w:r>
            <w:r w:rsidRPr="00391600" w:rsidR="002F78F4">
              <w:rPr>
                <w:rFonts w:ascii="Palatino Linotype" w:hAnsi="Palatino Linotype"/>
                <w:bCs/>
                <w:sz w:val="20"/>
                <w:szCs w:val="20"/>
              </w:rPr>
              <w:t>CEC shall disclose all potential</w:t>
            </w:r>
            <w:r w:rsidRPr="00391600" w:rsidR="002F78F4">
              <w:rPr>
                <w:rFonts w:ascii="Palatino Linotype" w:hAnsi="Palatino Linotype"/>
                <w:b/>
                <w:sz w:val="20"/>
                <w:szCs w:val="20"/>
              </w:rPr>
              <w:t xml:space="preserve"> </w:t>
            </w:r>
            <w:r w:rsidRPr="00391600" w:rsidR="002F78F4">
              <w:rPr>
                <w:rFonts w:ascii="Palatino Linotype" w:hAnsi="Palatino Linotype"/>
                <w:bCs/>
                <w:color w:val="000000" w:themeColor="text1"/>
                <w:sz w:val="20"/>
                <w:szCs w:val="20"/>
              </w:rPr>
              <w:t>commercial benefits that may</w:t>
            </w:r>
            <w:r w:rsidRPr="00391600" w:rsidR="002B29FA">
              <w:rPr>
                <w:rFonts w:ascii="Palatino Linotype" w:hAnsi="Palatino Linotype"/>
                <w:bCs/>
                <w:color w:val="000000" w:themeColor="text1"/>
                <w:sz w:val="20"/>
                <w:szCs w:val="20"/>
              </w:rPr>
              <w:t xml:space="preserve"> have</w:t>
            </w:r>
            <w:r w:rsidRPr="00391600" w:rsidR="002F78F4">
              <w:rPr>
                <w:rFonts w:ascii="Palatino Linotype" w:hAnsi="Palatino Linotype"/>
                <w:bCs/>
                <w:color w:val="000000" w:themeColor="text1"/>
                <w:sz w:val="20"/>
                <w:szCs w:val="20"/>
              </w:rPr>
              <w:t xml:space="preserve"> result</w:t>
            </w:r>
            <w:r w:rsidRPr="00391600" w:rsidR="002B29FA">
              <w:rPr>
                <w:rFonts w:ascii="Palatino Linotype" w:hAnsi="Palatino Linotype"/>
                <w:bCs/>
                <w:color w:val="000000" w:themeColor="text1"/>
                <w:sz w:val="20"/>
                <w:szCs w:val="20"/>
              </w:rPr>
              <w:t>ed</w:t>
            </w:r>
            <w:r w:rsidRPr="00391600" w:rsidR="002F78F4">
              <w:rPr>
                <w:rFonts w:ascii="Palatino Linotype" w:hAnsi="Palatino Linotype"/>
                <w:bCs/>
                <w:color w:val="000000" w:themeColor="text1"/>
                <w:sz w:val="20"/>
                <w:szCs w:val="20"/>
              </w:rPr>
              <w:t xml:space="preserve"> from Gas RD&amp;D investment</w:t>
            </w:r>
            <w:r w:rsidRPr="00391600" w:rsidR="002B29FA">
              <w:rPr>
                <w:rFonts w:ascii="Palatino Linotype" w:hAnsi="Palatino Linotype"/>
                <w:bCs/>
                <w:color w:val="000000" w:themeColor="text1"/>
                <w:sz w:val="20"/>
                <w:szCs w:val="20"/>
              </w:rPr>
              <w:t>s</w:t>
            </w:r>
            <w:r w:rsidRPr="00391600" w:rsidR="002F78F4">
              <w:rPr>
                <w:rFonts w:ascii="Palatino Linotype" w:hAnsi="Palatino Linotype"/>
                <w:bCs/>
                <w:color w:val="000000" w:themeColor="text1"/>
                <w:sz w:val="20"/>
                <w:szCs w:val="20"/>
              </w:rPr>
              <w:t xml:space="preserve"> and demonstrate they are used to offset ratepayer costs for new Plans or otherwise state that none have accrued.</w:t>
            </w:r>
          </w:p>
        </w:tc>
      </w:tr>
      <w:tr w:rsidRPr="00391600" w:rsidR="002F78F4" w:rsidTr="6FAFEDE3" w14:paraId="75448BA8" w14:textId="77777777">
        <w:trPr>
          <w:trHeight w:val="638"/>
        </w:trPr>
        <w:tc>
          <w:tcPr>
            <w:tcW w:w="3145" w:type="dxa"/>
          </w:tcPr>
          <w:p w:rsidRPr="00391600" w:rsidR="002F78F4" w:rsidP="00BB366A" w:rsidRDefault="002F78F4" w14:paraId="7561AB43" w14:textId="27371ECF">
            <w:pPr>
              <w:rPr>
                <w:rFonts w:ascii="Palatino Linotype" w:hAnsi="Palatino Linotype" w:eastAsia="Palatino Linotype" w:cs="Times New Roman"/>
                <w:bCs/>
                <w:i/>
                <w:iCs/>
                <w:kern w:val="0"/>
                <w:sz w:val="20"/>
                <w:szCs w:val="20"/>
                <w14:ligatures w14:val="none"/>
              </w:rPr>
            </w:pPr>
            <w:hyperlink w:history="1" r:id="rId77">
              <w:r w:rsidRPr="00391600">
                <w:rPr>
                  <w:rStyle w:val="Hyperlink"/>
                  <w:rFonts w:ascii="Palatino Linotype" w:hAnsi="Palatino Linotype" w:eastAsia="Palatino Linotype" w:cs="Times New Roman"/>
                  <w:b/>
                  <w:kern w:val="0"/>
                  <w:sz w:val="20"/>
                  <w:szCs w:val="20"/>
                  <w14:ligatures w14:val="none"/>
                </w:rPr>
                <w:t>Resolution G-3394</w:t>
              </w:r>
            </w:hyperlink>
            <w:r w:rsidRPr="00391600">
              <w:rPr>
                <w:rFonts w:ascii="Palatino Linotype" w:hAnsi="Palatino Linotype" w:eastAsia="Palatino Linotype" w:cs="Times New Roman"/>
                <w:b/>
                <w:kern w:val="0"/>
                <w:sz w:val="20"/>
                <w:szCs w:val="20"/>
                <w14:ligatures w14:val="none"/>
              </w:rPr>
              <w:t xml:space="preserve"> </w:t>
            </w:r>
            <w:r w:rsidRPr="00391600">
              <w:rPr>
                <w:rFonts w:ascii="Palatino Linotype" w:hAnsi="Palatino Linotype" w:eastAsia="Palatino Linotype" w:cs="Times New Roman"/>
                <w:bCs/>
                <w:kern w:val="0"/>
                <w:sz w:val="20"/>
                <w:szCs w:val="20"/>
                <w14:ligatures w14:val="none"/>
              </w:rPr>
              <w:t>(2006) at OP 2.</w:t>
            </w:r>
            <w:r w:rsidRPr="00391600">
              <w:rPr>
                <w:rFonts w:ascii="Palatino Linotype" w:hAnsi="Palatino Linotype" w:eastAsia="Palatino Linotype" w:cs="Times New Roman"/>
                <w:bCs/>
                <w:i/>
                <w:iCs/>
                <w:kern w:val="0"/>
                <w:sz w:val="20"/>
                <w:szCs w:val="20"/>
                <w14:ligatures w14:val="none"/>
              </w:rPr>
              <w:t xml:space="preserve"> The CEC shall submit</w:t>
            </w:r>
            <w:r w:rsidRPr="00391600" w:rsidR="00173266">
              <w:rPr>
                <w:rFonts w:ascii="Palatino Linotype" w:hAnsi="Palatino Linotype" w:eastAsia="Palatino Linotype" w:cs="Times New Roman"/>
                <w:bCs/>
                <w:i/>
                <w:iCs/>
                <w:kern w:val="0"/>
                <w:sz w:val="20"/>
                <w:szCs w:val="20"/>
                <w14:ligatures w14:val="none"/>
              </w:rPr>
              <w:t>…</w:t>
            </w:r>
            <w:r w:rsidRPr="00391600">
              <w:rPr>
                <w:rFonts w:ascii="Palatino Linotype" w:hAnsi="Palatino Linotype" w:eastAsia="Palatino Linotype" w:cs="Times New Roman"/>
                <w:bCs/>
                <w:i/>
                <w:iCs/>
                <w:kern w:val="0"/>
                <w:sz w:val="20"/>
                <w:szCs w:val="20"/>
                <w14:ligatures w14:val="none"/>
              </w:rPr>
              <w:t xml:space="preserve"> its Annual [Report] by October 31st, beginning in 2008.</w:t>
            </w:r>
          </w:p>
        </w:tc>
        <w:tc>
          <w:tcPr>
            <w:tcW w:w="7920" w:type="dxa"/>
          </w:tcPr>
          <w:p w:rsidRPr="00391600" w:rsidR="002F78F4" w:rsidP="00BB366A" w:rsidRDefault="00B83C9F" w14:paraId="3EF4201A" w14:textId="000BC8DB">
            <w:pPr>
              <w:rPr>
                <w:rFonts w:ascii="Palatino Linotype" w:hAnsi="Palatino Linotype"/>
                <w:bCs/>
                <w:color w:val="000000" w:themeColor="text1"/>
                <w:sz w:val="20"/>
                <w:szCs w:val="20"/>
              </w:rPr>
            </w:pPr>
            <w:r w:rsidRPr="00391600">
              <w:rPr>
                <w:rFonts w:ascii="Palatino Linotype" w:hAnsi="Palatino Linotype"/>
                <w:bCs/>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 provided a draft FY</w:t>
            </w:r>
            <w:r w:rsidRPr="00391600" w:rsidR="00113C33">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2023-2024 Annual Report to Energy Division on October 25, 2024, and received an extension to submit its final FY</w:t>
            </w:r>
            <w:r w:rsidRPr="00391600" w:rsidR="00113C33">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2023-2024 Annual Report in March 2025.</w:t>
            </w:r>
          </w:p>
        </w:tc>
        <w:tc>
          <w:tcPr>
            <w:tcW w:w="3240" w:type="dxa"/>
          </w:tcPr>
          <w:p w:rsidRPr="00391600" w:rsidR="002F78F4" w:rsidP="00BB366A" w:rsidRDefault="00B83C9F" w14:paraId="36805B8A" w14:textId="1F457321">
            <w:pPr>
              <w:rPr>
                <w:rFonts w:ascii="Palatino Linotype" w:hAnsi="Palatino Linotype"/>
                <w:b/>
                <w:sz w:val="20"/>
                <w:szCs w:val="20"/>
              </w:rPr>
            </w:pPr>
            <w:r w:rsidRPr="00391600">
              <w:rPr>
                <w:rFonts w:ascii="Palatino Linotype" w:hAnsi="Palatino Linotype"/>
                <w:b/>
                <w:sz w:val="20"/>
                <w:szCs w:val="20"/>
              </w:rPr>
              <w:t xml:space="preserve">The </w:t>
            </w:r>
            <w:r w:rsidRPr="00391600" w:rsidR="002F78F4">
              <w:rPr>
                <w:rFonts w:ascii="Palatino Linotype" w:hAnsi="Palatino Linotype"/>
                <w:b/>
                <w:sz w:val="20"/>
                <w:szCs w:val="20"/>
              </w:rPr>
              <w:t xml:space="preserve">CEC is compliant with this requirement. </w:t>
            </w:r>
            <w:r w:rsidRPr="00391600" w:rsidR="002F78F4">
              <w:rPr>
                <w:rFonts w:ascii="Palatino Linotype" w:hAnsi="Palatino Linotype"/>
                <w:bCs/>
                <w:sz w:val="20"/>
                <w:szCs w:val="20"/>
              </w:rPr>
              <w:t xml:space="preserve">However, </w:t>
            </w: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 shall strive to provide its final Annual Report by the deadline.</w:t>
            </w:r>
          </w:p>
        </w:tc>
      </w:tr>
      <w:tr w:rsidRPr="00391600" w:rsidR="002F78F4" w:rsidTr="6FAFEDE3" w14:paraId="386A5179" w14:textId="77777777">
        <w:trPr>
          <w:trHeight w:val="638"/>
        </w:trPr>
        <w:tc>
          <w:tcPr>
            <w:tcW w:w="3145" w:type="dxa"/>
          </w:tcPr>
          <w:p w:rsidRPr="00391600" w:rsidR="002F78F4" w:rsidP="00BB366A" w:rsidRDefault="002F78F4" w14:paraId="61AE93A8" w14:textId="72E49DC6">
            <w:pPr>
              <w:rPr>
                <w:rFonts w:ascii="Palatino Linotype" w:hAnsi="Palatino Linotype"/>
              </w:rPr>
            </w:pPr>
            <w:hyperlink r:id="rId78">
              <w:r w:rsidRPr="00391600">
                <w:rPr>
                  <w:rStyle w:val="Hyperlink"/>
                  <w:rFonts w:ascii="Palatino Linotype" w:hAnsi="Palatino Linotype" w:eastAsia="Palatino Linotype" w:cs="Palatino Linotype"/>
                  <w:b/>
                  <w:bCs/>
                  <w:sz w:val="20"/>
                  <w:szCs w:val="20"/>
                </w:rPr>
                <w:t>Resolution G-3484</w:t>
              </w:r>
            </w:hyperlink>
            <w:r w:rsidRPr="00391600">
              <w:rPr>
                <w:rFonts w:ascii="Palatino Linotype" w:hAnsi="Palatino Linotype" w:eastAsia="Palatino Linotype" w:cs="Palatino Linotype"/>
                <w:b/>
                <w:bCs/>
                <w:color w:val="000000" w:themeColor="text1"/>
                <w:sz w:val="20"/>
                <w:szCs w:val="20"/>
              </w:rPr>
              <w:t xml:space="preserve"> </w:t>
            </w:r>
            <w:r w:rsidRPr="00391600">
              <w:rPr>
                <w:rFonts w:ascii="Palatino Linotype" w:hAnsi="Palatino Linotype" w:eastAsia="Palatino Linotype" w:cs="Palatino Linotype"/>
                <w:color w:val="000000" w:themeColor="text1"/>
                <w:sz w:val="20"/>
                <w:szCs w:val="20"/>
              </w:rPr>
              <w:t xml:space="preserve">(2013) at p. 5-6: </w:t>
            </w:r>
            <w:r w:rsidRPr="00391600">
              <w:rPr>
                <w:rFonts w:ascii="Palatino Linotype" w:hAnsi="Palatino Linotype" w:eastAsia="Palatino Linotype" w:cs="Palatino Linotype"/>
                <w:i/>
                <w:iCs/>
                <w:color w:val="000000" w:themeColor="text1"/>
                <w:sz w:val="20"/>
                <w:szCs w:val="20"/>
              </w:rPr>
              <w:t xml:space="preserve">In the interest of transparency, the CEC shall give an accounting of unspent PIER Natural Gas R&amp;D funds in each future year proposed budget, beginning with the proposed budget for Fiscal Year 2014-2015. The CPUC understands that the CEC has two years to encumber PIER Natural Gas R&amp;D funds with projects and an additional four years before such funds expire. Beginning with the Fiscal Year 2014-2015 proposed budget, the CEC shall include in its proposed </w:t>
            </w:r>
            <w:proofErr w:type="gramStart"/>
            <w:r w:rsidRPr="00391600">
              <w:rPr>
                <w:rFonts w:ascii="Palatino Linotype" w:hAnsi="Palatino Linotype" w:eastAsia="Palatino Linotype" w:cs="Palatino Linotype"/>
                <w:i/>
                <w:iCs/>
                <w:color w:val="000000" w:themeColor="text1"/>
                <w:sz w:val="20"/>
                <w:szCs w:val="20"/>
              </w:rPr>
              <w:t>budget an account</w:t>
            </w:r>
            <w:proofErr w:type="gramEnd"/>
            <w:r w:rsidRPr="00391600">
              <w:rPr>
                <w:rFonts w:ascii="Palatino Linotype" w:hAnsi="Palatino Linotype" w:eastAsia="Palatino Linotype" w:cs="Palatino Linotype"/>
                <w:i/>
                <w:iCs/>
                <w:color w:val="000000" w:themeColor="text1"/>
                <w:sz w:val="20"/>
                <w:szCs w:val="20"/>
              </w:rPr>
              <w:t xml:space="preserve">, by research area, of then-current unspent funds in the PIER Natural </w:t>
            </w:r>
            <w:r w:rsidRPr="00391600">
              <w:rPr>
                <w:rFonts w:ascii="Palatino Linotype" w:hAnsi="Palatino Linotype" w:eastAsia="Palatino Linotype" w:cs="Palatino Linotype"/>
                <w:i/>
                <w:iCs/>
                <w:color w:val="000000" w:themeColor="text1"/>
                <w:sz w:val="20"/>
                <w:szCs w:val="20"/>
              </w:rPr>
              <w:lastRenderedPageBreak/>
              <w:t xml:space="preserve">Gas R&amp;D program, including encumbrances and </w:t>
            </w:r>
            <w:r w:rsidRPr="00391600">
              <w:rPr>
                <w:rFonts w:ascii="Palatino Linotype" w:hAnsi="Palatino Linotype" w:eastAsia="Palatino Linotype" w:cs="Palatino Linotype"/>
                <w:i/>
                <w:color w:val="000000" w:themeColor="text1"/>
                <w:sz w:val="20"/>
                <w:szCs w:val="20"/>
              </w:rPr>
              <w:t>expiration dates</w:t>
            </w:r>
            <w:r w:rsidRPr="00391600">
              <w:rPr>
                <w:rFonts w:ascii="Palatino Linotype" w:hAnsi="Palatino Linotype" w:eastAsia="Palatino Linotype" w:cs="Palatino Linotype"/>
                <w:i/>
                <w:iCs/>
                <w:color w:val="000000" w:themeColor="text1"/>
                <w:sz w:val="20"/>
                <w:szCs w:val="20"/>
              </w:rPr>
              <w:t xml:space="preserve">. The intent of this requirement is to show that the CEC has spent its cumulative authorized budgets in the areas in which the money was authorized and to provide an accounting of the status of cumulative unspent funds. This </w:t>
            </w:r>
            <w:proofErr w:type="gramStart"/>
            <w:r w:rsidRPr="00391600">
              <w:rPr>
                <w:rFonts w:ascii="Palatino Linotype" w:hAnsi="Palatino Linotype" w:eastAsia="Palatino Linotype" w:cs="Palatino Linotype"/>
                <w:i/>
                <w:iCs/>
                <w:color w:val="000000" w:themeColor="text1"/>
                <w:sz w:val="20"/>
                <w:szCs w:val="20"/>
              </w:rPr>
              <w:t>requirement shall</w:t>
            </w:r>
            <w:proofErr w:type="gramEnd"/>
            <w:r w:rsidRPr="00391600">
              <w:rPr>
                <w:rFonts w:ascii="Palatino Linotype" w:hAnsi="Palatino Linotype" w:eastAsia="Palatino Linotype" w:cs="Palatino Linotype"/>
                <w:i/>
                <w:iCs/>
                <w:color w:val="000000" w:themeColor="text1"/>
                <w:sz w:val="20"/>
                <w:szCs w:val="20"/>
              </w:rPr>
              <w:t xml:space="preserve"> remain in place for each fiscal year’s proposed budget, until otherwise directed by the CPUC</w:t>
            </w:r>
            <w:r w:rsidRPr="00391600">
              <w:rPr>
                <w:rFonts w:ascii="Palatino Linotype" w:hAnsi="Palatino Linotype" w:eastAsia="Palatino Linotype" w:cs="Palatino Linotype"/>
                <w:color w:val="000000" w:themeColor="text1"/>
                <w:sz w:val="20"/>
                <w:szCs w:val="20"/>
              </w:rPr>
              <w:t xml:space="preserve">.  </w:t>
            </w:r>
          </w:p>
        </w:tc>
        <w:tc>
          <w:tcPr>
            <w:tcW w:w="7920" w:type="dxa"/>
          </w:tcPr>
          <w:p w:rsidRPr="00391600" w:rsidR="002F78F4" w:rsidP="00BB366A" w:rsidRDefault="31EA43B3" w14:paraId="5FB147B7" w14:textId="0ED08B41">
            <w:pPr>
              <w:rPr>
                <w:rFonts w:ascii="Palatino Linotype" w:hAnsi="Palatino Linotype"/>
                <w:bCs/>
                <w:color w:val="000000" w:themeColor="text1"/>
                <w:sz w:val="20"/>
                <w:szCs w:val="20"/>
              </w:rPr>
            </w:pPr>
            <w:r w:rsidRPr="00391600">
              <w:rPr>
                <w:rFonts w:ascii="Palatino Linotype" w:hAnsi="Palatino Linotype"/>
                <w:sz w:val="20"/>
                <w:szCs w:val="20"/>
              </w:rPr>
              <w:lastRenderedPageBreak/>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provides balances of encumbered and unspent funds from CEC’s Plans from FY 2014-2015 through FY 2023-2024 as of January 2025 in Appendix B.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states that “Funds Unspent refers to funds that have not been encumbered to an executed agreement (contract or grant), or previously encumbered funds that become unencumbered because the agreement has been canceled or due to other reasons.”</w:t>
            </w:r>
            <w:r w:rsidRPr="00391600" w:rsidR="002F78F4">
              <w:rPr>
                <w:rStyle w:val="FootnoteReference"/>
                <w:rFonts w:ascii="Palatino Linotype" w:hAnsi="Palatino Linotype"/>
                <w:color w:val="000000" w:themeColor="text1"/>
                <w:sz w:val="20"/>
                <w:szCs w:val="20"/>
              </w:rPr>
              <w:footnoteReference w:id="193"/>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reports $26.14M in unspent funds from its FY 2023-2024 Plan and details that, for this Plan, the CPUC approved reallocations amounting to $1.23M from its FY 2020-2021 Plan; $3.81 from its FY 2016-2017 Plan; and $1.5M from its FY 2015-2016 Plan in previously unspent funds.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does not request to use unspent funds for any new projects in its FY 2024-2025 Plan, but states that it “will ensure that for any use of encumbered and unspent funds that the CEC requests for new projects, the request will identify the respective research areas for which the CPUC originally authorized the funding.”</w:t>
            </w:r>
            <w:r w:rsidRPr="00391600" w:rsidR="002F78F4">
              <w:rPr>
                <w:rStyle w:val="FootnoteReference"/>
                <w:rFonts w:ascii="Palatino Linotype" w:hAnsi="Palatino Linotype"/>
                <w:color w:val="000000" w:themeColor="text1"/>
                <w:sz w:val="20"/>
                <w:szCs w:val="20"/>
              </w:rPr>
              <w:footnoteReference w:id="194"/>
            </w:r>
            <w:r w:rsidRPr="00391600" w:rsidR="002F78F4">
              <w:rPr>
                <w:rFonts w:ascii="Palatino Linotype" w:hAnsi="Palatino Linotype"/>
                <w:color w:val="000000" w:themeColor="text1"/>
                <w:sz w:val="20"/>
                <w:szCs w:val="20"/>
              </w:rPr>
              <w:t xml:space="preserve"> </w:t>
            </w:r>
          </w:p>
          <w:p w:rsidRPr="00391600" w:rsidR="002F78F4" w:rsidP="00591B27" w:rsidRDefault="002B02B5" w14:paraId="2F192028" w14:textId="0C2C9BCC">
            <w:pPr>
              <w:spacing w:before="240"/>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The</w:t>
            </w:r>
            <w:r w:rsidRPr="00391600" w:rsidDel="002B02B5" w:rsidR="00B83C9F">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also responded to a Spring 2026 CPUC </w:t>
            </w:r>
            <w:r w:rsidRPr="00391600" w:rsidR="0056763F">
              <w:rPr>
                <w:rFonts w:ascii="Palatino Linotype" w:hAnsi="Palatino Linotype"/>
                <w:bCs/>
                <w:color w:val="000000" w:themeColor="text1"/>
                <w:sz w:val="20"/>
                <w:szCs w:val="20"/>
              </w:rPr>
              <w:t>d</w:t>
            </w:r>
            <w:r w:rsidRPr="00391600" w:rsidR="002F78F4">
              <w:rPr>
                <w:rFonts w:ascii="Palatino Linotype" w:hAnsi="Palatino Linotype"/>
                <w:bCs/>
                <w:color w:val="000000" w:themeColor="text1"/>
                <w:sz w:val="20"/>
                <w:szCs w:val="20"/>
              </w:rPr>
              <w:t xml:space="preserve">ata </w:t>
            </w:r>
            <w:r w:rsidRPr="00391600" w:rsidR="0056763F">
              <w:rPr>
                <w:rFonts w:ascii="Palatino Linotype" w:hAnsi="Palatino Linotype"/>
                <w:bCs/>
                <w:color w:val="000000" w:themeColor="text1"/>
                <w:sz w:val="20"/>
                <w:szCs w:val="20"/>
              </w:rPr>
              <w:t>r</w:t>
            </w:r>
            <w:r w:rsidRPr="00391600" w:rsidR="002F78F4">
              <w:rPr>
                <w:rFonts w:ascii="Palatino Linotype" w:hAnsi="Palatino Linotype"/>
                <w:bCs/>
                <w:color w:val="000000" w:themeColor="text1"/>
                <w:sz w:val="20"/>
                <w:szCs w:val="20"/>
              </w:rPr>
              <w:t xml:space="preserve">equest with updated balances of spent and unspent encumbered funds and unencumbered funds from previously approved Gas RD&amp;D Plans from FY 2015-2016 to present to supplement information provided in its Plan appendices. </w:t>
            </w:r>
            <w:r w:rsidRPr="00391600" w:rsidR="005545C8">
              <w:rPr>
                <w:rFonts w:ascii="Palatino Linotype" w:hAnsi="Palatino Linotype"/>
                <w:bCs/>
                <w:sz w:val="20"/>
                <w:szCs w:val="20"/>
              </w:rPr>
              <w:t>The</w:t>
            </w:r>
            <w:r w:rsidRPr="00391600" w:rsidR="005545C8">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 reports a total of $31,076,</w:t>
            </w:r>
            <w:r w:rsidRPr="00391600" w:rsidR="002F78F4">
              <w:rPr>
                <w:rFonts w:ascii="Palatino Linotype" w:hAnsi="Palatino Linotype"/>
                <w:color w:val="000000" w:themeColor="text1"/>
                <w:sz w:val="20"/>
                <w:szCs w:val="20"/>
              </w:rPr>
              <w:t>69</w:t>
            </w:r>
            <w:r w:rsidRPr="00391600" w:rsidR="7C743B53">
              <w:rPr>
                <w:rFonts w:ascii="Palatino Linotype" w:hAnsi="Palatino Linotype"/>
                <w:color w:val="000000" w:themeColor="text1"/>
                <w:sz w:val="20"/>
                <w:szCs w:val="20"/>
              </w:rPr>
              <w:t>0</w:t>
            </w:r>
            <w:r w:rsidRPr="00391600" w:rsidR="002F78F4">
              <w:rPr>
                <w:rFonts w:ascii="Palatino Linotype" w:hAnsi="Palatino Linotype"/>
                <w:bCs/>
                <w:color w:val="000000" w:themeColor="text1"/>
                <w:sz w:val="20"/>
                <w:szCs w:val="20"/>
              </w:rPr>
              <w:t xml:space="preserve"> in Unspent </w:t>
            </w:r>
            <w:r w:rsidRPr="00391600" w:rsidR="002F78F4">
              <w:rPr>
                <w:rFonts w:ascii="Palatino Linotype" w:hAnsi="Palatino Linotype"/>
                <w:bCs/>
                <w:color w:val="000000" w:themeColor="text1"/>
                <w:sz w:val="20"/>
                <w:szCs w:val="20"/>
              </w:rPr>
              <w:lastRenderedPageBreak/>
              <w:t>Encumbered Funds and Unencumbered Funds</w:t>
            </w:r>
            <w:r w:rsidRPr="00391600" w:rsidR="001271E6">
              <w:rPr>
                <w:rFonts w:ascii="Palatino Linotype" w:hAnsi="Palatino Linotype"/>
                <w:bCs/>
                <w:color w:val="000000" w:themeColor="text1"/>
                <w:sz w:val="20"/>
                <w:szCs w:val="20"/>
              </w:rPr>
              <w:t> </w:t>
            </w:r>
            <w:r w:rsidRPr="00391600" w:rsidR="001271E6">
              <w:rPr>
                <w:rFonts w:ascii="Palatino Linotype" w:hAnsi="Palatino Linotype"/>
                <w:color w:val="000000" w:themeColor="text1"/>
                <w:sz w:val="20"/>
                <w:szCs w:val="20"/>
              </w:rPr>
              <w:t>for which up to 11+ years have passed since encumbrance or up to 9+ years have passed since funds were authorized without being encumbered</w:t>
            </w:r>
            <w:r w:rsidRPr="00391600" w:rsidR="001271E6">
              <w:rPr>
                <w:rFonts w:ascii="Palatino Linotype" w:hAnsi="Palatino Linotype"/>
                <w:bCs/>
                <w:color w:val="000000" w:themeColor="text1"/>
                <w:sz w:val="20"/>
                <w:szCs w:val="20"/>
              </w:rPr>
              <w:t>.</w:t>
            </w:r>
            <w:r w:rsidRPr="00391600" w:rsidR="002F78F4">
              <w:rPr>
                <w:rFonts w:ascii="Palatino Linotype" w:hAnsi="Palatino Linotype"/>
                <w:bCs/>
                <w:color w:val="000000" w:themeColor="text1"/>
                <w:sz w:val="20"/>
                <w:szCs w:val="20"/>
              </w:rPr>
              <w:t xml:space="preserve"> </w:t>
            </w:r>
            <w:r w:rsidRPr="00391600" w:rsidR="002F78F4">
              <w:rPr>
                <w:rFonts w:ascii="Palatino Linotype" w:hAnsi="Palatino Linotype"/>
                <w:sz w:val="20"/>
                <w:szCs w:val="20"/>
              </w:rPr>
              <w:t>See Resolution G-</w:t>
            </w:r>
            <w:r w:rsidRPr="00391600" w:rsidR="002E0702">
              <w:rPr>
                <w:rFonts w:ascii="Palatino Linotype" w:hAnsi="Palatino Linotype"/>
                <w:color w:val="000000" w:themeColor="text1"/>
                <w:sz w:val="20"/>
                <w:szCs w:val="20"/>
              </w:rPr>
              <w:t xml:space="preserve">3622 </w:t>
            </w:r>
            <w:r w:rsidRPr="00391600" w:rsidR="002F78F4">
              <w:rPr>
                <w:rFonts w:ascii="Palatino Linotype" w:hAnsi="Palatino Linotype"/>
                <w:sz w:val="20"/>
                <w:szCs w:val="20"/>
              </w:rPr>
              <w:t xml:space="preserve">at Appendix </w:t>
            </w:r>
            <w:r w:rsidRPr="00391600" w:rsidR="00037C5F">
              <w:rPr>
                <w:rFonts w:ascii="Palatino Linotype" w:hAnsi="Palatino Linotype"/>
                <w:sz w:val="20"/>
                <w:szCs w:val="20"/>
              </w:rPr>
              <w:t>F</w:t>
            </w:r>
            <w:r w:rsidRPr="00391600" w:rsidR="002F78F4">
              <w:rPr>
                <w:rFonts w:ascii="Palatino Linotype" w:hAnsi="Palatino Linotype"/>
                <w:sz w:val="20"/>
                <w:szCs w:val="20"/>
              </w:rPr>
              <w:t xml:space="preserve">: </w:t>
            </w:r>
            <w:r w:rsidRPr="00391600" w:rsidR="002F78F4">
              <w:rPr>
                <w:rFonts w:ascii="Palatino Linotype" w:hAnsi="Palatino Linotype"/>
                <w:color w:val="000000" w:themeColor="text1"/>
                <w:sz w:val="20"/>
                <w:szCs w:val="20"/>
              </w:rPr>
              <w:t>CEC Balances of Unspent Funds from Previously Approved Gas RD&amp;D Plans.</w:t>
            </w:r>
          </w:p>
          <w:p w:rsidRPr="00391600" w:rsidR="002F78F4" w:rsidP="00BB366A" w:rsidRDefault="002F78F4" w14:paraId="71F37A51" w14:textId="77777777">
            <w:pPr>
              <w:rPr>
                <w:rFonts w:ascii="Palatino Linotype" w:hAnsi="Palatino Linotype"/>
                <w:bCs/>
                <w:color w:val="000000" w:themeColor="text1"/>
                <w:sz w:val="20"/>
                <w:szCs w:val="20"/>
              </w:rPr>
            </w:pPr>
          </w:p>
          <w:p w:rsidRPr="00391600" w:rsidR="002F78F4" w:rsidP="00BB366A" w:rsidRDefault="002F78F4" w14:paraId="24A862D3" w14:textId="77777777">
            <w:pPr>
              <w:pStyle w:val="ListParagraph"/>
              <w:ind w:left="1080"/>
              <w:rPr>
                <w:rFonts w:ascii="Palatino Linotype" w:hAnsi="Palatino Linotype"/>
                <w:bCs/>
                <w:color w:val="000000" w:themeColor="text1"/>
                <w:sz w:val="20"/>
                <w:szCs w:val="20"/>
              </w:rPr>
            </w:pPr>
          </w:p>
          <w:p w:rsidRPr="00391600" w:rsidR="002F78F4" w:rsidP="00BB366A" w:rsidRDefault="002F78F4" w14:paraId="6AE3F39E" w14:textId="77777777">
            <w:pPr>
              <w:rPr>
                <w:rFonts w:ascii="Palatino Linotype" w:hAnsi="Palatino Linotype"/>
                <w:bCs/>
                <w:color w:val="000000" w:themeColor="text1"/>
                <w:sz w:val="20"/>
                <w:szCs w:val="20"/>
              </w:rPr>
            </w:pPr>
          </w:p>
        </w:tc>
        <w:tc>
          <w:tcPr>
            <w:tcW w:w="3240" w:type="dxa"/>
          </w:tcPr>
          <w:p w:rsidRPr="00391600" w:rsidR="002F78F4" w:rsidP="00BB366A" w:rsidRDefault="002F78F4" w14:paraId="4605F2BA" w14:textId="033A8A80">
            <w:pPr>
              <w:rPr>
                <w:rFonts w:ascii="Palatino Linotype" w:hAnsi="Palatino Linotype"/>
                <w:bCs/>
                <w:sz w:val="20"/>
                <w:szCs w:val="20"/>
              </w:rPr>
            </w:pPr>
            <w:r w:rsidRPr="00391600">
              <w:rPr>
                <w:rFonts w:ascii="Palatino Linotype" w:hAnsi="Palatino Linotype"/>
                <w:bCs/>
                <w:color w:val="000000" w:themeColor="text1"/>
                <w:sz w:val="20"/>
                <w:szCs w:val="20"/>
              </w:rPr>
              <w:lastRenderedPageBreak/>
              <w:t xml:space="preserve">Though </w:t>
            </w:r>
            <w:r w:rsidRPr="00391600" w:rsidR="00B83C9F">
              <w:rPr>
                <w:rFonts w:ascii="Palatino Linotype" w:hAnsi="Palatino Linotype"/>
                <w:bCs/>
                <w:color w:val="000000" w:themeColor="text1"/>
                <w:sz w:val="20"/>
                <w:szCs w:val="20"/>
              </w:rPr>
              <w:t>t</w:t>
            </w:r>
            <w:r w:rsidRPr="00391600" w:rsidR="00B83C9F">
              <w:rPr>
                <w:rFonts w:ascii="Palatino Linotype" w:hAnsi="Palatino Linotype"/>
                <w:bCs/>
                <w:sz w:val="20"/>
                <w:szCs w:val="20"/>
              </w:rPr>
              <w:t>he</w:t>
            </w:r>
            <w:r w:rsidRPr="00391600" w:rsidR="00B83C9F">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CEC</w:t>
            </w:r>
            <w:r w:rsidRPr="00391600" w:rsidR="00503C1D">
              <w:rPr>
                <w:rFonts w:ascii="Palatino Linotype" w:hAnsi="Palatino Linotype"/>
                <w:bCs/>
                <w:color w:val="000000" w:themeColor="text1"/>
                <w:sz w:val="20"/>
                <w:szCs w:val="20"/>
              </w:rPr>
              <w:t xml:space="preserve"> provides some</w:t>
            </w:r>
            <w:r w:rsidRPr="00391600">
              <w:rPr>
                <w:rFonts w:ascii="Palatino Linotype" w:hAnsi="Palatino Linotype"/>
                <w:bCs/>
                <w:color w:val="000000" w:themeColor="text1"/>
                <w:sz w:val="20"/>
                <w:szCs w:val="20"/>
              </w:rPr>
              <w:t xml:space="preserve"> report</w:t>
            </w:r>
            <w:r w:rsidRPr="00391600" w:rsidR="00503C1D">
              <w:rPr>
                <w:rFonts w:ascii="Palatino Linotype" w:hAnsi="Palatino Linotype"/>
                <w:bCs/>
                <w:color w:val="000000" w:themeColor="text1"/>
                <w:sz w:val="20"/>
                <w:szCs w:val="20"/>
              </w:rPr>
              <w:t>ing</w:t>
            </w:r>
            <w:r w:rsidRPr="00391600">
              <w:rPr>
                <w:rFonts w:ascii="Palatino Linotype" w:hAnsi="Palatino Linotype"/>
                <w:bCs/>
                <w:color w:val="000000" w:themeColor="text1"/>
                <w:sz w:val="20"/>
                <w:szCs w:val="20"/>
              </w:rPr>
              <w:t xml:space="preserve"> </w:t>
            </w:r>
            <w:r w:rsidRPr="00391600" w:rsidR="00503C1D">
              <w:rPr>
                <w:rFonts w:ascii="Palatino Linotype" w:hAnsi="Palatino Linotype"/>
                <w:bCs/>
                <w:color w:val="000000" w:themeColor="text1"/>
                <w:sz w:val="20"/>
                <w:szCs w:val="20"/>
              </w:rPr>
              <w:t xml:space="preserve">on </w:t>
            </w:r>
            <w:r w:rsidRPr="00391600">
              <w:rPr>
                <w:rFonts w:ascii="Palatino Linotype" w:hAnsi="Palatino Linotype"/>
                <w:bCs/>
                <w:color w:val="000000" w:themeColor="text1"/>
                <w:sz w:val="20"/>
                <w:szCs w:val="20"/>
              </w:rPr>
              <w:t xml:space="preserve">unspent and encumbered </w:t>
            </w:r>
            <w:r w:rsidRPr="00391600" w:rsidR="00503C1D">
              <w:rPr>
                <w:rFonts w:ascii="Palatino Linotype" w:hAnsi="Palatino Linotype"/>
                <w:bCs/>
                <w:color w:val="000000" w:themeColor="text1"/>
                <w:sz w:val="20"/>
                <w:szCs w:val="20"/>
              </w:rPr>
              <w:t xml:space="preserve">Initiative </w:t>
            </w:r>
            <w:r w:rsidRPr="00391600">
              <w:rPr>
                <w:rFonts w:ascii="Palatino Linotype" w:hAnsi="Palatino Linotype"/>
                <w:bCs/>
                <w:color w:val="000000" w:themeColor="text1"/>
                <w:sz w:val="20"/>
                <w:szCs w:val="20"/>
              </w:rPr>
              <w:t xml:space="preserve">funds, </w:t>
            </w:r>
            <w:r w:rsidRPr="00391600" w:rsidR="00B83C9F">
              <w:rPr>
                <w:rFonts w:ascii="Palatino Linotype" w:hAnsi="Palatino Linotype"/>
                <w:bCs/>
                <w:color w:val="000000" w:themeColor="text1"/>
                <w:sz w:val="20"/>
                <w:szCs w:val="20"/>
              </w:rPr>
              <w:t>t</w:t>
            </w:r>
            <w:r w:rsidRPr="00391600" w:rsidR="00B83C9F">
              <w:rPr>
                <w:rFonts w:ascii="Palatino Linotype" w:hAnsi="Palatino Linotype"/>
                <w:bCs/>
                <w:sz w:val="20"/>
                <w:szCs w:val="20"/>
              </w:rPr>
              <w:t>he</w:t>
            </w:r>
            <w:r w:rsidRPr="00391600" w:rsidR="00B83C9F">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 xml:space="preserve">CEC </w:t>
            </w:r>
            <w:r w:rsidRPr="00391600" w:rsidDel="00503C1D">
              <w:rPr>
                <w:rFonts w:ascii="Palatino Linotype" w:hAnsi="Palatino Linotype"/>
                <w:bCs/>
                <w:color w:val="000000" w:themeColor="text1"/>
                <w:sz w:val="20"/>
                <w:szCs w:val="20"/>
              </w:rPr>
              <w:t xml:space="preserve">does not </w:t>
            </w:r>
            <w:r w:rsidRPr="00391600">
              <w:rPr>
                <w:rFonts w:ascii="Palatino Linotype" w:hAnsi="Palatino Linotype"/>
                <w:bCs/>
                <w:color w:val="000000" w:themeColor="text1"/>
                <w:sz w:val="20"/>
                <w:szCs w:val="20"/>
              </w:rPr>
              <w:t>p</w:t>
            </w:r>
            <w:r w:rsidRPr="00391600">
              <w:rPr>
                <w:rFonts w:ascii="Palatino Linotype" w:hAnsi="Palatino Linotype"/>
                <w:bCs/>
                <w:sz w:val="20"/>
                <w:szCs w:val="20"/>
              </w:rPr>
              <w:t xml:space="preserve">rovide information on the spending of program administrative costs. The information provided does not </w:t>
            </w:r>
            <w:r w:rsidRPr="00391600">
              <w:rPr>
                <w:rFonts w:ascii="Palatino Linotype" w:hAnsi="Palatino Linotype"/>
                <w:sz w:val="20"/>
                <w:szCs w:val="20"/>
              </w:rPr>
              <w:t>demonstrate</w:t>
            </w:r>
            <w:r w:rsidRPr="00391600">
              <w:rPr>
                <w:rFonts w:ascii="Palatino Linotype" w:hAnsi="Palatino Linotype" w:eastAsia="Palatino Linotype" w:cs="Palatino Linotype"/>
                <w:color w:val="000000" w:themeColor="text1"/>
                <w:sz w:val="20"/>
                <w:szCs w:val="20"/>
              </w:rPr>
              <w:t xml:space="preserve"> that</w:t>
            </w:r>
            <w:r w:rsidRPr="00391600" w:rsidR="00B83C9F">
              <w:rPr>
                <w:rFonts w:ascii="Palatino Linotype" w:hAnsi="Palatino Linotype" w:eastAsia="Palatino Linotype" w:cs="Palatino Linotype"/>
                <w:color w:val="000000" w:themeColor="text1"/>
                <w:sz w:val="20"/>
                <w:szCs w:val="20"/>
              </w:rPr>
              <w:t xml:space="preserve"> t</w:t>
            </w:r>
            <w:r w:rsidRPr="00391600" w:rsidR="00B83C9F">
              <w:rPr>
                <w:rFonts w:ascii="Palatino Linotype" w:hAnsi="Palatino Linotype"/>
                <w:bCs/>
                <w:sz w:val="20"/>
                <w:szCs w:val="20"/>
              </w:rPr>
              <w:t>he</w:t>
            </w:r>
            <w:r w:rsidRPr="00391600">
              <w:rPr>
                <w:rFonts w:ascii="Palatino Linotype" w:hAnsi="Palatino Linotype" w:eastAsia="Palatino Linotype" w:cs="Palatino Linotype"/>
                <w:color w:val="000000" w:themeColor="text1"/>
                <w:sz w:val="20"/>
                <w:szCs w:val="20"/>
              </w:rPr>
              <w:t xml:space="preserve"> CEC has spent its cumulative authorized budgets in the areas in which the money was authorized nor provide sufficient accounting on the status of cumulative unspent funds.</w:t>
            </w:r>
            <w:r w:rsidRPr="00391600">
              <w:rPr>
                <w:rFonts w:ascii="Palatino Linotype" w:hAnsi="Palatino Linotype"/>
                <w:bCs/>
                <w:sz w:val="20"/>
                <w:szCs w:val="20"/>
              </w:rPr>
              <w:t xml:space="preserve"> </w:t>
            </w:r>
            <w:r w:rsidRPr="00391600" w:rsidR="00B83C9F">
              <w:rPr>
                <w:rFonts w:ascii="Palatino Linotype" w:hAnsi="Palatino Linotype"/>
                <w:b/>
                <w:sz w:val="20"/>
                <w:szCs w:val="20"/>
              </w:rPr>
              <w:t>The</w:t>
            </w:r>
            <w:r w:rsidRPr="00391600" w:rsidR="00B83C9F">
              <w:rPr>
                <w:rFonts w:ascii="Palatino Linotype" w:hAnsi="Palatino Linotype"/>
                <w:b/>
                <w:color w:val="000000" w:themeColor="text1"/>
                <w:sz w:val="20"/>
                <w:szCs w:val="20"/>
              </w:rPr>
              <w:t xml:space="preserve"> </w:t>
            </w:r>
            <w:r w:rsidRPr="00391600">
              <w:rPr>
                <w:rFonts w:ascii="Palatino Linotype" w:hAnsi="Palatino Linotype"/>
                <w:b/>
                <w:color w:val="000000" w:themeColor="text1"/>
                <w:sz w:val="20"/>
                <w:szCs w:val="20"/>
              </w:rPr>
              <w:t xml:space="preserve">CEC is </w:t>
            </w:r>
            <w:r w:rsidRPr="00391600">
              <w:rPr>
                <w:rFonts w:ascii="Palatino Linotype" w:hAnsi="Palatino Linotype"/>
                <w:b/>
                <w:i/>
                <w:iCs/>
                <w:color w:val="000000" w:themeColor="text1"/>
                <w:sz w:val="20"/>
                <w:szCs w:val="20"/>
              </w:rPr>
              <w:t>not</w:t>
            </w:r>
            <w:r w:rsidRPr="00391600">
              <w:rPr>
                <w:rFonts w:ascii="Palatino Linotype" w:hAnsi="Palatino Linotype"/>
                <w:b/>
                <w:color w:val="000000" w:themeColor="text1"/>
                <w:sz w:val="20"/>
                <w:szCs w:val="20"/>
              </w:rPr>
              <w:t xml:space="preserve"> compliant with this requirement.  </w:t>
            </w:r>
          </w:p>
          <w:p w:rsidRPr="00391600" w:rsidR="002F78F4" w:rsidP="00BB366A" w:rsidRDefault="002F78F4" w14:paraId="6D3DACFF" w14:textId="77777777">
            <w:pPr>
              <w:rPr>
                <w:rFonts w:ascii="Palatino Linotype" w:hAnsi="Palatino Linotype"/>
                <w:b/>
                <w:color w:val="FF0000"/>
                <w:sz w:val="20"/>
                <w:szCs w:val="20"/>
              </w:rPr>
            </w:pPr>
          </w:p>
          <w:p w:rsidRPr="00391600" w:rsidR="002F78F4" w:rsidP="00BB366A" w:rsidRDefault="002F78F4" w14:paraId="7222B443" w14:textId="24BF1142">
            <w:pPr>
              <w:rPr>
                <w:rFonts w:ascii="Palatino Linotype" w:hAnsi="Palatino Linotype"/>
                <w:sz w:val="20"/>
                <w:szCs w:val="20"/>
              </w:rPr>
            </w:pPr>
            <w:r w:rsidRPr="00391600">
              <w:rPr>
                <w:rFonts w:ascii="Palatino Linotype" w:hAnsi="Palatino Linotype"/>
                <w:sz w:val="20"/>
                <w:szCs w:val="20"/>
              </w:rPr>
              <w:t xml:space="preserve">To clearly demonstrate compliance with reporting </w:t>
            </w:r>
            <w:r w:rsidRPr="00391600">
              <w:rPr>
                <w:rFonts w:ascii="Palatino Linotype" w:hAnsi="Palatino Linotype"/>
                <w:sz w:val="20"/>
                <w:szCs w:val="20"/>
              </w:rPr>
              <w:lastRenderedPageBreak/>
              <w:t xml:space="preserve">requirements, the CEC shall utilize </w:t>
            </w:r>
            <w:r w:rsidRPr="00391600" w:rsidR="00B715E5">
              <w:rPr>
                <w:rFonts w:ascii="Palatino Linotype" w:hAnsi="Palatino Linotype"/>
                <w:sz w:val="20"/>
                <w:szCs w:val="20"/>
              </w:rPr>
              <w:t xml:space="preserve">the standardized </w:t>
            </w:r>
            <w:r w:rsidRPr="00391600" w:rsidR="00EE285F">
              <w:rPr>
                <w:rFonts w:ascii="Palatino Linotype" w:hAnsi="Palatino Linotype"/>
                <w:sz w:val="20"/>
                <w:szCs w:val="20"/>
              </w:rPr>
              <w:t xml:space="preserve">template provided by Energy Division for its </w:t>
            </w:r>
            <w:r w:rsidRPr="00391600" w:rsidR="00971EA2">
              <w:rPr>
                <w:rFonts w:ascii="Palatino Linotype" w:hAnsi="Palatino Linotype"/>
                <w:sz w:val="20"/>
                <w:szCs w:val="20"/>
              </w:rPr>
              <w:t>Annual Report.</w:t>
            </w:r>
          </w:p>
        </w:tc>
      </w:tr>
      <w:tr w:rsidRPr="00391600" w:rsidR="002F78F4" w:rsidTr="6FAFEDE3" w14:paraId="47621959" w14:textId="77777777">
        <w:trPr>
          <w:trHeight w:val="638"/>
        </w:trPr>
        <w:tc>
          <w:tcPr>
            <w:tcW w:w="3145" w:type="dxa"/>
          </w:tcPr>
          <w:p w:rsidRPr="00391600" w:rsidR="002F78F4" w:rsidP="00BB366A" w:rsidRDefault="002F78F4" w14:paraId="61C44E6B" w14:textId="77777777">
            <w:pPr>
              <w:rPr>
                <w:rFonts w:ascii="Palatino Linotype" w:hAnsi="Palatino Linotype"/>
                <w:bCs/>
                <w:i/>
                <w:iCs/>
                <w:sz w:val="20"/>
                <w:szCs w:val="20"/>
              </w:rPr>
            </w:pPr>
            <w:hyperlink r:id="rId79">
              <w:r w:rsidRPr="00391600">
                <w:rPr>
                  <w:rStyle w:val="Hyperlink"/>
                  <w:rFonts w:ascii="Palatino Linotype" w:hAnsi="Palatino Linotype"/>
                  <w:b/>
                  <w:bCs/>
                  <w:sz w:val="20"/>
                  <w:szCs w:val="20"/>
                </w:rPr>
                <w:t>Resolution G-3571</w:t>
              </w:r>
            </w:hyperlink>
            <w:r w:rsidRPr="00391600">
              <w:rPr>
                <w:rFonts w:ascii="Palatino Linotype" w:hAnsi="Palatino Linotype"/>
                <w:sz w:val="20"/>
                <w:szCs w:val="20"/>
              </w:rPr>
              <w:t xml:space="preserve"> (2020) at OP 5.</w:t>
            </w:r>
            <w:r w:rsidRPr="00391600">
              <w:rPr>
                <w:rFonts w:ascii="Palatino Linotype" w:hAnsi="Palatino Linotype"/>
                <w:i/>
                <w:iCs/>
                <w:sz w:val="20"/>
                <w:szCs w:val="20"/>
              </w:rPr>
              <w:t xml:space="preserve"> In developing all future Natural Gas R&amp;D Plans, the CPUC requests that the CEC:</w:t>
            </w:r>
            <w:r w:rsidRPr="00391600">
              <w:rPr>
                <w:rStyle w:val="FootnoteReference"/>
                <w:rFonts w:ascii="Palatino Linotype" w:hAnsi="Palatino Linotype"/>
                <w:i/>
                <w:iCs/>
                <w:sz w:val="20"/>
                <w:szCs w:val="20"/>
              </w:rPr>
              <w:footnoteReference w:id="195"/>
            </w:r>
            <w:r w:rsidRPr="00391600">
              <w:rPr>
                <w:rFonts w:ascii="Palatino Linotype" w:hAnsi="Palatino Linotype"/>
                <w:i/>
                <w:iCs/>
                <w:sz w:val="20"/>
                <w:szCs w:val="20"/>
              </w:rPr>
              <w:t xml:space="preserve"> </w:t>
            </w:r>
          </w:p>
          <w:p w:rsidRPr="00391600" w:rsidR="002F78F4" w:rsidP="003B475F" w:rsidRDefault="002F78F4" w14:paraId="4301594E" w14:textId="77777777">
            <w:pPr>
              <w:pStyle w:val="ListParagraph"/>
              <w:numPr>
                <w:ilvl w:val="0"/>
                <w:numId w:val="25"/>
              </w:numPr>
              <w:rPr>
                <w:rFonts w:ascii="Palatino Linotype" w:hAnsi="Palatino Linotype"/>
                <w:bCs/>
                <w:i/>
                <w:iCs/>
                <w:sz w:val="20"/>
                <w:szCs w:val="20"/>
              </w:rPr>
            </w:pPr>
            <w:r w:rsidRPr="00391600">
              <w:rPr>
                <w:rFonts w:ascii="Palatino Linotype" w:hAnsi="Palatino Linotype"/>
                <w:bCs/>
                <w:i/>
                <w:iCs/>
                <w:sz w:val="20"/>
                <w:szCs w:val="20"/>
              </w:rPr>
              <w:t xml:space="preserve">Post the Natural Gas Research and Development Program: Proposed Budget Plan publicly on their website and notify CPUC of the web address when requesting approval of the plan.  </w:t>
            </w:r>
          </w:p>
          <w:p w:rsidRPr="00391600" w:rsidR="002F78F4" w:rsidP="003B475F" w:rsidRDefault="002F78F4" w14:paraId="25CBD789" w14:textId="77777777">
            <w:pPr>
              <w:pStyle w:val="ListParagraph"/>
              <w:numPr>
                <w:ilvl w:val="0"/>
                <w:numId w:val="25"/>
              </w:numPr>
              <w:rPr>
                <w:rFonts w:ascii="Palatino Linotype" w:hAnsi="Palatino Linotype"/>
                <w:bCs/>
                <w:i/>
                <w:iCs/>
                <w:sz w:val="20"/>
                <w:szCs w:val="20"/>
              </w:rPr>
            </w:pPr>
            <w:r w:rsidRPr="00391600">
              <w:rPr>
                <w:rFonts w:ascii="Palatino Linotype" w:hAnsi="Palatino Linotype"/>
                <w:bCs/>
                <w:i/>
                <w:iCs/>
                <w:sz w:val="20"/>
                <w:szCs w:val="20"/>
              </w:rPr>
              <w:t xml:space="preserve">Distribute the Natural Gas Research and Development Program: Proposed Budget </w:t>
            </w:r>
            <w:r w:rsidRPr="00391600">
              <w:rPr>
                <w:rFonts w:ascii="Palatino Linotype" w:hAnsi="Palatino Linotype"/>
                <w:bCs/>
                <w:i/>
                <w:iCs/>
                <w:sz w:val="20"/>
                <w:szCs w:val="20"/>
              </w:rPr>
              <w:lastRenderedPageBreak/>
              <w:t xml:space="preserve">Plan through the CEC’s research/R&amp;D community listservs and include the names of the distribution lists served when requesting CPUC’s approval of the plan.  </w:t>
            </w:r>
          </w:p>
          <w:p w:rsidRPr="00391600" w:rsidR="002F78F4" w:rsidP="003B475F" w:rsidRDefault="002F78F4" w14:paraId="18186037" w14:textId="77777777">
            <w:pPr>
              <w:pStyle w:val="ListParagraph"/>
              <w:numPr>
                <w:ilvl w:val="0"/>
                <w:numId w:val="25"/>
              </w:numPr>
              <w:rPr>
                <w:rFonts w:ascii="Palatino Linotype" w:hAnsi="Palatino Linotype"/>
                <w:bCs/>
                <w:i/>
                <w:iCs/>
                <w:sz w:val="20"/>
                <w:szCs w:val="20"/>
              </w:rPr>
            </w:pPr>
            <w:r w:rsidRPr="00391600">
              <w:rPr>
                <w:rFonts w:ascii="Palatino Linotype" w:hAnsi="Palatino Linotype"/>
                <w:i/>
                <w:iCs/>
                <w:sz w:val="20"/>
                <w:szCs w:val="20"/>
              </w:rPr>
              <w:t>Consult with Energy Division staff on which CPUC listservs from ongoing CPUC proceedings the CEC should notice their proposed plan to.</w:t>
            </w:r>
          </w:p>
          <w:p w:rsidRPr="00391600" w:rsidR="002F78F4" w:rsidP="003B475F" w:rsidRDefault="002F78F4" w14:paraId="7A2FCF5B" w14:textId="77777777">
            <w:pPr>
              <w:pStyle w:val="ListParagraph"/>
              <w:numPr>
                <w:ilvl w:val="0"/>
                <w:numId w:val="25"/>
              </w:numPr>
              <w:rPr>
                <w:rFonts w:ascii="Palatino Linotype" w:hAnsi="Palatino Linotype"/>
                <w:bCs/>
                <w:i/>
                <w:iCs/>
                <w:sz w:val="20"/>
                <w:szCs w:val="20"/>
              </w:rPr>
            </w:pPr>
            <w:r w:rsidRPr="00391600">
              <w:rPr>
                <w:rFonts w:ascii="Palatino Linotype" w:hAnsi="Palatino Linotype"/>
                <w:i/>
                <w:iCs/>
                <w:sz w:val="20"/>
                <w:szCs w:val="20"/>
              </w:rPr>
              <w:t>Consult with CPUC staff to allow for the option of presenting the Natural Gas Research and Development Program: Proposed Budget Plan to the CPUC Commissioners during a CPUC Commissioner Committee Meeting.</w:t>
            </w:r>
          </w:p>
        </w:tc>
        <w:tc>
          <w:tcPr>
            <w:tcW w:w="7920" w:type="dxa"/>
          </w:tcPr>
          <w:p w:rsidRPr="00391600" w:rsidR="002F78F4" w:rsidP="00BB366A" w:rsidRDefault="002F78F4" w14:paraId="1732CACD" w14:textId="2A7DFC53">
            <w:pPr>
              <w:ind w:left="720"/>
              <w:rPr>
                <w:rFonts w:ascii="Palatino Linotype" w:hAnsi="Palatino Linotype"/>
                <w:sz w:val="20"/>
                <w:szCs w:val="20"/>
              </w:rPr>
            </w:pPr>
            <w:r w:rsidRPr="00391600">
              <w:rPr>
                <w:rFonts w:ascii="Palatino Linotype" w:hAnsi="Palatino Linotype"/>
                <w:sz w:val="20"/>
                <w:szCs w:val="20"/>
              </w:rPr>
              <w:lastRenderedPageBreak/>
              <w:t xml:space="preserve">b) </w:t>
            </w:r>
            <w:r w:rsidRPr="00391600" w:rsidR="1DFA493E">
              <w:rPr>
                <w:rFonts w:ascii="Palatino Linotype" w:hAnsi="Palatino Linotype"/>
                <w:sz w:val="20"/>
                <w:szCs w:val="20"/>
              </w:rPr>
              <w:t xml:space="preserve">The </w:t>
            </w:r>
            <w:r w:rsidRPr="00391600">
              <w:rPr>
                <w:rFonts w:ascii="Palatino Linotype" w:hAnsi="Palatino Linotype"/>
                <w:sz w:val="20"/>
                <w:szCs w:val="20"/>
              </w:rPr>
              <w:t>CEC states that it posts proposed Plans on “CEC’s website on the page for CEC Energy Research and Development investment plans and annual reports”,</w:t>
            </w:r>
            <w:r w:rsidRPr="00391600">
              <w:rPr>
                <w:rStyle w:val="FootnoteReference"/>
                <w:rFonts w:ascii="Palatino Linotype" w:hAnsi="Palatino Linotype"/>
                <w:sz w:val="20"/>
                <w:szCs w:val="20"/>
              </w:rPr>
              <w:footnoteReference w:id="196"/>
            </w:r>
            <w:r w:rsidRPr="00391600">
              <w:rPr>
                <w:rFonts w:ascii="Palatino Linotype" w:hAnsi="Palatino Linotype"/>
                <w:sz w:val="20"/>
                <w:szCs w:val="20"/>
              </w:rPr>
              <w:t xml:space="preserve"> citing California Energy Commission. “Annual Report,” </w:t>
            </w:r>
            <w:hyperlink r:id="rId80">
              <w:r w:rsidRPr="00391600">
                <w:rPr>
                  <w:rStyle w:val="Hyperlink"/>
                  <w:rFonts w:ascii="Palatino Linotype" w:hAnsi="Palatino Linotype"/>
                  <w:sz w:val="20"/>
                  <w:szCs w:val="20"/>
                </w:rPr>
                <w:t>https://www.energy.ca.gov/data-reports/reports/energy-research-and-development-investment-plans-and-annual-reports.</w:t>
              </w:r>
            </w:hyperlink>
            <w:r w:rsidRPr="00391600">
              <w:rPr>
                <w:rFonts w:ascii="Palatino Linotype" w:hAnsi="Palatino Linotype"/>
                <w:sz w:val="20"/>
                <w:szCs w:val="20"/>
              </w:rPr>
              <w:t xml:space="preserve"> </w:t>
            </w:r>
          </w:p>
          <w:p w:rsidRPr="00391600" w:rsidR="002F78F4" w:rsidP="00BB366A" w:rsidRDefault="002F78F4" w14:paraId="129ACDF4" w14:textId="156C22C3">
            <w:pPr>
              <w:ind w:left="720"/>
              <w:rPr>
                <w:rFonts w:ascii="Palatino Linotype" w:hAnsi="Palatino Linotype"/>
                <w:sz w:val="20"/>
                <w:szCs w:val="20"/>
              </w:rPr>
            </w:pPr>
            <w:r w:rsidRPr="00391600">
              <w:rPr>
                <w:rFonts w:ascii="Palatino Linotype" w:hAnsi="Palatino Linotype"/>
                <w:sz w:val="20"/>
                <w:szCs w:val="20"/>
              </w:rPr>
              <w:t xml:space="preserve">c) &amp; d) </w:t>
            </w:r>
            <w:r w:rsidRPr="00391600" w:rsidR="1DFA493E">
              <w:rPr>
                <w:rFonts w:ascii="Palatino Linotype" w:hAnsi="Palatino Linotype"/>
                <w:sz w:val="20"/>
                <w:szCs w:val="20"/>
              </w:rPr>
              <w:t xml:space="preserve">The </w:t>
            </w:r>
            <w:r w:rsidRPr="00391600">
              <w:rPr>
                <w:rFonts w:ascii="Palatino Linotype" w:hAnsi="Palatino Linotype"/>
                <w:sz w:val="20"/>
                <w:szCs w:val="20"/>
              </w:rPr>
              <w:t>CEC details the noticed CEC lists and CPUC listservs.</w:t>
            </w:r>
            <w:r w:rsidRPr="00391600">
              <w:rPr>
                <w:rStyle w:val="FootnoteReference"/>
                <w:rFonts w:ascii="Palatino Linotype" w:hAnsi="Palatino Linotype"/>
                <w:sz w:val="20"/>
                <w:szCs w:val="20"/>
              </w:rPr>
              <w:footnoteReference w:id="197"/>
            </w:r>
            <w:r w:rsidRPr="00391600">
              <w:rPr>
                <w:rFonts w:ascii="Palatino Linotype" w:hAnsi="Palatino Linotype"/>
                <w:sz w:val="20"/>
                <w:szCs w:val="20"/>
              </w:rPr>
              <w:t xml:space="preserve"> </w:t>
            </w:r>
          </w:p>
          <w:p w:rsidRPr="00391600" w:rsidR="002F78F4" w:rsidP="00BB366A" w:rsidRDefault="002F78F4" w14:paraId="57DBB4F3" w14:textId="39BDC7AE">
            <w:pPr>
              <w:ind w:left="720"/>
              <w:rPr>
                <w:rFonts w:ascii="Palatino Linotype" w:hAnsi="Palatino Linotype"/>
                <w:sz w:val="20"/>
                <w:szCs w:val="20"/>
              </w:rPr>
            </w:pPr>
            <w:r w:rsidRPr="00391600">
              <w:rPr>
                <w:rFonts w:ascii="Palatino Linotype" w:hAnsi="Palatino Linotype"/>
                <w:sz w:val="20"/>
                <w:szCs w:val="20"/>
              </w:rPr>
              <w:t xml:space="preserve">e) </w:t>
            </w:r>
            <w:r w:rsidRPr="00391600" w:rsidR="1DFA493E">
              <w:rPr>
                <w:rFonts w:ascii="Palatino Linotype" w:hAnsi="Palatino Linotype"/>
                <w:sz w:val="20"/>
                <w:szCs w:val="20"/>
              </w:rPr>
              <w:t xml:space="preserve">The </w:t>
            </w:r>
            <w:r w:rsidRPr="00391600">
              <w:rPr>
                <w:rFonts w:ascii="Palatino Linotype" w:hAnsi="Palatino Linotype"/>
                <w:sz w:val="20"/>
                <w:szCs w:val="20"/>
              </w:rPr>
              <w:t>CEC states that its “offer to present the proposed budget plan was sent to Energy Division staff on January 25, 2024”.</w:t>
            </w:r>
            <w:r w:rsidRPr="00391600">
              <w:rPr>
                <w:rStyle w:val="FootnoteReference"/>
                <w:rFonts w:ascii="Palatino Linotype" w:hAnsi="Palatino Linotype"/>
                <w:sz w:val="20"/>
                <w:szCs w:val="20"/>
              </w:rPr>
              <w:footnoteReference w:id="198"/>
            </w:r>
            <w:r w:rsidRPr="00391600">
              <w:rPr>
                <w:rFonts w:ascii="Palatino Linotype" w:hAnsi="Palatino Linotype"/>
                <w:sz w:val="20"/>
                <w:szCs w:val="20"/>
              </w:rPr>
              <w:t xml:space="preserve"> </w:t>
            </w:r>
          </w:p>
        </w:tc>
        <w:tc>
          <w:tcPr>
            <w:tcW w:w="3240" w:type="dxa"/>
          </w:tcPr>
          <w:p w:rsidRPr="00391600" w:rsidR="002F78F4" w:rsidP="00BB366A" w:rsidRDefault="005545C8" w14:paraId="22B9A7AB" w14:textId="153C9291">
            <w:pPr>
              <w:rPr>
                <w:rFonts w:ascii="Palatino Linotype" w:hAnsi="Palatino Linotype"/>
                <w:b/>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 posted its Plan publicly and accessibly; distributed on listservs; and offered to present to CPUC Commissioners.</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t>CEC is compliant with this requirement.</w:t>
            </w:r>
          </w:p>
        </w:tc>
      </w:tr>
      <w:tr w:rsidRPr="00391600" w:rsidR="002F78F4" w:rsidTr="6FAFEDE3" w14:paraId="0AB10F6B" w14:textId="77777777">
        <w:trPr>
          <w:trHeight w:val="638"/>
        </w:trPr>
        <w:tc>
          <w:tcPr>
            <w:tcW w:w="3145" w:type="dxa"/>
          </w:tcPr>
          <w:p w:rsidRPr="00391600" w:rsidR="002F78F4" w:rsidP="00BB366A" w:rsidRDefault="002F78F4" w14:paraId="19733716" w14:textId="77777777">
            <w:pPr>
              <w:rPr>
                <w:rFonts w:ascii="Palatino Linotype" w:hAnsi="Palatino Linotype"/>
                <w:b/>
                <w:i/>
                <w:iCs/>
                <w:sz w:val="20"/>
                <w:szCs w:val="20"/>
              </w:rPr>
            </w:pPr>
            <w:hyperlink w:history="1" r:id="rId81">
              <w:r w:rsidRPr="00391600">
                <w:rPr>
                  <w:rStyle w:val="Hyperlink"/>
                  <w:rFonts w:ascii="Palatino Linotype" w:hAnsi="Palatino Linotype"/>
                  <w:b/>
                  <w:sz w:val="20"/>
                  <w:szCs w:val="20"/>
                </w:rPr>
                <w:t>Resolution G-3571</w:t>
              </w:r>
            </w:hyperlink>
            <w:r w:rsidRPr="00391600">
              <w:rPr>
                <w:rFonts w:ascii="Palatino Linotype" w:hAnsi="Palatino Linotype"/>
                <w:bCs/>
                <w:sz w:val="20"/>
                <w:szCs w:val="20"/>
              </w:rPr>
              <w:t xml:space="preserve"> (2020) at OP 6.</w:t>
            </w:r>
            <w:r w:rsidRPr="00391600">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391600" w:rsidR="002F78F4" w:rsidP="00BB366A" w:rsidRDefault="0048367C" w14:paraId="741512F7" w14:textId="6030EE9F">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The </w:t>
            </w:r>
            <w:r w:rsidRPr="00391600" w:rsidR="00173266">
              <w:rPr>
                <w:rFonts w:ascii="Palatino Linotype" w:hAnsi="Palatino Linotype"/>
                <w:bCs/>
                <w:color w:val="000000" w:themeColor="text1"/>
                <w:sz w:val="20"/>
                <w:szCs w:val="20"/>
              </w:rPr>
              <w:t>CEC submitted its FY</w:t>
            </w:r>
            <w:r w:rsidRPr="00391600">
              <w:rPr>
                <w:rFonts w:ascii="Palatino Linotype" w:hAnsi="Palatino Linotype"/>
                <w:bCs/>
                <w:color w:val="000000" w:themeColor="text1"/>
                <w:sz w:val="20"/>
                <w:szCs w:val="20"/>
              </w:rPr>
              <w:t xml:space="preserve"> </w:t>
            </w:r>
            <w:r w:rsidRPr="00391600" w:rsidR="00173266">
              <w:rPr>
                <w:rFonts w:ascii="Palatino Linotype" w:hAnsi="Palatino Linotype"/>
                <w:bCs/>
                <w:color w:val="000000" w:themeColor="text1"/>
                <w:sz w:val="20"/>
                <w:szCs w:val="20"/>
              </w:rPr>
              <w:t>2024-2025 Gas RD&amp;D Investment Plan Tier 3 Advice Letter (AL) (6-G) on March 27, 2024; submitted a supplemental Tier 3 AL (6-G-A) on November 11, 2024; withdrew the supplement on February 13, 2025; and resubmitted a Tier 3 AL (12-G) on August 8, 2025.</w:t>
            </w:r>
          </w:p>
        </w:tc>
        <w:tc>
          <w:tcPr>
            <w:tcW w:w="3240" w:type="dxa"/>
          </w:tcPr>
          <w:p w:rsidRPr="00391600" w:rsidR="002F78F4" w:rsidP="00BB366A" w:rsidRDefault="005545C8" w14:paraId="678594F9" w14:textId="28E670DD">
            <w:pPr>
              <w:rPr>
                <w:rFonts w:ascii="Palatino Linotype" w:hAnsi="Palatino Linotype"/>
                <w:b/>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 submitted its proposed FY 2024-2025 Gas RD&amp;D Plan via Tier 3 AL.</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t>CEC is compliant with this requirement.</w:t>
            </w:r>
          </w:p>
        </w:tc>
      </w:tr>
      <w:tr w:rsidRPr="00391600" w:rsidR="002F78F4" w:rsidTr="6FAFEDE3" w14:paraId="580AB1CF" w14:textId="77777777">
        <w:trPr>
          <w:trHeight w:val="638"/>
        </w:trPr>
        <w:tc>
          <w:tcPr>
            <w:tcW w:w="3145" w:type="dxa"/>
          </w:tcPr>
          <w:p w:rsidRPr="00391600" w:rsidR="002F78F4" w:rsidP="00BB366A" w:rsidRDefault="002F78F4" w14:paraId="45A9321F" w14:textId="77777777">
            <w:pPr>
              <w:rPr>
                <w:rFonts w:ascii="Palatino Linotype" w:hAnsi="Palatino Linotype"/>
                <w:sz w:val="20"/>
                <w:szCs w:val="20"/>
              </w:rPr>
            </w:pPr>
            <w:hyperlink r:id="rId82">
              <w:r w:rsidRPr="00391600">
                <w:rPr>
                  <w:rStyle w:val="Hyperlink"/>
                  <w:rFonts w:ascii="Palatino Linotype" w:hAnsi="Palatino Linotype"/>
                  <w:b/>
                  <w:bCs/>
                  <w:sz w:val="20"/>
                  <w:szCs w:val="20"/>
                </w:rPr>
                <w:t>Resolution G-3584</w:t>
              </w:r>
            </w:hyperlink>
            <w:r w:rsidRPr="00391600">
              <w:rPr>
                <w:rFonts w:ascii="Palatino Linotype" w:hAnsi="Palatino Linotype"/>
                <w:sz w:val="20"/>
                <w:szCs w:val="20"/>
              </w:rPr>
              <w:t xml:space="preserve"> (2021) at OP 5. </w:t>
            </w:r>
            <w:r w:rsidRPr="00391600">
              <w:rPr>
                <w:rFonts w:ascii="Palatino Linotype" w:hAnsi="Palatino Linotype"/>
                <w:i/>
                <w:iCs/>
                <w:sz w:val="20"/>
                <w:szCs w:val="20"/>
              </w:rPr>
              <w:t xml:space="preserve">In developing the Fiscal Year 2022-2023 Gas R&amp;D Plan, the CEC </w:t>
            </w:r>
            <w:r w:rsidRPr="00391600">
              <w:rPr>
                <w:rFonts w:ascii="Palatino Linotype" w:hAnsi="Palatino Linotype"/>
                <w:i/>
                <w:iCs/>
                <w:sz w:val="20"/>
                <w:szCs w:val="20"/>
              </w:rPr>
              <w:lastRenderedPageBreak/>
              <w:t>shall: a) Consider the Assembly Bill 3232 (Friedman, 2018) report.</w:t>
            </w:r>
            <w:r w:rsidRPr="00391600">
              <w:rPr>
                <w:rStyle w:val="FootnoteReference"/>
                <w:rFonts w:ascii="Palatino Linotype" w:hAnsi="Palatino Linotype"/>
                <w:i/>
                <w:iCs/>
                <w:sz w:val="20"/>
                <w:szCs w:val="20"/>
              </w:rPr>
              <w:footnoteReference w:id="199"/>
            </w:r>
            <w:r w:rsidRPr="00391600">
              <w:rPr>
                <w:rFonts w:ascii="Palatino Linotype" w:hAnsi="Palatino Linotype"/>
                <w:sz w:val="20"/>
                <w:szCs w:val="20"/>
              </w:rPr>
              <w:t xml:space="preserve">  </w:t>
            </w:r>
          </w:p>
        </w:tc>
        <w:tc>
          <w:tcPr>
            <w:tcW w:w="7920" w:type="dxa"/>
          </w:tcPr>
          <w:p w:rsidRPr="00391600" w:rsidR="002F78F4" w:rsidP="00BB366A" w:rsidRDefault="00A3038F" w14:paraId="06F49639" w14:textId="65004461">
            <w:pPr>
              <w:rPr>
                <w:rFonts w:ascii="Palatino Linotype" w:hAnsi="Palatino Linotype"/>
                <w:bCs/>
                <w:color w:val="000000" w:themeColor="text1"/>
                <w:sz w:val="20"/>
                <w:szCs w:val="20"/>
              </w:rPr>
            </w:pPr>
            <w:r w:rsidRPr="00391600">
              <w:rPr>
                <w:rFonts w:ascii="Palatino Linotype" w:hAnsi="Palatino Linotype"/>
                <w:bCs/>
                <w:sz w:val="20"/>
                <w:szCs w:val="20"/>
              </w:rPr>
              <w:lastRenderedPageBreak/>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states that it “considered the AB 3232 (Friedman, Chapter 373, Statutes of 2018) report in developing the Gas R&amp;D Budget Plan, specifically the seven key strategies to decarbonize residential and commercial buildings outlined in the 2021 </w:t>
            </w:r>
            <w:r w:rsidRPr="00391600" w:rsidR="002F78F4">
              <w:rPr>
                <w:rFonts w:ascii="Palatino Linotype" w:hAnsi="Palatino Linotype"/>
                <w:bCs/>
                <w:color w:val="000000" w:themeColor="text1"/>
                <w:sz w:val="20"/>
                <w:szCs w:val="20"/>
              </w:rPr>
              <w:lastRenderedPageBreak/>
              <w:t xml:space="preserve">report California Building Decarbonization Assessment. The initiatives in this FY 2024–2025 Gas R&amp;D Budget Plan support several of the recommended </w:t>
            </w:r>
            <w:proofErr w:type="gramStart"/>
            <w:r w:rsidRPr="00391600" w:rsidR="002F78F4">
              <w:rPr>
                <w:rFonts w:ascii="Palatino Linotype" w:hAnsi="Palatino Linotype"/>
                <w:bCs/>
                <w:color w:val="000000" w:themeColor="text1"/>
                <w:sz w:val="20"/>
                <w:szCs w:val="20"/>
              </w:rPr>
              <w:t>strategies[</w:t>
            </w:r>
            <w:proofErr w:type="gramEnd"/>
            <w:r w:rsidRPr="00391600" w:rsidR="002F78F4">
              <w:rPr>
                <w:rFonts w:ascii="Palatino Linotype" w:hAnsi="Palatino Linotype"/>
                <w:bCs/>
                <w:color w:val="000000" w:themeColor="text1"/>
                <w:sz w:val="20"/>
                <w:szCs w:val="20"/>
              </w:rPr>
              <w:t>:]</w:t>
            </w:r>
          </w:p>
          <w:p w:rsidRPr="00391600" w:rsidR="002F78F4" w:rsidP="003B475F" w:rsidRDefault="002F78F4" w14:paraId="7033BCB4" w14:textId="77777777">
            <w:pPr>
              <w:pStyle w:val="ListParagraph"/>
              <w:numPr>
                <w:ilvl w:val="0"/>
                <w:numId w:val="22"/>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The ‘Fuel-Flexible Distributed Power Generation’ research initiative supports the second strategy detailed in the report for ‘Decarbonizing the Electricity Generation System.’ The initiative proposes using different types and qualities of renewable fuels, such as hydrogen, biomethane, or ammonia, in distributed generation technologies to enable them to be </w:t>
            </w:r>
            <w:proofErr w:type="gramStart"/>
            <w:r w:rsidRPr="00391600">
              <w:rPr>
                <w:rFonts w:ascii="Palatino Linotype" w:hAnsi="Palatino Linotype"/>
                <w:bCs/>
                <w:color w:val="000000" w:themeColor="text1"/>
                <w:sz w:val="20"/>
                <w:szCs w:val="20"/>
              </w:rPr>
              <w:t>fuel-flexible</w:t>
            </w:r>
            <w:proofErr w:type="gramEnd"/>
            <w:r w:rsidRPr="00391600">
              <w:rPr>
                <w:rFonts w:ascii="Palatino Linotype" w:hAnsi="Palatino Linotype"/>
                <w:bCs/>
                <w:color w:val="000000" w:themeColor="text1"/>
                <w:sz w:val="20"/>
                <w:szCs w:val="20"/>
              </w:rPr>
              <w:t>. The initiative will take a technology-neutral approach that encompasses a range of strategies, from cutting combustion system emissions to expanding the operability of non-combustion systems. This approach seeks to modify or develop energy conversion systems like generators to operate on one or more renewable fuels, thereby expanding the suite of strategies to achieve a cleaner generation system.</w:t>
            </w:r>
          </w:p>
          <w:p w:rsidRPr="00391600" w:rsidR="002F78F4" w:rsidP="003B475F" w:rsidRDefault="002F78F4" w14:paraId="0BDB47D8" w14:textId="77777777">
            <w:pPr>
              <w:pStyle w:val="ListParagraph"/>
              <w:numPr>
                <w:ilvl w:val="0"/>
                <w:numId w:val="22"/>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The report also includes a strategy referred to as ‘Decarbonizing the Gas System.’ While the CEC originally considered a Clean Renewable Hydrogen Distribution research initiative to study the role of hydrogen separation technologies to understand whether and how hydrogen should be used to displace fossil gas in the existing gas system, the CEC ultimately decided not to include this initiative in the FY 2024–2025 Proposed Budget Plan. This decision was based largely on CPUC and public feedback, as summarized in Appendix C.”</w:t>
            </w:r>
            <w:r w:rsidRPr="00391600">
              <w:rPr>
                <w:rStyle w:val="FootnoteReference"/>
                <w:rFonts w:ascii="Palatino Linotype" w:hAnsi="Palatino Linotype"/>
                <w:color w:val="000000" w:themeColor="text1"/>
                <w:sz w:val="20"/>
                <w:szCs w:val="20"/>
              </w:rPr>
              <w:footnoteReference w:id="200"/>
            </w:r>
          </w:p>
        </w:tc>
        <w:tc>
          <w:tcPr>
            <w:tcW w:w="3240" w:type="dxa"/>
          </w:tcPr>
          <w:p w:rsidRPr="00391600" w:rsidR="002F78F4" w:rsidP="00BB366A" w:rsidRDefault="00A3038F" w14:paraId="765FE615" w14:textId="6CFCA5C1">
            <w:pPr>
              <w:rPr>
                <w:rFonts w:ascii="Palatino Linotype" w:hAnsi="Palatino Linotype"/>
                <w:b/>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sz w:val="20"/>
                <w:szCs w:val="20"/>
              </w:rPr>
              <w:t xml:space="preserve">CEC demonstrates that it considered the Assembly Bill 3232 report in developing its proposed </w:t>
            </w:r>
            <w:r w:rsidRPr="00391600" w:rsidR="002F78F4">
              <w:rPr>
                <w:rFonts w:ascii="Palatino Linotype" w:hAnsi="Palatino Linotype"/>
                <w:bCs/>
                <w:sz w:val="20"/>
                <w:szCs w:val="20"/>
              </w:rPr>
              <w:lastRenderedPageBreak/>
              <w:t>FY 2024-2025 Plan Initiatives.</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t>CEC is compliant with this requirement.</w:t>
            </w:r>
          </w:p>
        </w:tc>
      </w:tr>
      <w:tr w:rsidRPr="00391600" w:rsidR="002F78F4" w:rsidTr="6FAFEDE3" w14:paraId="79951BA0" w14:textId="77777777">
        <w:trPr>
          <w:trHeight w:val="638"/>
        </w:trPr>
        <w:tc>
          <w:tcPr>
            <w:tcW w:w="3145" w:type="dxa"/>
          </w:tcPr>
          <w:p w:rsidRPr="00391600" w:rsidR="002F78F4" w:rsidP="00BB366A" w:rsidRDefault="002F78F4" w14:paraId="2D54278B" w14:textId="77777777">
            <w:pPr>
              <w:rPr>
                <w:rFonts w:ascii="Palatino Linotype" w:hAnsi="Palatino Linotype"/>
                <w:sz w:val="20"/>
                <w:szCs w:val="20"/>
              </w:rPr>
            </w:pPr>
            <w:hyperlink w:tgtFrame="_blank" w:history="1" r:id="rId83">
              <w:r w:rsidRPr="00391600">
                <w:rPr>
                  <w:rStyle w:val="Hyperlink"/>
                  <w:rFonts w:ascii="Palatino Linotype" w:hAnsi="Palatino Linotype"/>
                  <w:b/>
                  <w:bCs/>
                  <w:sz w:val="20"/>
                  <w:szCs w:val="20"/>
                </w:rPr>
                <w:t>Resolution G-3584</w:t>
              </w:r>
            </w:hyperlink>
            <w:r w:rsidRPr="00391600">
              <w:rPr>
                <w:rFonts w:ascii="Palatino Linotype" w:hAnsi="Palatino Linotype"/>
                <w:sz w:val="20"/>
                <w:szCs w:val="20"/>
              </w:rPr>
              <w:t xml:space="preserve"> (2021) at OP 6. </w:t>
            </w:r>
            <w:r w:rsidRPr="00391600">
              <w:rPr>
                <w:rFonts w:ascii="Palatino Linotype" w:hAnsi="Palatino Linotype"/>
                <w:i/>
                <w:iCs/>
                <w:sz w:val="20"/>
                <w:szCs w:val="20"/>
              </w:rPr>
              <w:t xml:space="preserve">In developing future Gas R&amp;D plans, the CEC shall: a) Consider the Long-Term Technological Development Strategy to Meet Aggressive Statewide </w:t>
            </w:r>
            <w:r w:rsidRPr="00391600">
              <w:rPr>
                <w:rFonts w:ascii="Palatino Linotype" w:hAnsi="Palatino Linotype"/>
                <w:i/>
                <w:iCs/>
                <w:sz w:val="20"/>
                <w:szCs w:val="20"/>
              </w:rPr>
              <w:lastRenderedPageBreak/>
              <w:t>Decarbonization Goals as it becomes available.</w:t>
            </w:r>
          </w:p>
        </w:tc>
        <w:tc>
          <w:tcPr>
            <w:tcW w:w="7920" w:type="dxa"/>
          </w:tcPr>
          <w:p w:rsidRPr="00391600" w:rsidR="002F78F4" w:rsidP="00BB366A" w:rsidRDefault="743E7865" w14:paraId="107DD511" w14:textId="106F42CB">
            <w:pPr>
              <w:rPr>
                <w:rFonts w:ascii="Palatino Linotype" w:hAnsi="Palatino Linotype"/>
                <w:bCs/>
                <w:color w:val="000000" w:themeColor="text1"/>
                <w:sz w:val="20"/>
                <w:szCs w:val="20"/>
              </w:rPr>
            </w:pPr>
            <w:r w:rsidRPr="00391600">
              <w:rPr>
                <w:rFonts w:ascii="Palatino Linotype" w:hAnsi="Palatino Linotype"/>
                <w:sz w:val="20"/>
                <w:szCs w:val="20"/>
              </w:rPr>
              <w:lastRenderedPageBreak/>
              <w:t>The</w:t>
            </w:r>
            <w:r w:rsidRPr="00391600">
              <w:rPr>
                <w:rFonts w:ascii="Palatino Linotype" w:hAnsi="Palatino Linotype"/>
                <w:color w:val="000000" w:themeColor="text1"/>
                <w:sz w:val="20"/>
                <w:szCs w:val="20"/>
              </w:rPr>
              <w:t xml:space="preserve"> C</w:t>
            </w:r>
            <w:r w:rsidRPr="00391600" w:rsidR="002F78F4">
              <w:rPr>
                <w:rFonts w:ascii="Palatino Linotype" w:hAnsi="Palatino Linotype"/>
                <w:color w:val="000000" w:themeColor="text1"/>
                <w:sz w:val="20"/>
                <w:szCs w:val="20"/>
              </w:rPr>
              <w:t xml:space="preserve">EC that it considered the Long-Term Gas Research Roadmap, titled Recommendations for the Long-Term Gas Research Strategy to Achieve Aggressive Statewide Carbon Neutrality Goals: “The roadmap includes recommendations, which are organized around 11 initiatives pertaining to communities, equity, and environment; gas end use; and gas supply chain, including production, transport, and storage. These recommendations have helped guide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CEC’s Gas R&amp;D planning and inform the investments identified in this budget plan”.</w:t>
            </w:r>
            <w:r w:rsidRPr="00391600" w:rsidR="002F78F4">
              <w:rPr>
                <w:rStyle w:val="FootnoteReference"/>
                <w:rFonts w:ascii="Palatino Linotype" w:hAnsi="Palatino Linotype"/>
                <w:color w:val="000000" w:themeColor="text1"/>
                <w:sz w:val="20"/>
                <w:szCs w:val="20"/>
              </w:rPr>
              <w:footnoteReference w:id="201"/>
            </w:r>
          </w:p>
        </w:tc>
        <w:tc>
          <w:tcPr>
            <w:tcW w:w="3240" w:type="dxa"/>
          </w:tcPr>
          <w:p w:rsidRPr="00391600" w:rsidR="002F78F4" w:rsidP="00BB366A" w:rsidRDefault="00087B78" w14:paraId="4663B149" w14:textId="66A2634D">
            <w:pPr>
              <w:rPr>
                <w:rFonts w:ascii="Palatino Linotype" w:hAnsi="Palatino Linotype"/>
                <w:b/>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 demonstrate</w:t>
            </w:r>
            <w:r w:rsidRPr="00391600" w:rsidR="00433F7D">
              <w:rPr>
                <w:rFonts w:ascii="Palatino Linotype" w:hAnsi="Palatino Linotype"/>
                <w:bCs/>
                <w:sz w:val="20"/>
                <w:szCs w:val="20"/>
              </w:rPr>
              <w:t>s</w:t>
            </w:r>
            <w:r w:rsidRPr="00391600" w:rsidR="002F78F4">
              <w:rPr>
                <w:rFonts w:ascii="Palatino Linotype" w:hAnsi="Palatino Linotype"/>
                <w:bCs/>
                <w:sz w:val="20"/>
                <w:szCs w:val="20"/>
              </w:rPr>
              <w:t xml:space="preserve"> that it considered the Long-Term Technological Development Strategy to Meet Aggressive Statewide Decarbonization Goals</w:t>
            </w:r>
            <w:r w:rsidRPr="00391600" w:rsidR="002F78F4">
              <w:rPr>
                <w:rFonts w:ascii="Palatino Linotype" w:hAnsi="Palatino Linotype"/>
                <w:b/>
                <w:sz w:val="20"/>
                <w:szCs w:val="20"/>
              </w:rPr>
              <w:t xml:space="preserve"> </w:t>
            </w:r>
            <w:r w:rsidRPr="00391600" w:rsidR="002F78F4">
              <w:rPr>
                <w:rFonts w:ascii="Palatino Linotype" w:hAnsi="Palatino Linotype"/>
                <w:bCs/>
                <w:sz w:val="20"/>
                <w:szCs w:val="20"/>
              </w:rPr>
              <w:t>in developing its proposed FY 2024-2025 Plan Initiatives.</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lastRenderedPageBreak/>
              <w:t>CEC is compliant with this requirement.</w:t>
            </w:r>
          </w:p>
        </w:tc>
      </w:tr>
      <w:tr w:rsidRPr="00391600" w:rsidR="00B47E24" w:rsidTr="6FAFEDE3" w14:paraId="34237172" w14:textId="77777777">
        <w:trPr>
          <w:trHeight w:val="638"/>
        </w:trPr>
        <w:tc>
          <w:tcPr>
            <w:tcW w:w="3145" w:type="dxa"/>
          </w:tcPr>
          <w:p w:rsidRPr="00391600" w:rsidR="00B47E24" w:rsidP="00B47E24" w:rsidRDefault="00B47E24" w14:paraId="2772F726" w14:textId="1D185767">
            <w:pPr>
              <w:rPr>
                <w:rFonts w:ascii="Palatino Linotype" w:hAnsi="Palatino Linotype"/>
                <w:i/>
                <w:iCs/>
                <w:sz w:val="20"/>
                <w:szCs w:val="20"/>
              </w:rPr>
            </w:pPr>
            <w:hyperlink r:id="rId84">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 xml:space="preserve">(2023) at OP 2. </w:t>
            </w:r>
            <w:r w:rsidRPr="00391600">
              <w:rPr>
                <w:rFonts w:ascii="Palatino Linotype" w:hAnsi="Palatino Linotype"/>
                <w:i/>
                <w:iCs/>
                <w:sz w:val="20"/>
                <w:szCs w:val="20"/>
              </w:rPr>
              <w:t>The CEC’s administrative budget is capped at 10 percent of the total budget of $24 million, or $2.4 million.</w:t>
            </w:r>
          </w:p>
        </w:tc>
        <w:tc>
          <w:tcPr>
            <w:tcW w:w="7920" w:type="dxa"/>
          </w:tcPr>
          <w:p w:rsidRPr="00391600" w:rsidR="00B47E24" w:rsidP="00B47E24" w:rsidRDefault="3DEF512C" w14:paraId="00802B39" w14:textId="5870AAFC">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CEC proposes a total FY2024-2025 Plan budget of $24 million, including </w:t>
            </w:r>
            <w:r w:rsidRPr="00391600" w:rsidR="065C45C6">
              <w:rPr>
                <w:rFonts w:ascii="Palatino Linotype" w:hAnsi="Palatino Linotype"/>
                <w:color w:val="000000" w:themeColor="text1"/>
                <w:sz w:val="20"/>
                <w:szCs w:val="20"/>
              </w:rPr>
              <w:t xml:space="preserve">10% for </w:t>
            </w:r>
            <w:r w:rsidRPr="00391600">
              <w:rPr>
                <w:rFonts w:ascii="Palatino Linotype" w:hAnsi="Palatino Linotype"/>
                <w:color w:val="000000" w:themeColor="text1"/>
                <w:sz w:val="20"/>
                <w:szCs w:val="20"/>
              </w:rPr>
              <w:t>Program Administration costs.</w:t>
            </w:r>
            <w:r w:rsidRPr="00391600" w:rsidR="00B47E24">
              <w:rPr>
                <w:rStyle w:val="FootnoteReference"/>
                <w:rFonts w:ascii="Palatino Linotype" w:hAnsi="Palatino Linotype"/>
                <w:color w:val="000000" w:themeColor="text1"/>
                <w:sz w:val="20"/>
                <w:szCs w:val="20"/>
              </w:rPr>
              <w:footnoteReference w:id="202"/>
            </w:r>
          </w:p>
        </w:tc>
        <w:tc>
          <w:tcPr>
            <w:tcW w:w="3240" w:type="dxa"/>
          </w:tcPr>
          <w:p w:rsidRPr="00391600" w:rsidR="00B47E24" w:rsidP="00B47E24" w:rsidRDefault="00B47E24" w14:paraId="5006E8F2" w14:textId="05AFB7D2">
            <w:pPr>
              <w:rPr>
                <w:rFonts w:ascii="Palatino Linotype" w:hAnsi="Palatino Linotype"/>
                <w:bCs/>
                <w:color w:val="000000" w:themeColor="text1"/>
                <w:sz w:val="20"/>
                <w:szCs w:val="20"/>
              </w:rPr>
            </w:pPr>
            <w:r w:rsidRPr="00391600">
              <w:rPr>
                <w:rFonts w:ascii="Palatino Linotype" w:hAnsi="Palatino Linotype"/>
                <w:bCs/>
                <w:sz w:val="20"/>
                <w:szCs w:val="20"/>
              </w:rPr>
              <w:t>The CEC propos</w:t>
            </w:r>
            <w:r w:rsidRPr="00391600" w:rsidR="00751956">
              <w:rPr>
                <w:rFonts w:ascii="Palatino Linotype" w:hAnsi="Palatino Linotype"/>
                <w:bCs/>
                <w:sz w:val="20"/>
                <w:szCs w:val="20"/>
              </w:rPr>
              <w:t>es a $2.4 million budget for Program Administration</w:t>
            </w:r>
            <w:r w:rsidRPr="00391600">
              <w:rPr>
                <w:rFonts w:ascii="Palatino Linotype" w:hAnsi="Palatino Linotype"/>
                <w:bCs/>
                <w:sz w:val="20"/>
                <w:szCs w:val="20"/>
              </w:rPr>
              <w:t>.</w:t>
            </w:r>
            <w:r w:rsidRPr="00391600">
              <w:rPr>
                <w:rFonts w:ascii="Palatino Linotype" w:hAnsi="Palatino Linotype"/>
                <w:b/>
                <w:sz w:val="20"/>
                <w:szCs w:val="20"/>
              </w:rPr>
              <w:t xml:space="preserve"> The CEC is compliant with this requirement</w:t>
            </w:r>
            <w:r w:rsidRPr="00391600">
              <w:rPr>
                <w:rFonts w:ascii="Palatino Linotype" w:hAnsi="Palatino Linotype"/>
                <w:b/>
                <w:color w:val="000000" w:themeColor="text1"/>
                <w:sz w:val="20"/>
                <w:szCs w:val="20"/>
              </w:rPr>
              <w:t xml:space="preserve">. </w:t>
            </w:r>
            <w:r w:rsidRPr="00391600" w:rsidR="009E485A">
              <w:rPr>
                <w:rFonts w:ascii="Palatino Linotype" w:hAnsi="Palatino Linotype"/>
                <w:bCs/>
                <w:color w:val="000000" w:themeColor="text1"/>
                <w:sz w:val="20"/>
                <w:szCs w:val="20"/>
              </w:rPr>
              <w:t xml:space="preserve">However, given the CEC is repurposing unencumbered and unspent funds associated with previously approved administrative budgets, </w:t>
            </w:r>
            <w:proofErr w:type="gramStart"/>
            <w:r w:rsidRPr="00391600" w:rsidR="009E485A">
              <w:rPr>
                <w:rFonts w:ascii="Palatino Linotype" w:hAnsi="Palatino Linotype"/>
                <w:bCs/>
                <w:color w:val="000000" w:themeColor="text1"/>
                <w:sz w:val="20"/>
                <w:szCs w:val="20"/>
              </w:rPr>
              <w:t>the CPUC’s</w:t>
            </w:r>
            <w:proofErr w:type="gramEnd"/>
            <w:r w:rsidRPr="00391600" w:rsidR="009E485A">
              <w:rPr>
                <w:rFonts w:ascii="Palatino Linotype" w:hAnsi="Palatino Linotype"/>
                <w:bCs/>
                <w:color w:val="000000" w:themeColor="text1"/>
                <w:sz w:val="20"/>
                <w:szCs w:val="20"/>
              </w:rPr>
              <w:t xml:space="preserve"> approval of $2.4M for administrative expenses represents a one-time exception to respond to the CEC’s immediate need for program continuity.</w:t>
            </w:r>
            <w:r w:rsidRPr="00391600">
              <w:rPr>
                <w:rFonts w:ascii="Palatino Linotype" w:hAnsi="Palatino Linotype"/>
                <w:b/>
                <w:color w:val="000000" w:themeColor="text1"/>
                <w:sz w:val="20"/>
                <w:szCs w:val="20"/>
              </w:rPr>
              <w:t xml:space="preserve"> </w:t>
            </w:r>
          </w:p>
        </w:tc>
      </w:tr>
      <w:tr w:rsidRPr="00391600" w:rsidR="002F78F4" w:rsidTr="6FAFEDE3" w14:paraId="4973B142" w14:textId="77777777">
        <w:trPr>
          <w:trHeight w:val="638"/>
        </w:trPr>
        <w:tc>
          <w:tcPr>
            <w:tcW w:w="3145" w:type="dxa"/>
          </w:tcPr>
          <w:p w:rsidRPr="00391600" w:rsidR="002F78F4" w:rsidP="00BB366A" w:rsidRDefault="002F78F4" w14:paraId="6851CEB8" w14:textId="77777777">
            <w:pPr>
              <w:rPr>
                <w:rFonts w:ascii="Palatino Linotype" w:hAnsi="Palatino Linotype"/>
                <w:sz w:val="20"/>
                <w:szCs w:val="20"/>
              </w:rPr>
            </w:pPr>
            <w:hyperlink r:id="rId85">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(2023) at OP 5a.</w:t>
            </w:r>
            <w:r w:rsidRPr="00391600">
              <w:rPr>
                <w:rFonts w:ascii="Palatino Linotype" w:hAnsi="Palatino Linotype"/>
                <w:i/>
                <w:iCs/>
                <w:sz w:val="20"/>
                <w:szCs w:val="20"/>
              </w:rPr>
              <w:t xml:space="preserve"> Identify and engage appropriate disadvantaged community stakeholders to provide increased input on how to administer the program equitably. The CEC shall include details on how disadvantaged community stakeholders and DACAG input </w:t>
            </w:r>
            <w:proofErr w:type="gramStart"/>
            <w:r w:rsidRPr="00391600">
              <w:rPr>
                <w:rFonts w:ascii="Palatino Linotype" w:hAnsi="Palatino Linotype"/>
                <w:i/>
                <w:iCs/>
                <w:sz w:val="20"/>
                <w:szCs w:val="20"/>
              </w:rPr>
              <w:t>was</w:t>
            </w:r>
            <w:proofErr w:type="gramEnd"/>
            <w:r w:rsidRPr="00391600">
              <w:rPr>
                <w:rFonts w:ascii="Palatino Linotype" w:hAnsi="Palatino Linotype"/>
                <w:i/>
                <w:iCs/>
                <w:sz w:val="20"/>
                <w:szCs w:val="20"/>
              </w:rPr>
              <w:t xml:space="preserve"> incorporated into each Gas </w:t>
            </w:r>
            <w:r w:rsidRPr="00391600">
              <w:rPr>
                <w:rFonts w:ascii="Palatino Linotype" w:hAnsi="Palatino Linotype"/>
                <w:i/>
                <w:iCs/>
                <w:sz w:val="20"/>
                <w:szCs w:val="20"/>
              </w:rPr>
              <w:lastRenderedPageBreak/>
              <w:t>R&amp;D theme, as relevant to their input.</w:t>
            </w:r>
          </w:p>
        </w:tc>
        <w:tc>
          <w:tcPr>
            <w:tcW w:w="7920" w:type="dxa"/>
          </w:tcPr>
          <w:p w:rsidRPr="00391600" w:rsidR="002F78F4" w:rsidP="00BB366A" w:rsidRDefault="002F78F4" w14:paraId="257463F4" w14:textId="70C6CB54">
            <w:p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lastRenderedPageBreak/>
              <w:t xml:space="preserve">In an Equity Framework Matrix, </w:t>
            </w:r>
            <w:r w:rsidRPr="00391600" w:rsidR="5ED58B98">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identifies the direct and indirect Health &amp; Safety; Access &amp; Education; Financial; and Economic Development benefits across RD&amp;D Topics.</w:t>
            </w:r>
            <w:r w:rsidRPr="00391600">
              <w:rPr>
                <w:rStyle w:val="FootnoteReference"/>
                <w:rFonts w:ascii="Palatino Linotype" w:hAnsi="Palatino Linotype"/>
                <w:color w:val="000000" w:themeColor="text1"/>
                <w:sz w:val="20"/>
                <w:szCs w:val="20"/>
              </w:rPr>
              <w:footnoteReference w:id="203"/>
            </w:r>
            <w:r w:rsidRPr="00391600">
              <w:rPr>
                <w:rFonts w:ascii="Palatino Linotype" w:hAnsi="Palatino Linotype"/>
                <w:color w:val="000000" w:themeColor="text1"/>
                <w:sz w:val="20"/>
                <w:szCs w:val="20"/>
              </w:rPr>
              <w:t xml:space="preserve">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Pr>
                <w:rStyle w:val="FootnoteReference"/>
                <w:rFonts w:ascii="Palatino Linotype" w:hAnsi="Palatino Linotype"/>
                <w:color w:val="000000" w:themeColor="text1"/>
                <w:sz w:val="20"/>
                <w:szCs w:val="20"/>
              </w:rPr>
              <w:footnoteReference w:id="204"/>
            </w:r>
            <w:r w:rsidRPr="00391600">
              <w:rPr>
                <w:rFonts w:ascii="Palatino Linotype" w:hAnsi="Palatino Linotype"/>
                <w:color w:val="000000" w:themeColor="text1"/>
                <w:sz w:val="20"/>
                <w:szCs w:val="20"/>
              </w:rPr>
              <w:t xml:space="preserve"> including coordination with the DACAG.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describes its Equitable Program Administration, including “CEC DACAG liaisons [supporting] technical staff in informing funding and focal areas and identifying engagement opportunities with the DACAG.”</w:t>
            </w:r>
            <w:r w:rsidRPr="00391600">
              <w:rPr>
                <w:rStyle w:val="FootnoteReference"/>
                <w:rFonts w:ascii="Palatino Linotype" w:hAnsi="Palatino Linotype"/>
                <w:color w:val="000000" w:themeColor="text1"/>
                <w:sz w:val="20"/>
                <w:szCs w:val="20"/>
              </w:rPr>
              <w:footnoteReference w:id="205"/>
            </w:r>
            <w:r w:rsidRPr="00391600">
              <w:rPr>
                <w:rFonts w:ascii="Palatino Linotype" w:hAnsi="Palatino Linotype"/>
                <w:color w:val="000000" w:themeColor="text1"/>
                <w:sz w:val="20"/>
                <w:szCs w:val="20"/>
              </w:rPr>
              <w:t xml:space="preserve"> CEC states it “[provided] targeted outreach to the DACAG, California Environmental Justice Alliance, Asian Pacific Environmental Network, and the California Energy Research Center (focused on expanding education, training, and demonstration projects in the Central Valley) about the CEC’s December 15, 2023, Gas </w:t>
            </w:r>
            <w:r w:rsidRPr="00391600">
              <w:rPr>
                <w:rFonts w:ascii="Palatino Linotype" w:hAnsi="Palatino Linotype"/>
                <w:color w:val="000000" w:themeColor="text1"/>
                <w:sz w:val="20"/>
                <w:szCs w:val="20"/>
              </w:rPr>
              <w:lastRenderedPageBreak/>
              <w:t>R&amp;D Plan Stakeholders Workshop and offering the opportunity for public comment.”</w:t>
            </w:r>
            <w:r w:rsidRPr="00391600">
              <w:rPr>
                <w:rStyle w:val="FootnoteReference"/>
                <w:rFonts w:ascii="Palatino Linotype" w:hAnsi="Palatino Linotype"/>
                <w:color w:val="000000" w:themeColor="text1"/>
                <w:sz w:val="20"/>
                <w:szCs w:val="20"/>
              </w:rPr>
              <w:footnoteReference w:id="206"/>
            </w:r>
            <w:r w:rsidRPr="00391600">
              <w:rPr>
                <w:rFonts w:ascii="Palatino Linotype" w:hAnsi="Palatino Linotype"/>
                <w:color w:val="000000" w:themeColor="text1"/>
                <w:sz w:val="20"/>
                <w:szCs w:val="20"/>
              </w:rPr>
              <w:t xml:space="preserve">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includes written public comments and a DACAG Meeting Comment Summary from January 19, 2024, with</w:t>
            </w:r>
            <w:r w:rsidRPr="00391600" w:rsidR="5ED58B98">
              <w:rPr>
                <w:rFonts w:ascii="Palatino Linotype" w:hAnsi="Palatino Linotype"/>
                <w:color w:val="000000" w:themeColor="text1"/>
                <w:sz w:val="20"/>
                <w:szCs w:val="20"/>
              </w:rPr>
              <w:t xml:space="preserve"> the</w:t>
            </w:r>
            <w:r w:rsidRPr="00391600">
              <w:rPr>
                <w:rFonts w:ascii="Palatino Linotype" w:hAnsi="Palatino Linotype"/>
                <w:color w:val="000000" w:themeColor="text1"/>
                <w:sz w:val="20"/>
                <w:szCs w:val="20"/>
              </w:rPr>
              <w:t xml:space="preserve"> CEC Responses in Appendix C:</w:t>
            </w:r>
            <w:r w:rsidRPr="00391600">
              <w:rPr>
                <w:rStyle w:val="FootnoteReference"/>
                <w:rFonts w:ascii="Palatino Linotype" w:hAnsi="Palatino Linotype"/>
                <w:color w:val="000000" w:themeColor="text1"/>
                <w:sz w:val="20"/>
                <w:szCs w:val="20"/>
              </w:rPr>
              <w:footnoteReference w:id="207"/>
            </w:r>
          </w:p>
          <w:p w:rsidRPr="00391600" w:rsidR="002F78F4" w:rsidP="00BB366A" w:rsidRDefault="002F78F4" w14:paraId="7D2B4BD2"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1</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Support Equitable, Safe, and Cost-Effective Decarbonization of California’s Gas System</w:t>
            </w:r>
            <w:r w:rsidRPr="00391600">
              <w:rPr>
                <w:rFonts w:ascii="Palatino Linotype" w:hAnsi="Palatino Linotype"/>
                <w:bCs/>
                <w:color w:val="000000" w:themeColor="text1"/>
                <w:sz w:val="20"/>
                <w:szCs w:val="20"/>
              </w:rPr>
              <w:t>: CEC reports no comments from the DACAG.</w:t>
            </w:r>
          </w:p>
          <w:p w:rsidRPr="00391600" w:rsidR="002F78F4" w:rsidP="00BB366A" w:rsidRDefault="002F78F4" w14:paraId="0108C2BC" w14:textId="194BCF1D">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Innovations for Cost-Effective Operation and Maintenance of Critical Infrastructure During the Gas Transition</w:t>
            </w:r>
            <w:r w:rsidRPr="00391600">
              <w:rPr>
                <w:rFonts w:ascii="Palatino Linotype" w:hAnsi="Palatino Linotype"/>
                <w:color w:val="000000" w:themeColor="text1"/>
                <w:sz w:val="20"/>
                <w:szCs w:val="20"/>
              </w:rPr>
              <w:t xml:space="preserve">: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clarifies that RD&amp;D activities aimed at evaluating the risks associated with hydrogen-blending as well as hydrogen and fugitive methane emissions are included in previously proposed and approved CEC Gas RD&amp;D Plans as opposed to this proposed Initiative; </w:t>
            </w:r>
            <w:r w:rsidRPr="00391600" w:rsidR="5ED58B98">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provided that "the initiative would center on improving safety and affordability of existing gas infrastructure" in response to the DACAG's concerns regarding potential embrittlement issues related to inspections for hydrogen and storage.</w:t>
            </w:r>
            <w:r w:rsidRPr="00391600">
              <w:rPr>
                <w:rStyle w:val="FootnoteReference"/>
                <w:rFonts w:ascii="Palatino Linotype" w:hAnsi="Palatino Linotype"/>
                <w:color w:val="000000" w:themeColor="text1"/>
                <w:sz w:val="20"/>
                <w:szCs w:val="20"/>
              </w:rPr>
              <w:footnoteReference w:id="208"/>
            </w:r>
          </w:p>
          <w:p w:rsidRPr="00391600" w:rsidR="002F78F4" w:rsidP="00BB366A" w:rsidRDefault="002F78F4" w14:paraId="48235B1F" w14:textId="45E2FF40">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Fuel-Flexible Distributed Power Generation</w:t>
            </w:r>
            <w:r w:rsidRPr="00391600">
              <w:rPr>
                <w:rFonts w:ascii="Palatino Linotype" w:hAnsi="Palatino Linotype"/>
                <w:color w:val="000000" w:themeColor="text1"/>
                <w:sz w:val="20"/>
                <w:szCs w:val="20"/>
              </w:rPr>
              <w:t xml:space="preserve">: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states that "[w]</w:t>
            </w:r>
            <w:proofErr w:type="spellStart"/>
            <w:r w:rsidRPr="00391600">
              <w:rPr>
                <w:rFonts w:ascii="Palatino Linotype" w:hAnsi="Palatino Linotype"/>
                <w:color w:val="000000" w:themeColor="text1"/>
                <w:sz w:val="20"/>
                <w:szCs w:val="20"/>
              </w:rPr>
              <w:t>hile</w:t>
            </w:r>
            <w:proofErr w:type="spellEnd"/>
            <w:r w:rsidRPr="00391600">
              <w:rPr>
                <w:rFonts w:ascii="Palatino Linotype" w:hAnsi="Palatino Linotype"/>
                <w:color w:val="000000" w:themeColor="text1"/>
                <w:sz w:val="20"/>
                <w:szCs w:val="20"/>
              </w:rPr>
              <w:t xml:space="preserve"> renewable fuel blends will impact the performance and associated emissions of a technology, which is a specific concern raised by the DACAG, this initiative aims to introduce new installations that use electrochemical, thermochemical, or other proven pathways, with very low emissions even without being dependent on emissions control technologies or modifying existing combustion systems, potentially helping to improve local air quality and public health."</w:t>
            </w:r>
            <w:r w:rsidRPr="00391600">
              <w:rPr>
                <w:rStyle w:val="FootnoteReference"/>
                <w:rFonts w:ascii="Palatino Linotype" w:hAnsi="Palatino Linotype"/>
                <w:color w:val="000000" w:themeColor="text1"/>
                <w:sz w:val="20"/>
                <w:szCs w:val="20"/>
              </w:rPr>
              <w:footnoteReference w:id="209"/>
            </w:r>
            <w:r w:rsidRPr="00391600">
              <w:rPr>
                <w:rFonts w:ascii="Palatino Linotype" w:hAnsi="Palatino Linotype"/>
                <w:color w:val="000000" w:themeColor="text1"/>
                <w:sz w:val="20"/>
                <w:szCs w:val="20"/>
              </w:rPr>
              <w:t xml:space="preserve"> </w:t>
            </w:r>
            <w:r w:rsidRPr="00391600" w:rsidR="5ED58B98">
              <w:rPr>
                <w:rFonts w:ascii="Palatino Linotype" w:hAnsi="Palatino Linotype"/>
                <w:sz w:val="20"/>
                <w:szCs w:val="20"/>
              </w:rPr>
              <w:t>The</w:t>
            </w:r>
            <w:r w:rsidRPr="00391600" w:rsidR="5ED58B98">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details several written comments from Mainspring on this Initiative, including that staff "concur with siting the [non-combustion] clean renewable fuel-flexible generation projects in frontline communities and at critical infrastructure facilities that offer crucial services and cannot sustain any long duration outages."</w:t>
            </w:r>
            <w:r w:rsidRPr="00391600">
              <w:rPr>
                <w:rStyle w:val="FootnoteReference"/>
                <w:rFonts w:ascii="Palatino Linotype" w:hAnsi="Palatino Linotype"/>
                <w:color w:val="000000" w:themeColor="text1"/>
                <w:sz w:val="20"/>
                <w:szCs w:val="20"/>
              </w:rPr>
              <w:footnoteReference w:id="210"/>
            </w:r>
          </w:p>
        </w:tc>
        <w:tc>
          <w:tcPr>
            <w:tcW w:w="3240" w:type="dxa"/>
          </w:tcPr>
          <w:p w:rsidRPr="00391600" w:rsidR="002F78F4" w:rsidP="00BB366A" w:rsidRDefault="002F78F4" w14:paraId="0F6B9047" w14:textId="2CD2F707">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 xml:space="preserve">    </w:t>
            </w:r>
            <w:r w:rsidRPr="00391600">
              <w:rPr>
                <w:rFonts w:ascii="Palatino Linotype" w:hAnsi="Palatino Linotype"/>
                <w:b/>
                <w:color w:val="000000" w:themeColor="text1"/>
                <w:sz w:val="20"/>
                <w:szCs w:val="20"/>
              </w:rPr>
              <w:t>1</w:t>
            </w:r>
            <w:r w:rsidRPr="00391600">
              <w:rPr>
                <w:rFonts w:ascii="Palatino Linotype" w:hAnsi="Palatino Linotype"/>
                <w:bCs/>
                <w:color w:val="000000" w:themeColor="text1"/>
                <w:sz w:val="20"/>
                <w:szCs w:val="20"/>
              </w:rPr>
              <w:t xml:space="preserve">. Though </w:t>
            </w:r>
            <w:r w:rsidRPr="00391600" w:rsidR="00087B78">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records consultation with the DACAG and other stakeholders on its proposed FY 2024-2025 Plan, no feedback on this specific Initiative is reported. </w:t>
            </w:r>
          </w:p>
          <w:p w:rsidRPr="00391600" w:rsidR="002F78F4" w:rsidP="00BB366A" w:rsidRDefault="002F78F4" w14:paraId="60481C54" w14:textId="769F7BAB">
            <w:pPr>
              <w:rPr>
                <w:rFonts w:ascii="Palatino Linotype" w:hAnsi="Palatino Linotype"/>
                <w:b/>
                <w:sz w:val="20"/>
                <w:szCs w:val="20"/>
              </w:rPr>
            </w:pPr>
            <w:r w:rsidRPr="00391600">
              <w:rPr>
                <w:rFonts w:ascii="Palatino Linotype" w:hAnsi="Palatino Linotype"/>
                <w:bCs/>
                <w:sz w:val="20"/>
                <w:szCs w:val="20"/>
              </w:rPr>
              <w:t xml:space="preserve">    </w:t>
            </w:r>
            <w:r w:rsidRPr="00391600">
              <w:rPr>
                <w:rFonts w:ascii="Palatino Linotype" w:hAnsi="Palatino Linotype"/>
                <w:b/>
                <w:sz w:val="20"/>
                <w:szCs w:val="20"/>
              </w:rPr>
              <w:t>2</w:t>
            </w:r>
            <w:r w:rsidRPr="00391600">
              <w:rPr>
                <w:rFonts w:ascii="Palatino Linotype" w:hAnsi="Palatino Linotype"/>
                <w:bCs/>
                <w:sz w:val="20"/>
                <w:szCs w:val="20"/>
              </w:rPr>
              <w:t xml:space="preserve">. &amp; </w:t>
            </w:r>
            <w:r w:rsidRPr="00391600">
              <w:rPr>
                <w:rFonts w:ascii="Palatino Linotype" w:hAnsi="Palatino Linotype"/>
                <w:b/>
                <w:sz w:val="20"/>
                <w:szCs w:val="20"/>
              </w:rPr>
              <w:t>3</w:t>
            </w:r>
            <w:r w:rsidRPr="00391600">
              <w:rPr>
                <w:rFonts w:ascii="Palatino Linotype" w:hAnsi="Palatino Linotype"/>
                <w:bCs/>
                <w:sz w:val="20"/>
                <w:szCs w:val="20"/>
              </w:rPr>
              <w:t xml:space="preserve">. </w:t>
            </w:r>
            <w:r w:rsidRPr="00391600" w:rsidR="00087B78">
              <w:rPr>
                <w:rFonts w:ascii="Palatino Linotype" w:hAnsi="Palatino Linotype"/>
                <w:bCs/>
                <w:sz w:val="20"/>
                <w:szCs w:val="20"/>
              </w:rPr>
              <w:t xml:space="preserve">The </w:t>
            </w:r>
            <w:r w:rsidRPr="00391600">
              <w:rPr>
                <w:rFonts w:ascii="Palatino Linotype" w:hAnsi="Palatino Linotype"/>
                <w:bCs/>
                <w:sz w:val="20"/>
                <w:szCs w:val="20"/>
              </w:rPr>
              <w:t xml:space="preserve">CEC appears to have </w:t>
            </w:r>
            <w:proofErr w:type="gramStart"/>
            <w:r w:rsidRPr="00391600">
              <w:rPr>
                <w:rFonts w:ascii="Palatino Linotype" w:hAnsi="Palatino Linotype"/>
                <w:bCs/>
                <w:sz w:val="20"/>
                <w:szCs w:val="20"/>
              </w:rPr>
              <w:t>engaged</w:t>
            </w:r>
            <w:proofErr w:type="gramEnd"/>
            <w:r w:rsidRPr="00391600">
              <w:rPr>
                <w:rFonts w:ascii="Palatino Linotype" w:hAnsi="Palatino Linotype"/>
                <w:bCs/>
                <w:sz w:val="20"/>
                <w:szCs w:val="20"/>
              </w:rPr>
              <w:t xml:space="preserve"> and considered the concerns of the public and the DACAG related to this Initiative.</w:t>
            </w:r>
            <w:r w:rsidRPr="00391600" w:rsidR="00087B78">
              <w:rPr>
                <w:rFonts w:ascii="Palatino Linotype" w:hAnsi="Palatino Linotype"/>
                <w:bCs/>
                <w:sz w:val="20"/>
                <w:szCs w:val="20"/>
              </w:rPr>
              <w:t xml:space="preserve"> </w:t>
            </w:r>
            <w:r w:rsidRPr="00391600" w:rsidR="00087B78">
              <w:rPr>
                <w:rFonts w:ascii="Palatino Linotype" w:hAnsi="Palatino Linotype"/>
                <w:b/>
                <w:sz w:val="20"/>
                <w:szCs w:val="20"/>
              </w:rPr>
              <w:lastRenderedPageBreak/>
              <w:t>The</w:t>
            </w:r>
            <w:r w:rsidRPr="00391600">
              <w:rPr>
                <w:rFonts w:ascii="Palatino Linotype" w:hAnsi="Palatino Linotype"/>
                <w:b/>
                <w:sz w:val="20"/>
                <w:szCs w:val="20"/>
              </w:rPr>
              <w:t xml:space="preserve"> CEC is compliant with this requirement.</w:t>
            </w:r>
          </w:p>
        </w:tc>
      </w:tr>
      <w:tr w:rsidRPr="00391600" w:rsidR="002F78F4" w:rsidTr="6FAFEDE3" w14:paraId="1852121F" w14:textId="77777777">
        <w:trPr>
          <w:trHeight w:val="638"/>
        </w:trPr>
        <w:tc>
          <w:tcPr>
            <w:tcW w:w="3145" w:type="dxa"/>
          </w:tcPr>
          <w:p w:rsidRPr="00391600" w:rsidR="002F78F4" w:rsidP="00BB366A" w:rsidRDefault="002F78F4" w14:paraId="76641CA5" w14:textId="77777777">
            <w:pPr>
              <w:rPr>
                <w:rFonts w:ascii="Palatino Linotype" w:hAnsi="Palatino Linotype"/>
                <w:b/>
                <w:i/>
                <w:iCs/>
                <w:sz w:val="20"/>
                <w:szCs w:val="20"/>
              </w:rPr>
            </w:pPr>
            <w:hyperlink w:history="1" r:id="rId86">
              <w:r w:rsidRPr="00391600">
                <w:rPr>
                  <w:rStyle w:val="Hyperlink"/>
                  <w:rFonts w:ascii="Palatino Linotype" w:hAnsi="Palatino Linotype"/>
                  <w:b/>
                  <w:sz w:val="20"/>
                  <w:szCs w:val="20"/>
                </w:rPr>
                <w:t>Resolution G-3592</w:t>
              </w:r>
            </w:hyperlink>
            <w:r w:rsidRPr="00391600">
              <w:rPr>
                <w:rFonts w:ascii="Palatino Linotype" w:hAnsi="Palatino Linotype"/>
                <w:b/>
                <w:sz w:val="20"/>
                <w:szCs w:val="20"/>
              </w:rPr>
              <w:t xml:space="preserve"> </w:t>
            </w:r>
            <w:r w:rsidRPr="00391600">
              <w:rPr>
                <w:rFonts w:ascii="Palatino Linotype" w:hAnsi="Palatino Linotype"/>
                <w:bCs/>
                <w:sz w:val="20"/>
                <w:szCs w:val="20"/>
              </w:rPr>
              <w:t>(2023) at OP 5c &amp; d.</w:t>
            </w:r>
            <w:r w:rsidRPr="00391600">
              <w:rPr>
                <w:rFonts w:ascii="Palatino Linotype" w:hAnsi="Palatino Linotype"/>
                <w:bCs/>
                <w:i/>
                <w:iCs/>
                <w:sz w:val="20"/>
                <w:szCs w:val="20"/>
              </w:rPr>
              <w:t xml:space="preserve"> Describe its process for seeking collaborative and co-</w:t>
            </w:r>
            <w:r w:rsidRPr="00391600">
              <w:rPr>
                <w:rFonts w:ascii="Palatino Linotype" w:hAnsi="Palatino Linotype"/>
                <w:bCs/>
                <w:i/>
                <w:iCs/>
                <w:sz w:val="20"/>
                <w:szCs w:val="20"/>
              </w:rPr>
              <w:lastRenderedPageBreak/>
              <w:t xml:space="preserve">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391600" w:rsidR="002F78F4" w:rsidP="00BB366A" w:rsidRDefault="5ED58B98" w14:paraId="79ABE6D1" w14:textId="08FACCFB">
            <w:pPr>
              <w:rPr>
                <w:rFonts w:ascii="Palatino Linotype" w:hAnsi="Palatino Linotype"/>
                <w:bCs/>
                <w:color w:val="000000" w:themeColor="text1"/>
                <w:sz w:val="20"/>
                <w:szCs w:val="20"/>
              </w:rPr>
            </w:pPr>
            <w:r w:rsidRPr="00391600">
              <w:rPr>
                <w:rFonts w:ascii="Palatino Linotype" w:hAnsi="Palatino Linotype"/>
                <w:sz w:val="20"/>
                <w:szCs w:val="20"/>
              </w:rPr>
              <w:lastRenderedPageBreak/>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describes its public engagement: “The CEC holds an annual public workshop to solicit feedback on the draft budget plan for that year. The Proposed FY 2024–2025 Gas R&amp;D Budget Plan was presented at a public workshop December 15, 2023. Around </w:t>
            </w:r>
            <w:r w:rsidRPr="00391600" w:rsidR="002F78F4">
              <w:rPr>
                <w:rFonts w:ascii="Palatino Linotype" w:hAnsi="Palatino Linotype"/>
                <w:color w:val="000000" w:themeColor="text1"/>
                <w:sz w:val="20"/>
                <w:szCs w:val="20"/>
              </w:rPr>
              <w:lastRenderedPageBreak/>
              <w:t>60 people attended the workshop, not including CEC staff, and the CEC received attendee questions and comments during the workshop discussion. The CEC considered and responded to public comments, using them to inform continued initiative and future solicitation development. (See Appendices C and G for a summary of public comments with CEC staff responses and the staff workshop presentation, respectively).”</w:t>
            </w:r>
            <w:r w:rsidRPr="00391600" w:rsidR="002F78F4">
              <w:rPr>
                <w:rStyle w:val="FootnoteReference"/>
                <w:rFonts w:ascii="Palatino Linotype" w:hAnsi="Palatino Linotype"/>
                <w:color w:val="000000" w:themeColor="text1"/>
                <w:sz w:val="20"/>
                <w:szCs w:val="20"/>
              </w:rPr>
              <w:footnoteReference w:id="211"/>
            </w:r>
            <w:r w:rsidRPr="00391600" w:rsidR="002F78F4">
              <w:rPr>
                <w:rFonts w:ascii="Palatino Linotype" w:hAnsi="Palatino Linotype"/>
                <w:color w:val="000000" w:themeColor="text1"/>
                <w:sz w:val="20"/>
                <w:szCs w:val="20"/>
              </w:rPr>
              <w:t xml:space="preserve"> Under the </w:t>
            </w:r>
            <w:proofErr w:type="spellStart"/>
            <w:r w:rsidRPr="00391600" w:rsidR="002F78F4">
              <w:rPr>
                <w:rFonts w:ascii="Palatino Linotype" w:hAnsi="Palatino Linotype"/>
                <w:color w:val="000000" w:themeColor="text1"/>
                <w:sz w:val="20"/>
                <w:szCs w:val="20"/>
              </w:rPr>
              <w:t>Cofunding</w:t>
            </w:r>
            <w:proofErr w:type="spellEnd"/>
            <w:r w:rsidRPr="00391600" w:rsidR="002F78F4">
              <w:rPr>
                <w:rFonts w:ascii="Palatino Linotype" w:hAnsi="Palatino Linotype"/>
                <w:color w:val="000000" w:themeColor="text1"/>
                <w:sz w:val="20"/>
                <w:szCs w:val="20"/>
              </w:rPr>
              <w:t xml:space="preserve"> Opportunities Section, </w:t>
            </w:r>
            <w:r w:rsidRPr="00391600" w:rsidR="47D55E79">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 xml:space="preserve">CEC states that it “leverages </w:t>
            </w:r>
            <w:proofErr w:type="spellStart"/>
            <w:r w:rsidRPr="00391600" w:rsidR="002F78F4">
              <w:rPr>
                <w:rFonts w:ascii="Palatino Linotype" w:hAnsi="Palatino Linotype"/>
                <w:color w:val="000000" w:themeColor="text1"/>
                <w:sz w:val="20"/>
                <w:szCs w:val="20"/>
              </w:rPr>
              <w:t>cofunding</w:t>
            </w:r>
            <w:proofErr w:type="spellEnd"/>
            <w:r w:rsidRPr="00391600" w:rsidR="002F78F4">
              <w:rPr>
                <w:rFonts w:ascii="Palatino Linotype" w:hAnsi="Palatino Linotype"/>
                <w:color w:val="000000" w:themeColor="text1"/>
                <w:sz w:val="20"/>
                <w:szCs w:val="20"/>
              </w:rPr>
              <w:t xml:space="preserve">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391600" w:rsidR="002F78F4">
              <w:rPr>
                <w:rStyle w:val="FootnoteReference"/>
                <w:rFonts w:ascii="Palatino Linotype" w:hAnsi="Palatino Linotype"/>
                <w:color w:val="000000" w:themeColor="text1"/>
                <w:sz w:val="20"/>
                <w:szCs w:val="20"/>
              </w:rPr>
              <w:footnoteReference w:id="212"/>
            </w:r>
            <w:r w:rsidRPr="00391600" w:rsidR="002F78F4">
              <w:rPr>
                <w:rFonts w:ascii="Palatino Linotype" w:hAnsi="Palatino Linotype"/>
                <w:color w:val="000000" w:themeColor="text1"/>
                <w:sz w:val="20"/>
                <w:szCs w:val="20"/>
              </w:rPr>
              <w:t xml:space="preserve"> See also: CEC Response in AL 12-G to </w:t>
            </w:r>
            <w:hyperlink r:id="rId87">
              <w:r w:rsidRPr="00391600" w:rsidR="002F78F4">
                <w:rPr>
                  <w:rStyle w:val="Hyperlink"/>
                  <w:rFonts w:ascii="Palatino Linotype" w:hAnsi="Palatino Linotype"/>
                  <w:sz w:val="20"/>
                  <w:szCs w:val="20"/>
                </w:rPr>
                <w:t>Resolution G-3603</w:t>
              </w:r>
            </w:hyperlink>
            <w:r w:rsidRPr="00391600" w:rsidR="002F78F4">
              <w:rPr>
                <w:rFonts w:ascii="Palatino Linotype" w:hAnsi="Palatino Linotype"/>
                <w:sz w:val="20"/>
                <w:szCs w:val="20"/>
              </w:rPr>
              <w:t xml:space="preserve"> (2024) at OP 4.</w:t>
            </w:r>
          </w:p>
        </w:tc>
        <w:tc>
          <w:tcPr>
            <w:tcW w:w="3240" w:type="dxa"/>
          </w:tcPr>
          <w:p w:rsidRPr="00391600" w:rsidR="002F78F4" w:rsidP="00BB366A" w:rsidRDefault="00BE5F38" w14:paraId="52C2C9F3" w14:textId="4F1549DA">
            <w:pPr>
              <w:rPr>
                <w:rFonts w:ascii="Palatino Linotype" w:hAnsi="Palatino Linotype"/>
                <w:sz w:val="20"/>
                <w:szCs w:val="20"/>
              </w:rPr>
            </w:pPr>
            <w:r w:rsidRPr="00391600">
              <w:rPr>
                <w:rFonts w:ascii="Palatino Linotype" w:hAnsi="Palatino Linotype"/>
                <w:bCs/>
                <w:sz w:val="20"/>
                <w:szCs w:val="20"/>
              </w:rPr>
              <w:lastRenderedPageBreak/>
              <w:t>The</w:t>
            </w:r>
            <w:r w:rsidRPr="00391600">
              <w:rPr>
                <w:rFonts w:ascii="Palatino Linotype" w:hAnsi="Palatino Linotype"/>
                <w:sz w:val="20"/>
                <w:szCs w:val="20"/>
              </w:rPr>
              <w:t xml:space="preserve"> </w:t>
            </w:r>
            <w:r w:rsidRPr="00391600" w:rsidR="002F78F4">
              <w:rPr>
                <w:rFonts w:ascii="Palatino Linotype" w:hAnsi="Palatino Linotype"/>
                <w:sz w:val="20"/>
                <w:szCs w:val="20"/>
              </w:rPr>
              <w:t xml:space="preserve">CEC describes the multiple avenues in which it seeks and utilizes co-funding. See also: </w:t>
            </w:r>
            <w:r w:rsidRPr="00391600" w:rsidR="002F78F4">
              <w:rPr>
                <w:rFonts w:ascii="Palatino Linotype" w:hAnsi="Palatino Linotype"/>
                <w:sz w:val="20"/>
                <w:szCs w:val="20"/>
              </w:rPr>
              <w:lastRenderedPageBreak/>
              <w:t xml:space="preserve">Compliance Assessment of </w:t>
            </w:r>
            <w:hyperlink r:id="rId88">
              <w:r w:rsidRPr="00391600" w:rsidR="002F78F4">
                <w:rPr>
                  <w:rStyle w:val="Hyperlink"/>
                  <w:rFonts w:ascii="Palatino Linotype" w:hAnsi="Palatino Linotype"/>
                  <w:sz w:val="20"/>
                  <w:szCs w:val="20"/>
                </w:rPr>
                <w:t>Resolution G-3603</w:t>
              </w:r>
            </w:hyperlink>
            <w:r w:rsidRPr="00391600" w:rsidR="002F78F4">
              <w:rPr>
                <w:rFonts w:ascii="Palatino Linotype" w:hAnsi="Palatino Linotype"/>
                <w:sz w:val="20"/>
                <w:szCs w:val="20"/>
              </w:rPr>
              <w:t xml:space="preserve"> (2024) at OP 4. </w:t>
            </w:r>
            <w:r w:rsidRPr="00391600">
              <w:rPr>
                <w:rFonts w:ascii="Palatino Linotype" w:hAnsi="Palatino Linotype"/>
                <w:b/>
                <w:bCs/>
                <w:sz w:val="20"/>
                <w:szCs w:val="20"/>
              </w:rPr>
              <w:t>The</w:t>
            </w:r>
            <w:r w:rsidRPr="00391600">
              <w:rPr>
                <w:rFonts w:ascii="Palatino Linotype" w:hAnsi="Palatino Linotype"/>
                <w:sz w:val="20"/>
                <w:szCs w:val="20"/>
              </w:rPr>
              <w:t xml:space="preserve"> </w:t>
            </w:r>
            <w:r w:rsidRPr="00391600" w:rsidR="002F78F4">
              <w:rPr>
                <w:rFonts w:ascii="Palatino Linotype" w:hAnsi="Palatino Linotype"/>
                <w:b/>
                <w:bCs/>
                <w:sz w:val="20"/>
                <w:szCs w:val="20"/>
              </w:rPr>
              <w:t>CEC is compliant with this requirement.</w:t>
            </w:r>
          </w:p>
          <w:p w:rsidRPr="00391600" w:rsidR="002F78F4" w:rsidP="00BB366A" w:rsidRDefault="002F78F4" w14:paraId="15CA4A05" w14:textId="77777777">
            <w:pPr>
              <w:rPr>
                <w:rFonts w:ascii="Palatino Linotype" w:hAnsi="Palatino Linotype"/>
                <w:bCs/>
                <w:sz w:val="20"/>
                <w:szCs w:val="20"/>
              </w:rPr>
            </w:pPr>
          </w:p>
          <w:p w:rsidRPr="00391600" w:rsidR="002F78F4" w:rsidP="00BB366A" w:rsidRDefault="002F78F4" w14:paraId="0C865406" w14:textId="10CB949E">
            <w:pPr>
              <w:rPr>
                <w:rFonts w:ascii="Palatino Linotype" w:hAnsi="Palatino Linotype"/>
                <w:bCs/>
                <w:sz w:val="20"/>
                <w:szCs w:val="20"/>
              </w:rPr>
            </w:pPr>
            <w:r w:rsidRPr="00391600">
              <w:rPr>
                <w:rFonts w:ascii="Palatino Linotype" w:hAnsi="Palatino Linotype"/>
                <w:color w:val="000000" w:themeColor="text1"/>
                <w:sz w:val="20"/>
                <w:szCs w:val="20"/>
              </w:rPr>
              <w:t>However, to clearly demonstrate compliance with co-funding requirements, the CEC</w:t>
            </w:r>
            <w:r w:rsidRPr="00391600" w:rsidR="00156654">
              <w:rPr>
                <w:rFonts w:ascii="Palatino Linotype" w:hAnsi="Palatino Linotype"/>
                <w:color w:val="000000" w:themeColor="text1"/>
                <w:sz w:val="20"/>
                <w:szCs w:val="20"/>
              </w:rPr>
              <w:t xml:space="preserve"> must</w:t>
            </w:r>
            <w:r w:rsidRPr="00391600">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Pr="00391600" w:rsidR="002F78F4" w:rsidTr="6FAFEDE3" w14:paraId="518B8E07" w14:textId="77777777">
        <w:trPr>
          <w:trHeight w:val="638"/>
        </w:trPr>
        <w:tc>
          <w:tcPr>
            <w:tcW w:w="3145" w:type="dxa"/>
          </w:tcPr>
          <w:p w:rsidRPr="00391600" w:rsidR="002F78F4" w:rsidP="00BB366A" w:rsidRDefault="002F78F4" w14:paraId="1F8DDB9F" w14:textId="77777777">
            <w:pPr>
              <w:rPr>
                <w:rFonts w:ascii="Palatino Linotype" w:hAnsi="Palatino Linotype"/>
                <w:b/>
                <w:sz w:val="20"/>
                <w:szCs w:val="20"/>
              </w:rPr>
            </w:pPr>
            <w:hyperlink r:id="rId89">
              <w:r w:rsidRPr="00391600">
                <w:rPr>
                  <w:rStyle w:val="Hyperlink"/>
                  <w:rFonts w:ascii="Palatino Linotype" w:hAnsi="Palatino Linotype"/>
                  <w:b/>
                  <w:bCs/>
                  <w:sz w:val="20"/>
                  <w:szCs w:val="20"/>
                </w:rPr>
                <w:t>Resolution G-3592</w:t>
              </w:r>
            </w:hyperlink>
            <w:r w:rsidRPr="00391600">
              <w:rPr>
                <w:rFonts w:ascii="Palatino Linotype" w:hAnsi="Palatino Linotype"/>
                <w:sz w:val="20"/>
                <w:szCs w:val="20"/>
              </w:rPr>
              <w:t xml:space="preserve"> (2023) at OP 5e</w:t>
            </w:r>
            <w:r w:rsidRPr="00391600">
              <w:rPr>
                <w:rFonts w:ascii="Palatino Linotype" w:hAnsi="Palatino Linotype"/>
                <w:i/>
                <w:iCs/>
                <w:sz w:val="20"/>
                <w:szCs w:val="20"/>
              </w:rPr>
              <w:t>. Use the EPIC administrative budget template.</w:t>
            </w:r>
            <w:r w:rsidRPr="00391600">
              <w:rPr>
                <w:rStyle w:val="FootnoteReference"/>
                <w:rFonts w:ascii="Palatino Linotype" w:hAnsi="Palatino Linotype"/>
                <w:i/>
                <w:iCs/>
                <w:sz w:val="20"/>
                <w:szCs w:val="20"/>
              </w:rPr>
              <w:footnoteReference w:id="213"/>
            </w:r>
          </w:p>
        </w:tc>
        <w:tc>
          <w:tcPr>
            <w:tcW w:w="7920" w:type="dxa"/>
          </w:tcPr>
          <w:p w:rsidRPr="00391600" w:rsidR="002F78F4" w:rsidP="00BB366A" w:rsidRDefault="00BE5F38" w14:paraId="202F2A9F" w14:textId="00897D1C">
            <w:pPr>
              <w:rPr>
                <w:rFonts w:ascii="Palatino Linotype" w:hAnsi="Palatino Linotype"/>
                <w:bCs/>
                <w:color w:val="A6A6A6" w:themeColor="background1" w:themeShade="A6"/>
                <w:sz w:val="20"/>
                <w:szCs w:val="20"/>
              </w:rPr>
            </w:pPr>
            <w:r w:rsidRPr="00391600">
              <w:rPr>
                <w:rFonts w:ascii="Palatino Linotype" w:hAnsi="Palatino Linotype"/>
                <w:bCs/>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391600" w:rsidR="002F78F4" w:rsidP="00BB366A" w:rsidRDefault="00BE5F38" w14:paraId="4C82D0A8" w14:textId="0FFB665D">
            <w:pPr>
              <w:rPr>
                <w:rFonts w:ascii="Palatino Linotype" w:hAnsi="Palatino Linotype"/>
                <w:b/>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CEC’s proposed administrative budget utilizes the required EPIC template.</w:t>
            </w:r>
            <w:r w:rsidRPr="00391600" w:rsidR="002F78F4">
              <w:rPr>
                <w:rFonts w:ascii="Palatino Linotype" w:hAnsi="Palatino Linotype"/>
                <w:b/>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sz w:val="20"/>
                <w:szCs w:val="20"/>
              </w:rPr>
              <w:t xml:space="preserve">CEC is compliant with this </w:t>
            </w:r>
            <w:r w:rsidRPr="00391600" w:rsidR="002F78F4">
              <w:rPr>
                <w:rFonts w:ascii="Palatino Linotype" w:hAnsi="Palatino Linotype"/>
                <w:b/>
                <w:color w:val="000000" w:themeColor="text1"/>
                <w:sz w:val="20"/>
                <w:szCs w:val="20"/>
              </w:rPr>
              <w:t>requirement.</w:t>
            </w:r>
            <w:r w:rsidRPr="00391600" w:rsidR="00144647">
              <w:rPr>
                <w:rFonts w:ascii="Palatino Linotype" w:hAnsi="Palatino Linotype"/>
                <w:b/>
                <w:color w:val="000000" w:themeColor="text1"/>
                <w:sz w:val="20"/>
                <w:szCs w:val="20"/>
              </w:rPr>
              <w:t xml:space="preserve"> </w:t>
            </w:r>
          </w:p>
        </w:tc>
      </w:tr>
      <w:tr w:rsidRPr="00391600" w:rsidR="002F78F4" w:rsidTr="6FAFEDE3" w14:paraId="281EE1D0" w14:textId="77777777">
        <w:trPr>
          <w:trHeight w:val="48"/>
        </w:trPr>
        <w:tc>
          <w:tcPr>
            <w:tcW w:w="3145" w:type="dxa"/>
          </w:tcPr>
          <w:p w:rsidRPr="00391600" w:rsidR="002F78F4" w:rsidP="00BB366A" w:rsidRDefault="002F78F4" w14:paraId="71D489F1" w14:textId="77777777">
            <w:pPr>
              <w:rPr>
                <w:rFonts w:ascii="Palatino Linotype" w:hAnsi="Palatino Linotype"/>
                <w:b/>
                <w:bCs/>
                <w:sz w:val="20"/>
                <w:szCs w:val="20"/>
              </w:rPr>
            </w:pPr>
            <w:hyperlink r:id="rId90">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(2023) at OP 7.</w:t>
            </w:r>
            <w:r w:rsidRPr="00391600">
              <w:rPr>
                <w:rFonts w:ascii="Palatino Linotype" w:hAnsi="Palatino Linotype"/>
                <w:i/>
                <w:iCs/>
                <w:sz w:val="20"/>
                <w:szCs w:val="20"/>
              </w:rPr>
              <w:t xml:space="preserve"> In Fiscal Year 2023-2024 and all </w:t>
            </w:r>
            <w:proofErr w:type="gramStart"/>
            <w:r w:rsidRPr="00391600">
              <w:rPr>
                <w:rFonts w:ascii="Palatino Linotype" w:hAnsi="Palatino Linotype"/>
                <w:i/>
                <w:iCs/>
                <w:sz w:val="20"/>
                <w:szCs w:val="20"/>
              </w:rPr>
              <w:t>future plans</w:t>
            </w:r>
            <w:proofErr w:type="gramEnd"/>
            <w:r w:rsidRPr="00391600">
              <w:rPr>
                <w:rFonts w:ascii="Palatino Linotype" w:hAnsi="Palatino Linotype"/>
                <w:i/>
                <w:iCs/>
                <w:sz w:val="20"/>
                <w:szCs w:val="20"/>
              </w:rPr>
              <w:t xml:space="preserve">, the CEC shall identify unspent funds proposed in previous plans in the Public Interest Research Development and </w:t>
            </w:r>
            <w:r w:rsidRPr="00391600">
              <w:rPr>
                <w:rFonts w:ascii="Palatino Linotype" w:hAnsi="Palatino Linotype"/>
                <w:i/>
                <w:iCs/>
                <w:sz w:val="20"/>
                <w:szCs w:val="20"/>
              </w:rPr>
              <w:lastRenderedPageBreak/>
              <w:t>Demonstration Natural Gas Subaccount. The CEC shall ensure that requests to use encumbered and unspent funds for any new projects will identify the respective research areas for which the CPUC originally authorized the funding. The CEC shall also list all spent, encumbered, and uncommitted funds organized by Gas R&amp;D initiative. Unencumbered and unspent funds shall be utilized prior to the utilization of new and/or additional ratepayer funds.</w:t>
            </w:r>
          </w:p>
          <w:p w:rsidRPr="00391600" w:rsidR="002F78F4" w:rsidP="00BB366A" w:rsidRDefault="002F78F4" w14:paraId="01BCD5DF" w14:textId="77777777">
            <w:pPr>
              <w:rPr>
                <w:rFonts w:ascii="Palatino Linotype" w:hAnsi="Palatino Linotype"/>
                <w:i/>
                <w:iCs/>
                <w:sz w:val="20"/>
                <w:szCs w:val="20"/>
              </w:rPr>
            </w:pPr>
          </w:p>
          <w:p w:rsidRPr="00391600" w:rsidR="002F78F4" w:rsidP="00BB366A" w:rsidRDefault="002F78F4" w14:paraId="44656E1B" w14:textId="77777777">
            <w:pPr>
              <w:rPr>
                <w:rFonts w:ascii="Palatino Linotype" w:hAnsi="Palatino Linotype" w:eastAsia="Palatino Linotype" w:cs="Palatino Linotype"/>
                <w:sz w:val="20"/>
                <w:szCs w:val="20"/>
              </w:rPr>
            </w:pPr>
            <w:r w:rsidRPr="00391600">
              <w:rPr>
                <w:rFonts w:ascii="Palatino Linotype" w:hAnsi="Palatino Linotype"/>
                <w:sz w:val="20"/>
                <w:szCs w:val="20"/>
              </w:rPr>
              <w:t>See also:</w:t>
            </w:r>
            <w:r w:rsidRPr="00391600">
              <w:rPr>
                <w:rFonts w:ascii="Palatino Linotype" w:hAnsi="Palatino Linotype"/>
                <w:i/>
                <w:iCs/>
                <w:sz w:val="20"/>
                <w:szCs w:val="20"/>
              </w:rPr>
              <w:t xml:space="preserve"> </w:t>
            </w:r>
            <w:hyperlink r:id="rId91">
              <w:r w:rsidRPr="00391600">
                <w:rPr>
                  <w:rStyle w:val="Hyperlink"/>
                  <w:rFonts w:ascii="Palatino Linotype" w:hAnsi="Palatino Linotype" w:eastAsia="Palatino Linotype" w:cs="Palatino Linotype"/>
                  <w:sz w:val="20"/>
                  <w:szCs w:val="20"/>
                </w:rPr>
                <w:t>Resolution G-3484</w:t>
              </w:r>
            </w:hyperlink>
            <w:r w:rsidRPr="00391600">
              <w:rPr>
                <w:rFonts w:ascii="Palatino Linotype" w:hAnsi="Palatino Linotype" w:eastAsia="Palatino Linotype" w:cs="Palatino Linotype"/>
                <w:color w:val="000000" w:themeColor="text1"/>
                <w:sz w:val="20"/>
                <w:szCs w:val="20"/>
              </w:rPr>
              <w:t xml:space="preserve"> (2013) at p. 5-6.  </w:t>
            </w:r>
          </w:p>
        </w:tc>
        <w:tc>
          <w:tcPr>
            <w:tcW w:w="7920" w:type="dxa"/>
          </w:tcPr>
          <w:p w:rsidRPr="00391600" w:rsidR="002F78F4" w:rsidP="00BB366A" w:rsidRDefault="00BE5F38" w14:paraId="023DCE18" w14:textId="187DA2E2">
            <w:pPr>
              <w:rPr>
                <w:rFonts w:ascii="Palatino Linotype" w:hAnsi="Palatino Linotype"/>
                <w:bCs/>
                <w:color w:val="000000" w:themeColor="text1"/>
                <w:sz w:val="20"/>
                <w:szCs w:val="20"/>
              </w:rPr>
            </w:pPr>
            <w:r w:rsidRPr="00391600">
              <w:rPr>
                <w:rFonts w:ascii="Palatino Linotype" w:hAnsi="Palatino Linotype"/>
                <w:bCs/>
                <w:sz w:val="20"/>
                <w:szCs w:val="20"/>
              </w:rPr>
              <w:lastRenderedPageBreak/>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provides balances of encumbered and unspent funds from </w:t>
            </w:r>
            <w:r w:rsidRPr="00391600">
              <w:rPr>
                <w:rFonts w:ascii="Palatino Linotype" w:hAnsi="Palatino Linotype"/>
                <w:bCs/>
                <w:color w:val="000000" w:themeColor="text1"/>
                <w:sz w:val="20"/>
                <w:szCs w:val="20"/>
              </w:rPr>
              <w:t xml:space="preserve">the </w:t>
            </w:r>
            <w:r w:rsidRPr="00391600" w:rsidR="002F78F4">
              <w:rPr>
                <w:rFonts w:ascii="Palatino Linotype" w:hAnsi="Palatino Linotype"/>
                <w:bCs/>
                <w:color w:val="000000" w:themeColor="text1"/>
                <w:sz w:val="20"/>
                <w:szCs w:val="20"/>
              </w:rPr>
              <w:t>CEC’s Plans from FY 2014-2015 through FY 2023-2024 as of January 2025 in Appendix B, including:</w:t>
            </w:r>
          </w:p>
          <w:p w:rsidRPr="00391600" w:rsidR="002F78F4" w:rsidP="003B475F" w:rsidRDefault="002F78F4" w14:paraId="18180F64"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$26.14M unspent from its FY 2023-2024 Plan, including approved supplemental funds:</w:t>
            </w:r>
          </w:p>
          <w:p w:rsidRPr="00391600" w:rsidR="002F78F4" w:rsidP="003B475F" w:rsidRDefault="002F78F4" w14:paraId="6E132A4C"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$1.23M from its FY 2020-2021 Plan.</w:t>
            </w:r>
          </w:p>
          <w:p w:rsidRPr="00391600" w:rsidR="002F78F4" w:rsidP="003B475F" w:rsidRDefault="002F78F4" w14:paraId="704A9493"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$3.81 from its FY 2016-2017 Plan.</w:t>
            </w:r>
          </w:p>
          <w:p w:rsidRPr="00391600" w:rsidR="002F78F4" w:rsidP="003B475F" w:rsidRDefault="002F78F4" w14:paraId="7832CC0D"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$1.5M from its FY 2015-2016 Plan.</w:t>
            </w:r>
          </w:p>
          <w:p w:rsidRPr="00391600" w:rsidR="002F78F4" w:rsidP="003B475F" w:rsidRDefault="002F78F4" w14:paraId="4FCB0A47"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391600" w:rsidR="002F78F4" w:rsidP="003B475F" w:rsidRDefault="002F78F4" w14:paraId="3B5633DD"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$865,642 unspent from its FY 2017-2018 Plan anticipated for a supplemental Plan. </w:t>
            </w:r>
          </w:p>
          <w:p w:rsidRPr="00391600" w:rsidR="002F78F4" w:rsidP="003B475F" w:rsidRDefault="002F78F4" w14:paraId="13EFAB8D" w14:textId="62ACEDB3">
            <w:pPr>
              <w:pStyle w:val="ListParagraph"/>
              <w:numPr>
                <w:ilvl w:val="0"/>
                <w:numId w:val="24"/>
              </w:numPr>
              <w:spacing w:after="160"/>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$0 unspent, meaning all funds encumbered, from its FYs 2014-2015, 2018-2019, 2019-2020, and 2021-2022 Plans.</w:t>
            </w:r>
          </w:p>
          <w:p w:rsidRPr="00391600" w:rsidR="002F78F4" w:rsidP="00BB366A" w:rsidRDefault="002F78F4" w14:paraId="6C950095" w14:textId="68560FB4">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However, </w:t>
            </w:r>
            <w:r w:rsidRPr="00391600" w:rsidR="00BE5F38">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also responded to a Spring 2026 CPUC </w:t>
            </w:r>
            <w:r w:rsidRPr="00391600" w:rsidR="0056763F">
              <w:rPr>
                <w:rFonts w:ascii="Palatino Linotype" w:hAnsi="Palatino Linotype"/>
                <w:bCs/>
                <w:color w:val="000000" w:themeColor="text1"/>
                <w:sz w:val="20"/>
                <w:szCs w:val="20"/>
              </w:rPr>
              <w:t>d</w:t>
            </w:r>
            <w:r w:rsidRPr="00391600">
              <w:rPr>
                <w:rFonts w:ascii="Palatino Linotype" w:hAnsi="Palatino Linotype"/>
                <w:bCs/>
                <w:color w:val="000000" w:themeColor="text1"/>
                <w:sz w:val="20"/>
                <w:szCs w:val="20"/>
              </w:rPr>
              <w:t xml:space="preserve">ata </w:t>
            </w:r>
            <w:r w:rsidRPr="00391600" w:rsidR="0056763F">
              <w:rPr>
                <w:rFonts w:ascii="Palatino Linotype" w:hAnsi="Palatino Linotype"/>
                <w:bCs/>
                <w:color w:val="000000" w:themeColor="text1"/>
                <w:sz w:val="20"/>
                <w:szCs w:val="20"/>
              </w:rPr>
              <w:t>r</w:t>
            </w:r>
            <w:r w:rsidRPr="00391600">
              <w:rPr>
                <w:rFonts w:ascii="Palatino Linotype" w:hAnsi="Palatino Linotype"/>
                <w:bCs/>
                <w:color w:val="000000" w:themeColor="text1"/>
                <w:sz w:val="20"/>
                <w:szCs w:val="20"/>
              </w:rPr>
              <w:t xml:space="preserve">equest with updated balances of spent and unspent encumbered funds and unencumbered funds from previously approved Gas RD&amp;D Plans from FY 2015-2016 to present to supplement information provided in its Plan appendices. </w:t>
            </w:r>
            <w:r w:rsidRPr="00391600" w:rsidR="00BE5F38">
              <w:rPr>
                <w:rFonts w:ascii="Palatino Linotype" w:hAnsi="Palatino Linotype"/>
                <w:bCs/>
                <w:sz w:val="20"/>
                <w:szCs w:val="20"/>
              </w:rPr>
              <w:t>The</w:t>
            </w:r>
            <w:r w:rsidRPr="00391600" w:rsidR="00BE5F38">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 xml:space="preserve">CEC reports a total of $31,076,691 in Unspent Encumbered Funds and Unencumbered Funds </w:t>
            </w:r>
            <w:r w:rsidRPr="00391600" w:rsidR="00E50633">
              <w:rPr>
                <w:rFonts w:ascii="Palatino Linotype" w:hAnsi="Palatino Linotype"/>
                <w:bCs/>
                <w:color w:val="000000" w:themeColor="text1"/>
                <w:sz w:val="20"/>
                <w:szCs w:val="20"/>
              </w:rPr>
              <w:t>outside encumbrance and spending windows</w:t>
            </w:r>
            <w:r w:rsidRPr="00391600">
              <w:rPr>
                <w:rFonts w:ascii="Palatino Linotype" w:hAnsi="Palatino Linotype"/>
                <w:bCs/>
                <w:color w:val="000000" w:themeColor="text1"/>
                <w:sz w:val="20"/>
                <w:szCs w:val="20"/>
              </w:rPr>
              <w:t xml:space="preserve"> per this requirement: </w:t>
            </w:r>
            <w:r w:rsidRPr="00391600">
              <w:rPr>
                <w:rFonts w:ascii="Palatino Linotype" w:hAnsi="Palatino Linotype"/>
                <w:sz w:val="20"/>
                <w:szCs w:val="20"/>
              </w:rPr>
              <w:t>See Resolution G-</w:t>
            </w:r>
            <w:r w:rsidRPr="00391600" w:rsidR="002E0702">
              <w:rPr>
                <w:rFonts w:ascii="Palatino Linotype" w:hAnsi="Palatino Linotype"/>
                <w:sz w:val="20"/>
                <w:szCs w:val="20"/>
              </w:rPr>
              <w:t>3622</w:t>
            </w:r>
            <w:r w:rsidRPr="00391600">
              <w:rPr>
                <w:rFonts w:ascii="Palatino Linotype" w:hAnsi="Palatino Linotype"/>
                <w:sz w:val="20"/>
                <w:szCs w:val="20"/>
              </w:rPr>
              <w:t xml:space="preserve"> at Appendix </w:t>
            </w:r>
            <w:r w:rsidRPr="00391600" w:rsidR="00BD47DB">
              <w:rPr>
                <w:rFonts w:ascii="Palatino Linotype" w:hAnsi="Palatino Linotype"/>
                <w:sz w:val="20"/>
                <w:szCs w:val="20"/>
              </w:rPr>
              <w:t>F</w:t>
            </w:r>
            <w:r w:rsidRPr="00391600">
              <w:rPr>
                <w:rFonts w:ascii="Palatino Linotype" w:hAnsi="Palatino Linotype"/>
                <w:sz w:val="20"/>
                <w:szCs w:val="20"/>
              </w:rPr>
              <w:t xml:space="preserve">: </w:t>
            </w:r>
            <w:r w:rsidRPr="00391600">
              <w:rPr>
                <w:rFonts w:ascii="Palatino Linotype" w:hAnsi="Palatino Linotype"/>
                <w:color w:val="000000" w:themeColor="text1"/>
                <w:sz w:val="20"/>
                <w:szCs w:val="20"/>
              </w:rPr>
              <w:t>CEC Balances of Unspent Funds from Previously Approved Gas RD&amp;D Plans.</w:t>
            </w:r>
          </w:p>
          <w:p w:rsidRPr="00391600" w:rsidR="002F78F4" w:rsidP="00BB366A" w:rsidRDefault="47D55E79" w14:paraId="2B445575" w14:textId="5069F61D">
            <w:pPr>
              <w:spacing w:before="240"/>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does not request to use unspent funds for any new projects in its FY 2024-2025 Plan, but states that it “will ensure that for any use of encumbered and unspent funds that the CEC requests for new projects, the request will identify the respective research areas for which the CPUC originally authorized the funding.”</w:t>
            </w:r>
            <w:r w:rsidRPr="00391600" w:rsidR="002F78F4">
              <w:rPr>
                <w:rStyle w:val="FootnoteReference"/>
                <w:rFonts w:ascii="Palatino Linotype" w:hAnsi="Palatino Linotype"/>
                <w:color w:val="000000" w:themeColor="text1"/>
                <w:sz w:val="20"/>
                <w:szCs w:val="20"/>
              </w:rPr>
              <w:footnoteReference w:id="214"/>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also states that, “[p]er Resolutions G-3584 and G-3592, the CEC will ensure that for any unspent funds that the CEC has identified and seeks to use for new Gas R&amp;D projects, the CEC will apply this unused funding before any new or additional ratepayer funds are used”.</w:t>
            </w:r>
            <w:r w:rsidRPr="00391600" w:rsidR="002F78F4">
              <w:rPr>
                <w:rStyle w:val="FootnoteReference"/>
                <w:rFonts w:ascii="Palatino Linotype" w:hAnsi="Palatino Linotype"/>
                <w:color w:val="000000" w:themeColor="text1"/>
                <w:sz w:val="20"/>
                <w:szCs w:val="20"/>
              </w:rPr>
              <w:footnoteReference w:id="215"/>
            </w:r>
            <w:r w:rsidRPr="00391600" w:rsidR="002F78F4">
              <w:rPr>
                <w:rFonts w:ascii="Palatino Linotype" w:hAnsi="Palatino Linotype"/>
                <w:color w:val="000000" w:themeColor="text1"/>
                <w:sz w:val="20"/>
                <w:szCs w:val="20"/>
              </w:rPr>
              <w:t xml:space="preserve"> </w:t>
            </w:r>
          </w:p>
          <w:p w:rsidRPr="00391600" w:rsidR="002F78F4" w:rsidP="00BB366A" w:rsidRDefault="47D55E79" w14:paraId="778F30C2" w14:textId="23179D6F">
            <w:pPr>
              <w:spacing w:before="240"/>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also lists $3.6M under “CPUC FY 2022-23 </w:t>
            </w:r>
            <w:r w:rsidRPr="00391600" w:rsidR="002F78F4">
              <w:rPr>
                <w:rFonts w:ascii="Palatino Linotype" w:hAnsi="Palatino Linotype"/>
                <w:i/>
                <w:iCs/>
                <w:color w:val="000000" w:themeColor="text1"/>
                <w:sz w:val="20"/>
                <w:szCs w:val="20"/>
              </w:rPr>
              <w:t>Approved</w:t>
            </w:r>
            <w:r w:rsidRPr="00391600" w:rsidR="002F78F4">
              <w:rPr>
                <w:rFonts w:ascii="Palatino Linotype" w:hAnsi="Palatino Linotype"/>
                <w:color w:val="000000" w:themeColor="text1"/>
                <w:sz w:val="20"/>
                <w:szCs w:val="20"/>
              </w:rPr>
              <w:t xml:space="preserve"> Budget Plan” versus $0 under “FY 2022-23 </w:t>
            </w:r>
            <w:r w:rsidRPr="00391600" w:rsidR="002F78F4">
              <w:rPr>
                <w:rFonts w:ascii="Palatino Linotype" w:hAnsi="Palatino Linotype"/>
                <w:i/>
                <w:iCs/>
                <w:color w:val="000000" w:themeColor="text1"/>
                <w:sz w:val="20"/>
                <w:szCs w:val="20"/>
              </w:rPr>
              <w:t>Current</w:t>
            </w:r>
            <w:r w:rsidRPr="00391600" w:rsidR="002F78F4">
              <w:rPr>
                <w:rFonts w:ascii="Palatino Linotype" w:hAnsi="Palatino Linotype"/>
                <w:color w:val="000000" w:themeColor="text1"/>
                <w:sz w:val="20"/>
                <w:szCs w:val="20"/>
              </w:rPr>
              <w:t xml:space="preserve"> Budget Plan” for an Entrepreneur Development Initiative, noting “CPUC modified the $3.6 million budget for Entrepreneur Development (</w:t>
            </w:r>
            <w:proofErr w:type="spellStart"/>
            <w:r w:rsidRPr="00391600" w:rsidR="002F78F4">
              <w:rPr>
                <w:rFonts w:ascii="Palatino Linotype" w:hAnsi="Palatino Linotype"/>
                <w:color w:val="000000" w:themeColor="text1"/>
                <w:sz w:val="20"/>
                <w:szCs w:val="20"/>
              </w:rPr>
              <w:t>CalSEED</w:t>
            </w:r>
            <w:proofErr w:type="spellEnd"/>
            <w:r w:rsidRPr="00391600" w:rsidR="002F78F4">
              <w:rPr>
                <w:rFonts w:ascii="Palatino Linotype" w:hAnsi="Palatino Linotype"/>
                <w:color w:val="000000" w:themeColor="text1"/>
                <w:sz w:val="20"/>
                <w:szCs w:val="20"/>
              </w:rPr>
              <w:t xml:space="preserve"> Initiative) and directed the CEC to submit a new proposal for reallocating the $3.6 million via a Tier 2 Advice Letter. CPUC approved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 xml:space="preserve">CEC’s request to </w:t>
            </w:r>
            <w:r w:rsidRPr="00391600" w:rsidR="002F78F4">
              <w:rPr>
                <w:rFonts w:ascii="Palatino Linotype" w:hAnsi="Palatino Linotype"/>
                <w:color w:val="000000" w:themeColor="text1"/>
                <w:sz w:val="20"/>
                <w:szCs w:val="20"/>
              </w:rPr>
              <w:lastRenderedPageBreak/>
              <w:t>reallocate $600,000 to Targeted Gas System Decommissioning and $3,000,000 to Gas Pipeline Safety and Integrity.”</w:t>
            </w:r>
            <w:r w:rsidRPr="00391600" w:rsidR="002F78F4">
              <w:rPr>
                <w:rStyle w:val="FootnoteReference"/>
                <w:rFonts w:ascii="Palatino Linotype" w:hAnsi="Palatino Linotype"/>
                <w:color w:val="000000" w:themeColor="text1"/>
                <w:sz w:val="20"/>
                <w:szCs w:val="20"/>
              </w:rPr>
              <w:footnoteReference w:id="216"/>
            </w:r>
          </w:p>
        </w:tc>
        <w:tc>
          <w:tcPr>
            <w:tcW w:w="3240" w:type="dxa"/>
          </w:tcPr>
          <w:p w:rsidRPr="00391600" w:rsidR="002F78F4" w:rsidP="00BB366A" w:rsidRDefault="002F78F4" w14:paraId="4B4E78B7" w14:textId="34C25BCC">
            <w:pPr>
              <w:rPr>
                <w:rFonts w:ascii="Palatino Linotype" w:hAnsi="Palatino Linotype"/>
                <w:b/>
                <w:color w:val="000000" w:themeColor="text1"/>
                <w:sz w:val="20"/>
                <w:szCs w:val="20"/>
              </w:rPr>
            </w:pPr>
            <w:r w:rsidRPr="00391600">
              <w:rPr>
                <w:rFonts w:ascii="Palatino Linotype" w:hAnsi="Palatino Linotype"/>
                <w:color w:val="000000" w:themeColor="text1"/>
                <w:sz w:val="20"/>
                <w:szCs w:val="20"/>
              </w:rPr>
              <w:lastRenderedPageBreak/>
              <w:t xml:space="preserve">Though </w:t>
            </w:r>
            <w:r w:rsidRPr="00391600" w:rsidR="47D55E79">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reports unspent and encumbered funds,</w:t>
            </w:r>
            <w:r w:rsidRPr="00391600" w:rsidR="47D55E79">
              <w:rPr>
                <w:rFonts w:ascii="Palatino Linotype" w:hAnsi="Palatino Linotype"/>
                <w:color w:val="000000" w:themeColor="text1"/>
                <w:sz w:val="20"/>
                <w:szCs w:val="20"/>
              </w:rPr>
              <w:t xml:space="preserve"> the</w:t>
            </w:r>
            <w:r w:rsidRPr="00391600">
              <w:rPr>
                <w:rFonts w:ascii="Palatino Linotype" w:hAnsi="Palatino Linotype"/>
                <w:color w:val="000000" w:themeColor="text1"/>
                <w:sz w:val="20"/>
                <w:szCs w:val="20"/>
              </w:rPr>
              <w:t xml:space="preserve"> CEC does not provide balances of </w:t>
            </w:r>
            <w:proofErr w:type="gramStart"/>
            <w:r w:rsidRPr="00391600">
              <w:rPr>
                <w:rFonts w:ascii="Palatino Linotype" w:hAnsi="Palatino Linotype"/>
                <w:color w:val="000000" w:themeColor="text1"/>
                <w:sz w:val="20"/>
                <w:szCs w:val="20"/>
              </w:rPr>
              <w:t>spent</w:t>
            </w:r>
            <w:proofErr w:type="gramEnd"/>
            <w:r w:rsidRPr="00391600">
              <w:rPr>
                <w:rFonts w:ascii="Palatino Linotype" w:hAnsi="Palatino Linotype"/>
                <w:color w:val="000000" w:themeColor="text1"/>
                <w:sz w:val="20"/>
                <w:szCs w:val="20"/>
              </w:rPr>
              <w:t xml:space="preserve"> and unencumbered funds for these years</w:t>
            </w:r>
            <w:r w:rsidRPr="00391600" w:rsidR="7A734213">
              <w:rPr>
                <w:rFonts w:ascii="Palatino Linotype" w:hAnsi="Palatino Linotype"/>
                <w:color w:val="000000" w:themeColor="text1"/>
                <w:sz w:val="20"/>
                <w:szCs w:val="20"/>
              </w:rPr>
              <w:t xml:space="preserve">. </w:t>
            </w:r>
            <w:r w:rsidRPr="00391600" w:rsidR="47D55E79">
              <w:rPr>
                <w:rFonts w:ascii="Palatino Linotype" w:hAnsi="Palatino Linotype"/>
                <w:sz w:val="20"/>
                <w:szCs w:val="20"/>
              </w:rPr>
              <w:t xml:space="preserve">The </w:t>
            </w:r>
            <w:r w:rsidRPr="00391600">
              <w:rPr>
                <w:rFonts w:ascii="Palatino Linotype" w:hAnsi="Palatino Linotype"/>
                <w:sz w:val="20"/>
                <w:szCs w:val="20"/>
              </w:rPr>
              <w:t xml:space="preserve">CEC does not </w:t>
            </w:r>
            <w:r w:rsidRPr="00391600">
              <w:rPr>
                <w:rFonts w:ascii="Palatino Linotype" w:hAnsi="Palatino Linotype"/>
                <w:color w:val="000000" w:themeColor="text1"/>
                <w:sz w:val="20"/>
                <w:szCs w:val="20"/>
              </w:rPr>
              <w:t>demonstrate</w:t>
            </w:r>
            <w:r w:rsidRPr="00391600" w:rsidR="477BAC4F">
              <w:rPr>
                <w:rFonts w:ascii="Palatino Linotype" w:hAnsi="Palatino Linotype"/>
                <w:color w:val="000000" w:themeColor="text1"/>
                <w:sz w:val="20"/>
                <w:szCs w:val="20"/>
              </w:rPr>
              <w:t xml:space="preserve"> that</w:t>
            </w:r>
            <w:r w:rsidRPr="00391600">
              <w:rPr>
                <w:rFonts w:ascii="Palatino Linotype" w:hAnsi="Palatino Linotype"/>
                <w:color w:val="000000" w:themeColor="text1"/>
                <w:sz w:val="20"/>
                <w:szCs w:val="20"/>
              </w:rPr>
              <w:t xml:space="preserve"> </w:t>
            </w:r>
            <w:r w:rsidRPr="00391600" w:rsidR="4650D39D">
              <w:rPr>
                <w:rFonts w:ascii="Palatino Linotype" w:hAnsi="Palatino Linotype"/>
                <w:color w:val="000000" w:themeColor="text1"/>
                <w:sz w:val="20"/>
                <w:szCs w:val="20"/>
              </w:rPr>
              <w:t xml:space="preserve">unspent funds </w:t>
            </w:r>
            <w:r w:rsidRPr="00391600">
              <w:rPr>
                <w:rFonts w:ascii="Palatino Linotype" w:hAnsi="Palatino Linotype"/>
                <w:color w:val="000000" w:themeColor="text1"/>
                <w:sz w:val="20"/>
                <w:szCs w:val="20"/>
              </w:rPr>
              <w:lastRenderedPageBreak/>
              <w:t xml:space="preserve">have been or are being used to offset new or additional ratepayer costs. </w:t>
            </w:r>
            <w:r w:rsidRPr="00391600" w:rsidR="47D55E79">
              <w:rPr>
                <w:rFonts w:ascii="Palatino Linotype" w:hAnsi="Palatino Linotype"/>
                <w:sz w:val="20"/>
                <w:szCs w:val="20"/>
              </w:rPr>
              <w:t>The</w:t>
            </w:r>
            <w:r w:rsidRPr="00391600" w:rsidR="47D55E79">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shall apply</w:t>
            </w:r>
            <w:r w:rsidRPr="00391600" w:rsidDel="003365F2" w:rsidR="1652CAB2">
              <w:rPr>
                <w:rFonts w:ascii="Palatino Linotype" w:hAnsi="Palatino Linotype"/>
                <w:color w:val="000000" w:themeColor="text1"/>
                <w:sz w:val="20"/>
                <w:szCs w:val="20"/>
              </w:rPr>
              <w:t xml:space="preserve"> </w:t>
            </w:r>
            <w:r w:rsidRPr="00391600" w:rsidR="1652CAB2">
              <w:rPr>
                <w:rFonts w:ascii="Palatino Linotype" w:hAnsi="Palatino Linotype"/>
                <w:color w:val="000000" w:themeColor="text1"/>
                <w:sz w:val="20"/>
                <w:szCs w:val="20"/>
              </w:rPr>
              <w:t>unspent</w:t>
            </w:r>
            <w:r w:rsidRPr="00391600">
              <w:rPr>
                <w:rFonts w:ascii="Palatino Linotype" w:hAnsi="Palatino Linotype"/>
                <w:color w:val="000000" w:themeColor="text1"/>
                <w:sz w:val="20"/>
                <w:szCs w:val="20"/>
              </w:rPr>
              <w:t xml:space="preserve"> funds from previous cycles to future funding requests</w:t>
            </w:r>
            <w:r w:rsidRPr="00391600" w:rsidR="69EA905B">
              <w:rPr>
                <w:rFonts w:ascii="Palatino Linotype" w:hAnsi="Palatino Linotype"/>
                <w:color w:val="000000" w:themeColor="text1"/>
                <w:sz w:val="20"/>
                <w:szCs w:val="20"/>
              </w:rPr>
              <w:t xml:space="preserve"> according to the methods described in this Resolution</w:t>
            </w:r>
            <w:r w:rsidRPr="00391600">
              <w:rPr>
                <w:rFonts w:ascii="Palatino Linotype" w:hAnsi="Palatino Linotype"/>
                <w:color w:val="000000" w:themeColor="text1"/>
                <w:sz w:val="20"/>
                <w:szCs w:val="20"/>
              </w:rPr>
              <w:t>, which will result in reducing the amount the CEC will need to draw out of the program funds for that cycle.</w:t>
            </w:r>
            <w:r w:rsidRPr="00391600">
              <w:rPr>
                <w:rStyle w:val="FootnoteReference"/>
                <w:rFonts w:ascii="Palatino Linotype" w:hAnsi="Palatino Linotype"/>
                <w:color w:val="000000" w:themeColor="text1"/>
                <w:sz w:val="20"/>
                <w:szCs w:val="20"/>
              </w:rPr>
              <w:footnoteReference w:id="217"/>
            </w:r>
            <w:r w:rsidRPr="00391600">
              <w:rPr>
                <w:rFonts w:ascii="Palatino Linotype" w:hAnsi="Palatino Linotype"/>
                <w:color w:val="000000" w:themeColor="text1"/>
                <w:sz w:val="20"/>
                <w:szCs w:val="20"/>
              </w:rPr>
              <w:t xml:space="preserve"> </w:t>
            </w:r>
            <w:r w:rsidRPr="00391600" w:rsidR="47D55E79">
              <w:rPr>
                <w:rFonts w:ascii="Palatino Linotype" w:hAnsi="Palatino Linotype"/>
                <w:sz w:val="20"/>
                <w:szCs w:val="20"/>
              </w:rPr>
              <w:t>The</w:t>
            </w:r>
            <w:r w:rsidRPr="00391600" w:rsidR="47D55E79">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also does not appear to accurately report CPUC-approved budget allocations for each Plan in Appendix B. </w:t>
            </w:r>
            <w:r w:rsidRPr="00391600" w:rsidR="47D55E79">
              <w:rPr>
                <w:rFonts w:ascii="Palatino Linotype" w:hAnsi="Palatino Linotype"/>
                <w:b/>
                <w:bCs/>
                <w:sz w:val="20"/>
                <w:szCs w:val="20"/>
              </w:rPr>
              <w:t>The</w:t>
            </w:r>
            <w:r w:rsidRPr="00391600" w:rsidR="47D55E79">
              <w:rPr>
                <w:rFonts w:ascii="Palatino Linotype" w:hAnsi="Palatino Linotype"/>
                <w:b/>
                <w:bCs/>
                <w:color w:val="000000" w:themeColor="text1"/>
                <w:sz w:val="20"/>
                <w:szCs w:val="20"/>
              </w:rPr>
              <w:t xml:space="preserve"> </w:t>
            </w:r>
            <w:r w:rsidRPr="00391600">
              <w:rPr>
                <w:rFonts w:ascii="Palatino Linotype" w:hAnsi="Palatino Linotype"/>
                <w:b/>
                <w:bCs/>
                <w:color w:val="000000" w:themeColor="text1"/>
                <w:sz w:val="20"/>
                <w:szCs w:val="20"/>
              </w:rPr>
              <w:t xml:space="preserve">CEC is </w:t>
            </w:r>
            <w:r w:rsidRPr="00391600">
              <w:rPr>
                <w:rFonts w:ascii="Palatino Linotype" w:hAnsi="Palatino Linotype"/>
                <w:b/>
                <w:bCs/>
                <w:i/>
                <w:iCs/>
                <w:color w:val="000000" w:themeColor="text1"/>
                <w:sz w:val="20"/>
                <w:szCs w:val="20"/>
              </w:rPr>
              <w:t>not</w:t>
            </w:r>
            <w:r w:rsidRPr="00391600">
              <w:rPr>
                <w:rFonts w:ascii="Palatino Linotype" w:hAnsi="Palatino Linotype"/>
                <w:b/>
                <w:bCs/>
                <w:color w:val="000000" w:themeColor="text1"/>
                <w:sz w:val="20"/>
                <w:szCs w:val="20"/>
              </w:rPr>
              <w:t xml:space="preserve"> compliant with this requirement. </w:t>
            </w:r>
          </w:p>
          <w:p w:rsidRPr="00391600" w:rsidR="002F78F4" w:rsidP="00BB366A" w:rsidRDefault="002F78F4" w14:paraId="1C79D03C" w14:textId="77777777">
            <w:pPr>
              <w:rPr>
                <w:rFonts w:ascii="Palatino Linotype" w:hAnsi="Palatino Linotype"/>
                <w:bCs/>
                <w:color w:val="000000" w:themeColor="text1"/>
                <w:sz w:val="20"/>
                <w:szCs w:val="20"/>
              </w:rPr>
            </w:pPr>
          </w:p>
          <w:p w:rsidRPr="00391600" w:rsidR="002F78F4" w:rsidP="00BB366A" w:rsidRDefault="002F78F4" w14:paraId="083659C7" w14:textId="5F3BCF74">
            <w:pPr>
              <w:rPr>
                <w:rFonts w:ascii="Palatino Linotype" w:hAnsi="Palatino Linotype"/>
                <w:sz w:val="20"/>
                <w:szCs w:val="20"/>
              </w:rPr>
            </w:pPr>
            <w:r w:rsidRPr="00391600">
              <w:rPr>
                <w:rFonts w:ascii="Palatino Linotype" w:hAnsi="Palatino Linotype"/>
                <w:bCs/>
                <w:color w:val="000000" w:themeColor="text1"/>
                <w:sz w:val="20"/>
                <w:szCs w:val="20"/>
              </w:rPr>
              <w:t xml:space="preserve">The CEC </w:t>
            </w:r>
            <w:r w:rsidRPr="00391600" w:rsidR="00156654">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ensure fund balances are listed by specific Gas RD&amp;D Initiative rather than broader “Initiative Themes</w:t>
            </w:r>
            <w:r w:rsidRPr="00391600" w:rsidR="00624890">
              <w:rPr>
                <w:rFonts w:ascii="Palatino Linotype" w:hAnsi="Palatino Linotype"/>
                <w:bCs/>
                <w:color w:val="000000" w:themeColor="text1"/>
                <w:sz w:val="20"/>
                <w:szCs w:val="20"/>
              </w:rPr>
              <w:t>.</w:t>
            </w:r>
            <w:r w:rsidRPr="00391600">
              <w:rPr>
                <w:rFonts w:ascii="Palatino Linotype" w:hAnsi="Palatino Linotype"/>
                <w:bCs/>
                <w:color w:val="000000" w:themeColor="text1"/>
                <w:sz w:val="20"/>
                <w:szCs w:val="20"/>
              </w:rPr>
              <w:t>”</w:t>
            </w:r>
            <w:r w:rsidRPr="00391600" w:rsidR="00624890">
              <w:rPr>
                <w:rFonts w:ascii="Palatino Linotype" w:hAnsi="Palatino Linotype"/>
                <w:bCs/>
                <w:color w:val="000000" w:themeColor="text1"/>
                <w:sz w:val="20"/>
                <w:szCs w:val="20"/>
              </w:rPr>
              <w:t xml:space="preserve"> </w:t>
            </w:r>
            <w:r w:rsidRPr="00391600">
              <w:rPr>
                <w:rFonts w:ascii="Palatino Linotype" w:hAnsi="Palatino Linotype"/>
                <w:sz w:val="20"/>
                <w:szCs w:val="20"/>
              </w:rPr>
              <w:t xml:space="preserve">To clearly demonstrate compliance with reporting requirements, the CEC </w:t>
            </w:r>
            <w:r w:rsidRPr="00391600" w:rsidR="00156654">
              <w:rPr>
                <w:rFonts w:ascii="Palatino Linotype" w:hAnsi="Palatino Linotype"/>
                <w:sz w:val="20"/>
                <w:szCs w:val="20"/>
              </w:rPr>
              <w:t>must</w:t>
            </w:r>
            <w:r w:rsidRPr="00391600">
              <w:rPr>
                <w:rFonts w:ascii="Palatino Linotype" w:hAnsi="Palatino Linotype"/>
                <w:sz w:val="20"/>
                <w:szCs w:val="20"/>
              </w:rPr>
              <w:t xml:space="preserve"> also utilize Energy Division guidance, including the Annual Report Template.</w:t>
            </w:r>
          </w:p>
        </w:tc>
      </w:tr>
      <w:tr w:rsidRPr="00391600" w:rsidR="002F78F4" w:rsidTr="6FAFEDE3" w14:paraId="78608795" w14:textId="77777777">
        <w:trPr>
          <w:trHeight w:val="638"/>
        </w:trPr>
        <w:tc>
          <w:tcPr>
            <w:tcW w:w="3145" w:type="dxa"/>
          </w:tcPr>
          <w:p w:rsidRPr="00391600" w:rsidR="002F78F4" w:rsidP="00BB366A" w:rsidRDefault="002F78F4" w14:paraId="43C9BD15" w14:textId="77777777">
            <w:pPr>
              <w:rPr>
                <w:rFonts w:ascii="Palatino Linotype" w:hAnsi="Palatino Linotype"/>
                <w:b/>
                <w:sz w:val="20"/>
                <w:szCs w:val="20"/>
              </w:rPr>
            </w:pPr>
            <w:hyperlink w:history="1" r:id="rId92">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4. </w:t>
            </w:r>
            <w:r w:rsidRPr="00391600">
              <w:rPr>
                <w:rFonts w:ascii="Palatino Linotype" w:hAnsi="Palatino Linotype"/>
                <w:bCs/>
                <w:i/>
                <w:iCs/>
                <w:sz w:val="20"/>
                <w:szCs w:val="20"/>
              </w:rPr>
              <w:t>[The CEC] shall be proactive and specific in articulating its coordination and collaboration with the Investor-Owned Utilities (IOUs), and other Gas Research and Development (R&amp;D) entities,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391600">
              <w:rPr>
                <w:rFonts w:ascii="Palatino Linotype" w:hAnsi="Palatino Linotype"/>
                <w:b/>
                <w:sz w:val="20"/>
                <w:szCs w:val="20"/>
              </w:rPr>
              <w:t xml:space="preserve">  </w:t>
            </w:r>
          </w:p>
        </w:tc>
        <w:tc>
          <w:tcPr>
            <w:tcW w:w="7920" w:type="dxa"/>
          </w:tcPr>
          <w:p w:rsidRPr="00391600" w:rsidR="002F78F4" w:rsidP="00BB366A" w:rsidRDefault="47D55E79" w14:paraId="2D67A446" w14:textId="39CF976E">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sidR="002F78F4">
              <w:rPr>
                <w:rStyle w:val="FootnoteReference"/>
                <w:rFonts w:ascii="Palatino Linotype" w:hAnsi="Palatino Linotype"/>
                <w:color w:val="000000" w:themeColor="text1"/>
                <w:sz w:val="20"/>
                <w:szCs w:val="20"/>
              </w:rPr>
              <w:footnoteReference w:id="218"/>
            </w:r>
            <w:r w:rsidRPr="00391600" w:rsidR="002F78F4">
              <w:rPr>
                <w:rFonts w:ascii="Palatino Linotype" w:hAnsi="Palatino Linotype"/>
                <w:color w:val="000000" w:themeColor="text1"/>
                <w:sz w:val="20"/>
                <w:szCs w:val="20"/>
              </w:rPr>
              <w:t xml:space="preserve"> including coordination with IOUs and a public workshop.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describes Coordination and Strategic Partnerships primarily at the program and Plan levels, including regular outreach meetings and general initiative coordination with the IOUs.</w:t>
            </w:r>
            <w:r w:rsidRPr="00391600" w:rsidR="002F78F4">
              <w:rPr>
                <w:rStyle w:val="FootnoteReference"/>
                <w:rFonts w:ascii="Palatino Linotype" w:hAnsi="Palatino Linotype"/>
                <w:color w:val="000000" w:themeColor="text1"/>
                <w:sz w:val="20"/>
                <w:szCs w:val="20"/>
              </w:rPr>
              <w:footnoteReference w:id="219"/>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also includes a Public Workshop and Written Public Comment Summary and CEC Responses, including IOU comments.</w:t>
            </w:r>
            <w:r w:rsidRPr="00391600" w:rsidR="002F78F4">
              <w:rPr>
                <w:rStyle w:val="FootnoteReference"/>
                <w:rFonts w:ascii="Palatino Linotype" w:hAnsi="Palatino Linotype"/>
                <w:color w:val="000000" w:themeColor="text1"/>
                <w:sz w:val="20"/>
                <w:szCs w:val="20"/>
              </w:rPr>
              <w:footnoteReference w:id="220"/>
            </w:r>
            <w:r w:rsidRPr="00391600" w:rsidR="002F78F4">
              <w:rPr>
                <w:rFonts w:ascii="Palatino Linotype" w:hAnsi="Palatino Linotype"/>
                <w:color w:val="000000" w:themeColor="text1"/>
                <w:sz w:val="20"/>
                <w:szCs w:val="20"/>
              </w:rPr>
              <w:t xml:space="preserve">  </w:t>
            </w:r>
          </w:p>
          <w:p w:rsidRPr="00391600" w:rsidR="002F78F4" w:rsidP="00BB366A" w:rsidRDefault="002F78F4" w14:paraId="7C15DC81" w14:textId="6FB25815">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Support Equitable, Safe, and Cost-Effective Decarbonization of California’s Gas System</w:t>
            </w:r>
            <w:r w:rsidRPr="00391600">
              <w:rPr>
                <w:rFonts w:ascii="Palatino Linotype" w:hAnsi="Palatino Linotype"/>
                <w:color w:val="000000" w:themeColor="text1"/>
                <w:sz w:val="20"/>
                <w:szCs w:val="20"/>
              </w:rPr>
              <w:t xml:space="preserve">: CEC states that this "initiative responds to key needs identified in state processes and studies, including: SB 1221 (2024) - Gas Corporations: Ceasing Service: Priority Neighborhood Decarbonization Zones, which requires CPUC to designate priority neighborhood decarbonization zones on the gas distribution system and to facilitate decarbonization of priority neighborhood decarbonization zones. This initiative would support the implementation of SB 1221 in several dimensions, including by informing efficient execution of priority neighborhood decarbonization, contributing to energy resilience for these areas, and assessing and communicating air quality and other local benefits of decarbonization." However, </w:t>
            </w:r>
            <w:r w:rsidRPr="00391600" w:rsidR="47D55E79">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also notes that it "was originally developed before SB 1221 passed. It was designed to support gas decommissioning pilots, like those subsequently envisioned under SB 1221, as well as longer-term decommissioning and other elements of gas system decarbonization."</w:t>
            </w:r>
            <w:r w:rsidRPr="00391600">
              <w:rPr>
                <w:rStyle w:val="FootnoteReference"/>
                <w:rFonts w:ascii="Palatino Linotype" w:hAnsi="Palatino Linotype"/>
                <w:color w:val="000000" w:themeColor="text1"/>
                <w:sz w:val="20"/>
                <w:szCs w:val="20"/>
              </w:rPr>
              <w:footnoteReference w:id="221"/>
            </w:r>
            <w:r w:rsidRPr="00391600">
              <w:rPr>
                <w:rFonts w:ascii="Palatino Linotype" w:hAnsi="Palatino Linotype"/>
                <w:color w:val="000000" w:themeColor="text1"/>
                <w:sz w:val="20"/>
                <w:szCs w:val="20"/>
              </w:rPr>
              <w:t xml:space="preserve"> </w:t>
            </w:r>
            <w:r w:rsidRPr="00391600" w:rsidR="75CE84EA">
              <w:rPr>
                <w:rFonts w:ascii="Palatino Linotype" w:hAnsi="Palatino Linotype"/>
                <w:sz w:val="20"/>
                <w:szCs w:val="20"/>
              </w:rPr>
              <w:t>The</w:t>
            </w:r>
            <w:r w:rsidRPr="00391600" w:rsidR="75CE84EA">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also states that this Initiative "responds to key research gaps and needs identified in coordination with CPUC, IOUs, and other stakeholders, including: Coordination with gas utility staff and research organization staff on decommissioning and decarbonization research, including exchanges related to the PG&amp;E Innovation program, and in a CEC scoping workshop and a CEC pre-application workshop on </w:t>
            </w:r>
            <w:r w:rsidRPr="00391600">
              <w:rPr>
                <w:rFonts w:ascii="Palatino Linotype" w:hAnsi="Palatino Linotype"/>
                <w:color w:val="000000" w:themeColor="text1"/>
                <w:sz w:val="20"/>
                <w:szCs w:val="20"/>
              </w:rPr>
              <w:lastRenderedPageBreak/>
              <w:t>decommissioning and decarbonization research for previously-approved initiatives within CEC’s Gas Research program."</w:t>
            </w:r>
            <w:r w:rsidRPr="00391600">
              <w:rPr>
                <w:rStyle w:val="FootnoteReference"/>
                <w:rFonts w:ascii="Palatino Linotype" w:hAnsi="Palatino Linotype"/>
                <w:color w:val="000000" w:themeColor="text1"/>
                <w:sz w:val="20"/>
                <w:szCs w:val="20"/>
              </w:rPr>
              <w:footnoteReference w:id="222"/>
            </w:r>
            <w:r w:rsidRPr="00391600">
              <w:rPr>
                <w:rFonts w:ascii="Palatino Linotype" w:hAnsi="Palatino Linotype"/>
                <w:color w:val="000000" w:themeColor="text1"/>
                <w:sz w:val="20"/>
                <w:szCs w:val="20"/>
              </w:rPr>
              <w:t xml:space="preserve"> </w:t>
            </w:r>
            <w:r w:rsidRPr="00391600" w:rsidR="75CE84EA">
              <w:rPr>
                <w:rFonts w:ascii="Palatino Linotype" w:hAnsi="Palatino Linotype"/>
                <w:sz w:val="20"/>
                <w:szCs w:val="20"/>
              </w:rPr>
              <w:t>The</w:t>
            </w:r>
            <w:r w:rsidRPr="00391600" w:rsidR="75CE84EA">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reports only one specific comment on this Initiative from S</w:t>
            </w:r>
            <w:r w:rsidRPr="00391600" w:rsidR="00D86396">
              <w:rPr>
                <w:rFonts w:ascii="Palatino Linotype" w:hAnsi="Palatino Linotype"/>
                <w:color w:val="000000" w:themeColor="text1"/>
                <w:sz w:val="20"/>
                <w:szCs w:val="20"/>
              </w:rPr>
              <w:t>oCalGas</w:t>
            </w:r>
            <w:r w:rsidRPr="00391600">
              <w:rPr>
                <w:rFonts w:ascii="Palatino Linotype" w:hAnsi="Palatino Linotype"/>
                <w:color w:val="000000" w:themeColor="text1"/>
                <w:sz w:val="20"/>
                <w:szCs w:val="20"/>
              </w:rPr>
              <w:t xml:space="preserve">: "Suggested consideration of pipeline blending of renewable gas as an alternative decarbonization pathway", to which </w:t>
            </w:r>
            <w:r w:rsidRPr="00391600" w:rsidR="75CE84EA">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"[p]</w:t>
            </w:r>
            <w:proofErr w:type="spellStart"/>
            <w:r w:rsidRPr="00391600">
              <w:rPr>
                <w:rFonts w:ascii="Palatino Linotype" w:hAnsi="Palatino Linotype"/>
                <w:color w:val="000000" w:themeColor="text1"/>
                <w:sz w:val="20"/>
                <w:szCs w:val="20"/>
              </w:rPr>
              <w:t>ipeline</w:t>
            </w:r>
            <w:proofErr w:type="spellEnd"/>
            <w:r w:rsidRPr="00391600">
              <w:rPr>
                <w:rFonts w:ascii="Palatino Linotype" w:hAnsi="Palatino Linotype"/>
                <w:color w:val="000000" w:themeColor="text1"/>
                <w:sz w:val="20"/>
                <w:szCs w:val="20"/>
              </w:rPr>
              <w:t xml:space="preserve"> blending of renewable gas is anticipated to be a possible gas system decarbonization pathway that could be considered under this initiative."</w:t>
            </w:r>
            <w:r w:rsidRPr="00391600">
              <w:rPr>
                <w:rStyle w:val="FootnoteReference"/>
                <w:rFonts w:ascii="Palatino Linotype" w:hAnsi="Palatino Linotype"/>
                <w:color w:val="000000" w:themeColor="text1"/>
                <w:sz w:val="20"/>
                <w:szCs w:val="20"/>
              </w:rPr>
              <w:footnoteReference w:id="223"/>
            </w:r>
            <w:r w:rsidRPr="00391600">
              <w:rPr>
                <w:rFonts w:ascii="Palatino Linotype" w:hAnsi="Palatino Linotype"/>
                <w:color w:val="000000" w:themeColor="text1"/>
                <w:sz w:val="20"/>
                <w:szCs w:val="20"/>
              </w:rPr>
              <w:t xml:space="preserve"> </w:t>
            </w:r>
          </w:p>
          <w:p w:rsidRPr="00391600" w:rsidR="002F78F4" w:rsidP="00BB366A" w:rsidRDefault="002F78F4" w14:paraId="6DB94137" w14:textId="2B2A0286">
            <w:pPr>
              <w:rPr>
                <w:rFonts w:ascii="Palatino Linotype" w:hAnsi="Palatino Linotype"/>
                <w:bCs/>
                <w:color w:val="A6A6A6" w:themeColor="background1" w:themeShade="A6"/>
                <w:sz w:val="20"/>
                <w:szCs w:val="20"/>
              </w:rPr>
            </w:pPr>
            <w:r w:rsidRPr="00391600">
              <w:rPr>
                <w:rFonts w:ascii="Palatino Linotype" w:hAnsi="Palatino Linotype"/>
                <w:b/>
                <w:bCs/>
                <w:color w:val="A6A6A6" w:themeColor="background1" w:themeShade="A6"/>
                <w:sz w:val="20"/>
                <w:szCs w:val="20"/>
              </w:rPr>
              <w:t xml:space="preserve">    </w:t>
            </w:r>
            <w:r w:rsidRPr="00391600">
              <w:rPr>
                <w:rFonts w:ascii="Palatino Linotype" w:hAnsi="Palatino Linotype"/>
                <w:b/>
                <w:bCs/>
                <w:color w:val="000000" w:themeColor="text1"/>
                <w:sz w:val="20"/>
                <w:szCs w:val="20"/>
              </w:rPr>
              <w:t>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Innovations for Cost-Effective Operation and Maintenance of Critical Infrastructure During the Gas Transition</w:t>
            </w:r>
            <w:r w:rsidRPr="00391600">
              <w:rPr>
                <w:rFonts w:ascii="Palatino Linotype" w:hAnsi="Palatino Linotype"/>
                <w:color w:val="000000" w:themeColor="text1"/>
                <w:sz w:val="20"/>
                <w:szCs w:val="20"/>
              </w:rPr>
              <w:t xml:space="preserve">: </w:t>
            </w:r>
            <w:r w:rsidRPr="00391600" w:rsidR="75CE84EA">
              <w:rPr>
                <w:rFonts w:ascii="Palatino Linotype" w:hAnsi="Palatino Linotype"/>
                <w:sz w:val="20"/>
                <w:szCs w:val="20"/>
              </w:rPr>
              <w:t>The</w:t>
            </w:r>
            <w:r w:rsidRPr="00391600" w:rsidR="75CE84EA">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CEC-funded projects have been coordinated with PG&amp;E "to demonstrate real-time monitoring of underground gas storage wells with the use of fiber optics and less-intrusive inspections with electromagnetic technologies" and describes a meeting held February 7, 2024, to coordinate with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and PG&amp;E and identify specific research gaps related to this Initiative.</w:t>
            </w:r>
            <w:r w:rsidRPr="00391600">
              <w:rPr>
                <w:rStyle w:val="FootnoteReference"/>
                <w:rFonts w:ascii="Palatino Linotype" w:hAnsi="Palatino Linotype"/>
                <w:color w:val="000000" w:themeColor="text1"/>
                <w:sz w:val="20"/>
                <w:szCs w:val="20"/>
              </w:rPr>
              <w:footnoteReference w:id="224"/>
            </w:r>
            <w:r w:rsidRPr="00391600">
              <w:rPr>
                <w:rFonts w:ascii="Palatino Linotype" w:hAnsi="Palatino Linotype"/>
                <w:color w:val="000000" w:themeColor="text1"/>
                <w:sz w:val="20"/>
                <w:szCs w:val="20"/>
              </w:rPr>
              <w:t xml:space="preserve"> </w:t>
            </w:r>
            <w:r w:rsidRPr="00391600" w:rsidR="75CE84EA">
              <w:rPr>
                <w:rFonts w:ascii="Palatino Linotype" w:hAnsi="Palatino Linotype"/>
                <w:sz w:val="20"/>
                <w:szCs w:val="20"/>
              </w:rPr>
              <w:t>The</w:t>
            </w:r>
            <w:r w:rsidRPr="00391600" w:rsidR="75CE84EA">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reports only one specific comment on this Initiative from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"Important initiative; suggest coordination with SoCalGas; noted SoCalGas' existing pipeline inspection technology and related research", to which CEC responded that "CEC staff recognize the value of leveraging work done by SoCalGas and others in this space. Research developed and conducted under this initiative will incorporate input from IOUs relative to current practices and technologies, research needs, and challenges with pipeline inspection and material verification."</w:t>
            </w:r>
            <w:r w:rsidRPr="00391600">
              <w:rPr>
                <w:rStyle w:val="FootnoteReference"/>
                <w:rFonts w:ascii="Palatino Linotype" w:hAnsi="Palatino Linotype"/>
                <w:color w:val="000000" w:themeColor="text1"/>
                <w:sz w:val="20"/>
                <w:szCs w:val="20"/>
              </w:rPr>
              <w:footnoteReference w:id="225"/>
            </w:r>
            <w:r w:rsidRPr="00391600">
              <w:rPr>
                <w:rFonts w:ascii="Palatino Linotype" w:hAnsi="Palatino Linotype"/>
                <w:color w:val="000000" w:themeColor="text1"/>
                <w:sz w:val="20"/>
                <w:szCs w:val="20"/>
              </w:rPr>
              <w:t xml:space="preserve"> In Appendix D: List of 2023 Gas R&amp;D Events, </w:t>
            </w:r>
            <w:r w:rsidRPr="00391600" w:rsidR="75CE84EA">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lists two events related to the quantification of methane emissions and gas pipeline geohazard risk mitigation but it is unclear if and how these events informed or are related to this Initiative.</w:t>
            </w:r>
          </w:p>
          <w:p w:rsidRPr="00391600" w:rsidR="002F78F4" w:rsidP="00BB366A" w:rsidRDefault="002F78F4" w14:paraId="7707BAA9" w14:textId="21D6E260">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Fuel-Flexible Distributed Power Generation</w:t>
            </w:r>
            <w:r w:rsidRPr="00391600">
              <w:rPr>
                <w:rFonts w:ascii="Palatino Linotype" w:hAnsi="Palatino Linotype"/>
                <w:color w:val="000000" w:themeColor="text1"/>
                <w:sz w:val="20"/>
                <w:szCs w:val="20"/>
              </w:rPr>
              <w:t xml:space="preserve">: </w:t>
            </w:r>
            <w:r w:rsidRPr="00391600" w:rsidR="317C1C2E">
              <w:rPr>
                <w:rFonts w:ascii="Palatino Linotype" w:hAnsi="Palatino Linotype"/>
                <w:sz w:val="20"/>
                <w:szCs w:val="20"/>
              </w:rPr>
              <w:t>The</w:t>
            </w:r>
            <w:r w:rsidRPr="00391600" w:rsidR="317C1C2E">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reports and responds to several comments from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regarding the need for CEC-led coordination on this topic, recommending that CEC consult with UC Irvine and requests </w:t>
            </w:r>
            <w:r w:rsidRPr="00391600" w:rsidR="317C1C2E">
              <w:rPr>
                <w:rFonts w:ascii="Palatino Linotype" w:hAnsi="Palatino Linotype"/>
                <w:color w:val="000000" w:themeColor="text1"/>
                <w:sz w:val="20"/>
                <w:szCs w:val="20"/>
              </w:rPr>
              <w:t>that the</w:t>
            </w:r>
            <w:r w:rsidRPr="00391600">
              <w:rPr>
                <w:rFonts w:ascii="Palatino Linotype" w:hAnsi="Palatino Linotype"/>
                <w:color w:val="000000" w:themeColor="text1"/>
                <w:sz w:val="20"/>
                <w:szCs w:val="20"/>
              </w:rPr>
              <w:t xml:space="preserve"> CEC "share learnings, best practices, and requirements from the CPUC, the U.S. Department of Energy, and other funding agencies to demonstrate improved equity </w:t>
            </w:r>
            <w:r w:rsidRPr="00391600">
              <w:rPr>
                <w:rFonts w:ascii="Palatino Linotype" w:hAnsi="Palatino Linotype"/>
                <w:color w:val="000000" w:themeColor="text1"/>
                <w:sz w:val="20"/>
                <w:szCs w:val="20"/>
              </w:rPr>
              <w:lastRenderedPageBreak/>
              <w:t>engagement."</w:t>
            </w:r>
            <w:r w:rsidRPr="00391600">
              <w:rPr>
                <w:rStyle w:val="FootnoteReference"/>
                <w:rFonts w:ascii="Palatino Linotype" w:hAnsi="Palatino Linotype"/>
                <w:color w:val="000000" w:themeColor="text1"/>
                <w:sz w:val="20"/>
                <w:szCs w:val="20"/>
              </w:rPr>
              <w:footnoteReference w:id="226"/>
            </w:r>
            <w:r w:rsidRPr="00391600">
              <w:rPr>
                <w:rFonts w:ascii="Palatino Linotype" w:hAnsi="Palatino Linotype"/>
                <w:color w:val="000000" w:themeColor="text1"/>
                <w:sz w:val="20"/>
                <w:szCs w:val="20"/>
              </w:rPr>
              <w:t xml:space="preserve"> </w:t>
            </w:r>
            <w:r w:rsidRPr="00391600" w:rsidR="317C1C2E">
              <w:rPr>
                <w:rFonts w:ascii="Palatino Linotype" w:hAnsi="Palatino Linotype"/>
                <w:sz w:val="20"/>
                <w:szCs w:val="20"/>
              </w:rPr>
              <w:t>The</w:t>
            </w:r>
            <w:r w:rsidRPr="00391600" w:rsidR="317C1C2E">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also affirms a shared prioritization of NOx emissions control.</w:t>
            </w:r>
            <w:r w:rsidRPr="00391600">
              <w:rPr>
                <w:rStyle w:val="FootnoteReference"/>
                <w:rFonts w:ascii="Palatino Linotype" w:hAnsi="Palatino Linotype"/>
                <w:color w:val="000000" w:themeColor="text1"/>
                <w:sz w:val="20"/>
                <w:szCs w:val="20"/>
              </w:rPr>
              <w:footnoteReference w:id="227"/>
            </w:r>
            <w:r w:rsidRPr="00391600">
              <w:rPr>
                <w:rFonts w:ascii="Palatino Linotype" w:hAnsi="Palatino Linotype"/>
                <w:color w:val="000000" w:themeColor="text1"/>
                <w:sz w:val="20"/>
                <w:szCs w:val="20"/>
              </w:rPr>
              <w:t xml:space="preserve"> </w:t>
            </w:r>
            <w:r w:rsidRPr="00391600" w:rsidR="317C1C2E">
              <w:rPr>
                <w:rFonts w:ascii="Palatino Linotype" w:hAnsi="Palatino Linotype"/>
                <w:sz w:val="20"/>
                <w:szCs w:val="20"/>
              </w:rPr>
              <w:t>The</w:t>
            </w:r>
            <w:r w:rsidRPr="00391600" w:rsidR="317C1C2E">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reports "an interview in April 2024 with PG&amp;E R&amp;D staff to exchange information and provide input on the most relevant research focus areas, critical knowledge gaps and potentials, regulations on the horizon, emerging technology and trends to explore, and strategies to increase equity components of projects."</w:t>
            </w:r>
            <w:r w:rsidRPr="00391600">
              <w:rPr>
                <w:rStyle w:val="FootnoteReference"/>
                <w:rFonts w:ascii="Palatino Linotype" w:hAnsi="Palatino Linotype"/>
                <w:color w:val="000000" w:themeColor="text1"/>
                <w:sz w:val="20"/>
                <w:szCs w:val="20"/>
              </w:rPr>
              <w:footnoteReference w:id="228"/>
            </w:r>
            <w:r w:rsidRPr="00391600">
              <w:rPr>
                <w:rFonts w:ascii="Palatino Linotype" w:hAnsi="Palatino Linotype"/>
                <w:color w:val="000000" w:themeColor="text1"/>
                <w:sz w:val="20"/>
                <w:szCs w:val="20"/>
              </w:rPr>
              <w:t xml:space="preserve"> See also: CEC Response in AL 12-G to Public Utilities Code 740.1 at (d). </w:t>
            </w:r>
          </w:p>
        </w:tc>
        <w:tc>
          <w:tcPr>
            <w:tcW w:w="3240" w:type="dxa"/>
          </w:tcPr>
          <w:p w:rsidRPr="00391600" w:rsidR="002F78F4" w:rsidP="00BB366A" w:rsidRDefault="002F78F4" w14:paraId="7E90E3F2" w14:textId="1DC7A735">
            <w:pPr>
              <w:rPr>
                <w:rFonts w:ascii="Palatino Linotype" w:hAnsi="Palatino Linotype"/>
                <w:b/>
                <w:color w:val="A6A6A6" w:themeColor="background1" w:themeShade="A6"/>
                <w:sz w:val="20"/>
                <w:szCs w:val="20"/>
              </w:rPr>
            </w:pPr>
            <w:r w:rsidRPr="00391600">
              <w:rPr>
                <w:rFonts w:ascii="Palatino Linotype" w:hAnsi="Palatino Linotype"/>
                <w:b/>
                <w:sz w:val="20"/>
                <w:szCs w:val="20"/>
              </w:rPr>
              <w:lastRenderedPageBreak/>
              <w:t xml:space="preserve">  1.</w:t>
            </w:r>
            <w:r w:rsidRPr="00391600">
              <w:rPr>
                <w:rFonts w:ascii="Palatino Linotype" w:hAnsi="Palatino Linotype"/>
              </w:rPr>
              <w:t xml:space="preserve"> </w:t>
            </w:r>
            <w:r w:rsidRPr="00391600" w:rsidR="00BE5F38">
              <w:rPr>
                <w:rFonts w:ascii="Palatino Linotype" w:hAnsi="Palatino Linotype"/>
                <w:bCs/>
                <w:sz w:val="20"/>
                <w:szCs w:val="20"/>
              </w:rPr>
              <w:t xml:space="preserve">The </w:t>
            </w:r>
            <w:r w:rsidRPr="00391600">
              <w:rPr>
                <w:rFonts w:ascii="Palatino Linotype" w:hAnsi="Palatino Linotype"/>
                <w:bCs/>
                <w:sz w:val="20"/>
                <w:szCs w:val="20"/>
              </w:rPr>
              <w:t>CEC</w:t>
            </w:r>
            <w:r w:rsidRPr="00391600" w:rsidR="00156654">
              <w:rPr>
                <w:rFonts w:ascii="Palatino Linotype" w:hAnsi="Palatino Linotype"/>
                <w:bCs/>
                <w:sz w:val="20"/>
                <w:szCs w:val="20"/>
              </w:rPr>
              <w:t xml:space="preserve"> must </w:t>
            </w:r>
            <w:r w:rsidRPr="00391600">
              <w:rPr>
                <w:rFonts w:ascii="Palatino Linotype" w:hAnsi="Palatino Linotype"/>
                <w:bCs/>
                <w:sz w:val="20"/>
                <w:szCs w:val="20"/>
              </w:rPr>
              <w:t xml:space="preserve">provide greater detail on specific coordination involved in the development and planned execution of this Initiative to demonstrate that </w:t>
            </w:r>
            <w:proofErr w:type="gramStart"/>
            <w:r w:rsidRPr="00391600">
              <w:rPr>
                <w:rFonts w:ascii="Palatino Linotype" w:hAnsi="Palatino Linotype"/>
                <w:bCs/>
                <w:sz w:val="20"/>
                <w:szCs w:val="20"/>
              </w:rPr>
              <w:t>outputs</w:t>
            </w:r>
            <w:proofErr w:type="gramEnd"/>
            <w:r w:rsidRPr="00391600">
              <w:rPr>
                <w:rFonts w:ascii="Palatino Linotype" w:hAnsi="Palatino Linotype"/>
                <w:bCs/>
                <w:sz w:val="20"/>
                <w:szCs w:val="20"/>
              </w:rPr>
              <w:t xml:space="preserve"> and </w:t>
            </w:r>
            <w:proofErr w:type="gramStart"/>
            <w:r w:rsidRPr="00391600">
              <w:rPr>
                <w:rFonts w:ascii="Palatino Linotype" w:hAnsi="Palatino Linotype"/>
                <w:bCs/>
                <w:sz w:val="20"/>
                <w:szCs w:val="20"/>
              </w:rPr>
              <w:t>impacts</w:t>
            </w:r>
            <w:proofErr w:type="gramEnd"/>
            <w:r w:rsidRPr="00391600">
              <w:rPr>
                <w:rFonts w:ascii="Palatino Linotype" w:hAnsi="Palatino Linotype"/>
                <w:bCs/>
                <w:sz w:val="20"/>
                <w:szCs w:val="20"/>
              </w:rPr>
              <w:t xml:space="preserve"> will be targeted and utilized to promote complementary rather than duplicative efforts. This</w:t>
            </w:r>
            <w:r w:rsidRPr="00391600" w:rsidR="00156654">
              <w:rPr>
                <w:rFonts w:ascii="Palatino Linotype" w:hAnsi="Palatino Linotype"/>
                <w:bCs/>
                <w:sz w:val="20"/>
                <w:szCs w:val="20"/>
              </w:rPr>
              <w:t xml:space="preserve"> must</w:t>
            </w:r>
            <w:r w:rsidRPr="00391600">
              <w:rPr>
                <w:rFonts w:ascii="Palatino Linotype" w:hAnsi="Palatino Linotype"/>
                <w:bCs/>
                <w:sz w:val="20"/>
                <w:szCs w:val="20"/>
              </w:rPr>
              <w:t xml:space="preserve"> include efforts planned and underway as part of SB 1221 and work directly and indirectly involving IOU infrastructure. </w:t>
            </w:r>
          </w:p>
          <w:p w:rsidRPr="00391600" w:rsidR="002F78F4" w:rsidP="00BB366A" w:rsidRDefault="002F78F4" w14:paraId="1785B32D" w14:textId="67E192FE">
            <w:pPr>
              <w:rPr>
                <w:rFonts w:ascii="Palatino Linotype" w:hAnsi="Palatino Linotype"/>
                <w:b/>
                <w:sz w:val="20"/>
                <w:szCs w:val="20"/>
              </w:rPr>
            </w:pPr>
            <w:r w:rsidRPr="00391600">
              <w:rPr>
                <w:rFonts w:ascii="Palatino Linotype" w:hAnsi="Palatino Linotype"/>
                <w:b/>
                <w:sz w:val="20"/>
                <w:szCs w:val="20"/>
              </w:rPr>
              <w:t xml:space="preserve">  2. </w:t>
            </w:r>
            <w:r w:rsidRPr="00391600" w:rsidR="00BE5F38">
              <w:rPr>
                <w:rFonts w:ascii="Palatino Linotype" w:hAnsi="Palatino Linotype"/>
                <w:bCs/>
                <w:sz w:val="20"/>
                <w:szCs w:val="20"/>
              </w:rPr>
              <w:t xml:space="preserve">The </w:t>
            </w:r>
            <w:r w:rsidRPr="00391600">
              <w:rPr>
                <w:rFonts w:ascii="Palatino Linotype" w:hAnsi="Palatino Linotype"/>
                <w:bCs/>
                <w:sz w:val="20"/>
                <w:szCs w:val="20"/>
              </w:rPr>
              <w:t xml:space="preserve">CEC </w:t>
            </w:r>
            <w:r w:rsidRPr="00391600" w:rsidR="00156654">
              <w:rPr>
                <w:rFonts w:ascii="Palatino Linotype" w:hAnsi="Palatino Linotype"/>
                <w:bCs/>
                <w:sz w:val="20"/>
                <w:szCs w:val="20"/>
              </w:rPr>
              <w:t>must</w:t>
            </w:r>
            <w:r w:rsidRPr="00391600">
              <w:rPr>
                <w:rFonts w:ascii="Palatino Linotype" w:hAnsi="Palatino Linotype"/>
                <w:bCs/>
                <w:sz w:val="20"/>
                <w:szCs w:val="20"/>
              </w:rPr>
              <w:t xml:space="preserve"> supplement the information provided on coordination with the IOUs to identify pertinent research gaps by specifying how administrators' efforts are targeting related but distinct activities or applications. CEC </w:t>
            </w:r>
            <w:r w:rsidRPr="00391600" w:rsidR="00156654">
              <w:rPr>
                <w:rFonts w:ascii="Palatino Linotype" w:hAnsi="Palatino Linotype"/>
                <w:bCs/>
                <w:sz w:val="20"/>
                <w:szCs w:val="20"/>
              </w:rPr>
              <w:t>must</w:t>
            </w:r>
            <w:r w:rsidRPr="00391600">
              <w:rPr>
                <w:rFonts w:ascii="Palatino Linotype" w:hAnsi="Palatino Linotype"/>
                <w:bCs/>
                <w:sz w:val="20"/>
                <w:szCs w:val="20"/>
              </w:rPr>
              <w:t xml:space="preserve"> also clarify how events listed in Appendix D relate to and/or informed Initiatives.</w:t>
            </w:r>
          </w:p>
          <w:p w:rsidRPr="00391600" w:rsidR="00F753BC" w:rsidP="00BB366A" w:rsidRDefault="002F78F4" w14:paraId="49CB7504" w14:textId="3FC64CE8">
            <w:pPr>
              <w:rPr>
                <w:rFonts w:ascii="Palatino Linotype" w:hAnsi="Palatino Linotype"/>
                <w:b/>
                <w:sz w:val="20"/>
                <w:szCs w:val="20"/>
              </w:rPr>
            </w:pPr>
            <w:r w:rsidRPr="00391600">
              <w:rPr>
                <w:rFonts w:ascii="Palatino Linotype" w:hAnsi="Palatino Linotype"/>
                <w:b/>
                <w:sz w:val="20"/>
                <w:szCs w:val="20"/>
              </w:rPr>
              <w:t xml:space="preserve">  3. </w:t>
            </w:r>
            <w:r w:rsidRPr="00391600">
              <w:rPr>
                <w:rFonts w:ascii="Palatino Linotype" w:hAnsi="Palatino Linotype"/>
                <w:bCs/>
                <w:sz w:val="20"/>
                <w:szCs w:val="20"/>
              </w:rPr>
              <w:t xml:space="preserve">Though </w:t>
            </w:r>
            <w:r w:rsidRPr="00391600" w:rsidR="00F753BC">
              <w:rPr>
                <w:rFonts w:ascii="Palatino Linotype" w:hAnsi="Palatino Linotype"/>
                <w:bCs/>
                <w:sz w:val="20"/>
                <w:szCs w:val="20"/>
              </w:rPr>
              <w:t xml:space="preserve">the </w:t>
            </w:r>
            <w:r w:rsidRPr="00391600">
              <w:rPr>
                <w:rFonts w:ascii="Palatino Linotype" w:hAnsi="Palatino Linotype"/>
                <w:bCs/>
                <w:sz w:val="20"/>
                <w:szCs w:val="20"/>
              </w:rPr>
              <w:t xml:space="preserve">CEC provides </w:t>
            </w:r>
            <w:proofErr w:type="gramStart"/>
            <w:r w:rsidRPr="00391600">
              <w:rPr>
                <w:rFonts w:ascii="Palatino Linotype" w:hAnsi="Palatino Linotype"/>
                <w:bCs/>
                <w:sz w:val="20"/>
                <w:szCs w:val="20"/>
              </w:rPr>
              <w:t>detail</w:t>
            </w:r>
            <w:proofErr w:type="gramEnd"/>
            <w:r w:rsidRPr="00391600">
              <w:rPr>
                <w:rFonts w:ascii="Palatino Linotype" w:hAnsi="Palatino Linotype"/>
                <w:bCs/>
                <w:sz w:val="20"/>
                <w:szCs w:val="20"/>
              </w:rPr>
              <w:t xml:space="preserve"> on coordination with </w:t>
            </w:r>
            <w:r w:rsidRPr="00391600" w:rsidR="00D86396">
              <w:rPr>
                <w:rFonts w:ascii="Palatino Linotype" w:hAnsi="Palatino Linotype"/>
                <w:bCs/>
                <w:color w:val="000000" w:themeColor="text1"/>
                <w:sz w:val="20"/>
                <w:szCs w:val="20"/>
              </w:rPr>
              <w:lastRenderedPageBreak/>
              <w:t>SoCalGas</w:t>
            </w:r>
            <w:r w:rsidRPr="00391600">
              <w:rPr>
                <w:rFonts w:ascii="Palatino Linotype" w:hAnsi="Palatino Linotype"/>
                <w:bCs/>
                <w:sz w:val="20"/>
                <w:szCs w:val="20"/>
              </w:rPr>
              <w:t xml:space="preserve"> and describes meeting with PG&amp;E, it </w:t>
            </w:r>
            <w:r w:rsidRPr="00391600" w:rsidR="00156654">
              <w:rPr>
                <w:rFonts w:ascii="Palatino Linotype" w:hAnsi="Palatino Linotype"/>
                <w:bCs/>
                <w:sz w:val="20"/>
                <w:szCs w:val="20"/>
              </w:rPr>
              <w:t>must</w:t>
            </w:r>
            <w:r w:rsidRPr="00391600">
              <w:rPr>
                <w:rFonts w:ascii="Palatino Linotype" w:hAnsi="Palatino Linotype"/>
                <w:bCs/>
                <w:sz w:val="20"/>
                <w:szCs w:val="20"/>
              </w:rPr>
              <w:t xml:space="preserve"> explain how it will coordinate with UC Irvine per</w:t>
            </w:r>
            <w:r w:rsidRPr="00391600" w:rsidR="00D86396">
              <w:rPr>
                <w:rFonts w:ascii="Palatino Linotype" w:hAnsi="Palatino Linotype"/>
                <w:bCs/>
                <w:color w:val="000000" w:themeColor="text1"/>
                <w:sz w:val="20"/>
                <w:szCs w:val="20"/>
              </w:rPr>
              <w:t xml:space="preserve"> SoCalGas</w:t>
            </w:r>
            <w:r w:rsidRPr="00391600">
              <w:rPr>
                <w:rFonts w:ascii="Palatino Linotype" w:hAnsi="Palatino Linotype"/>
                <w:bCs/>
                <w:sz w:val="20"/>
                <w:szCs w:val="20"/>
              </w:rPr>
              <w:t>' clear recommendation to ensure efforts are complementary. See also: Compliance Assessment of Public Utilities Code 740.1 at (d).</w:t>
            </w:r>
            <w:r w:rsidRPr="00391600" w:rsidR="00F753BC">
              <w:rPr>
                <w:rFonts w:ascii="Palatino Linotype" w:hAnsi="Palatino Linotype"/>
                <w:b/>
                <w:sz w:val="20"/>
                <w:szCs w:val="20"/>
              </w:rPr>
              <w:t xml:space="preserve"> </w:t>
            </w:r>
          </w:p>
          <w:p w:rsidRPr="00391600" w:rsidR="002F78F4" w:rsidP="00BB366A" w:rsidRDefault="00F753BC" w14:paraId="1136A4E4" w14:textId="5B870C20">
            <w:pPr>
              <w:rPr>
                <w:rFonts w:ascii="Palatino Linotype" w:hAnsi="Palatino Linotype"/>
                <w:bCs/>
                <w:sz w:val="20"/>
                <w:szCs w:val="20"/>
              </w:rPr>
            </w:pPr>
            <w:r w:rsidRPr="00391600">
              <w:rPr>
                <w:rFonts w:ascii="Palatino Linotype" w:hAnsi="Palatino Linotype"/>
                <w:b/>
                <w:sz w:val="20"/>
                <w:szCs w:val="20"/>
              </w:rPr>
              <w:t xml:space="preserve">The </w:t>
            </w:r>
            <w:r w:rsidRPr="00391600" w:rsidR="002F78F4">
              <w:rPr>
                <w:rFonts w:ascii="Palatino Linotype" w:hAnsi="Palatino Linotype"/>
                <w:b/>
                <w:color w:val="000000" w:themeColor="text1"/>
                <w:sz w:val="20"/>
                <w:szCs w:val="20"/>
              </w:rPr>
              <w:t xml:space="preserve">CEC is </w:t>
            </w:r>
            <w:r w:rsidRPr="00391600" w:rsidR="002F78F4">
              <w:rPr>
                <w:rFonts w:ascii="Palatino Linotype" w:hAnsi="Palatino Linotype"/>
                <w:b/>
                <w:i/>
                <w:iCs/>
                <w:color w:val="000000" w:themeColor="text1"/>
                <w:sz w:val="20"/>
                <w:szCs w:val="20"/>
              </w:rPr>
              <w:t xml:space="preserve">not </w:t>
            </w:r>
            <w:r w:rsidRPr="00391600" w:rsidR="002F78F4">
              <w:rPr>
                <w:rFonts w:ascii="Palatino Linotype" w:hAnsi="Palatino Linotype"/>
                <w:b/>
                <w:color w:val="000000" w:themeColor="text1"/>
                <w:sz w:val="20"/>
                <w:szCs w:val="20"/>
              </w:rPr>
              <w:t>compliant with this requirement.</w:t>
            </w:r>
          </w:p>
        </w:tc>
      </w:tr>
      <w:tr w:rsidRPr="00391600" w:rsidR="002F78F4" w:rsidTr="6FAFEDE3" w14:paraId="57722E3F" w14:textId="77777777">
        <w:trPr>
          <w:trHeight w:val="241"/>
        </w:trPr>
        <w:tc>
          <w:tcPr>
            <w:tcW w:w="3145" w:type="dxa"/>
          </w:tcPr>
          <w:p w:rsidRPr="00391600" w:rsidR="002F78F4" w:rsidP="00BB366A" w:rsidRDefault="002F78F4" w14:paraId="2A3E4748" w14:textId="77777777">
            <w:pPr>
              <w:rPr>
                <w:rFonts w:ascii="Palatino Linotype" w:hAnsi="Palatino Linotype"/>
                <w:b/>
                <w:sz w:val="20"/>
                <w:szCs w:val="20"/>
              </w:rPr>
            </w:pPr>
            <w:hyperlink w:history="1" r:id="rId93">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5. </w:t>
            </w:r>
            <w:r w:rsidRPr="00391600">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Pr="00391600" w:rsidR="002F78F4" w:rsidP="00BB366A" w:rsidRDefault="317C1C2E" w14:paraId="32415B37" w14:textId="32A0E77D">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sidR="002F78F4">
              <w:rPr>
                <w:rStyle w:val="FootnoteReference"/>
                <w:rFonts w:ascii="Palatino Linotype" w:hAnsi="Palatino Linotype"/>
                <w:color w:val="000000" w:themeColor="text1"/>
                <w:sz w:val="20"/>
                <w:szCs w:val="20"/>
              </w:rPr>
              <w:footnoteReference w:id="229"/>
            </w:r>
            <w:r w:rsidRPr="00391600" w:rsidR="002F78F4">
              <w:rPr>
                <w:rFonts w:ascii="Palatino Linotype" w:hAnsi="Palatino Linotype"/>
                <w:color w:val="000000" w:themeColor="text1"/>
                <w:sz w:val="20"/>
                <w:szCs w:val="20"/>
              </w:rPr>
              <w:t xml:space="preserve"> including coordination with CPUC on Proposed and Final Research Initiatives.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details Coordination and Strategic Partnerships with CPUC, including via monthly interagency calls and coordination on initiatives.</w:t>
            </w:r>
            <w:r w:rsidRPr="00391600" w:rsidR="002F78F4">
              <w:rPr>
                <w:rStyle w:val="FootnoteReference"/>
                <w:rFonts w:ascii="Palatino Linotype" w:hAnsi="Palatino Linotype"/>
                <w:color w:val="000000" w:themeColor="text1"/>
                <w:sz w:val="20"/>
                <w:szCs w:val="20"/>
              </w:rPr>
              <w:footnoteReference w:id="230"/>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specifies meeting with CPUC on its FY2024-2025 Plan on the following dates: </w:t>
            </w:r>
          </w:p>
          <w:p w:rsidRPr="00391600" w:rsidR="002F78F4" w:rsidP="003B475F" w:rsidRDefault="002F78F4" w14:paraId="10552074"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November 15, 2023: Presentation to representatives from CPUC’s Energy Division and Safety &amp; Enforcement Division. </w:t>
            </w:r>
          </w:p>
          <w:p w:rsidRPr="00391600" w:rsidR="002F78F4" w:rsidP="003B475F" w:rsidRDefault="002F78F4" w14:paraId="2CCAC2F5"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December 7, 2023: “CEC staff presented the proposed budget plan to CPUC Commissioner Douglas. Comments were not directed to the initiatives and therefore are not summarized below.”</w:t>
            </w:r>
            <w:r w:rsidRPr="00391600">
              <w:rPr>
                <w:rStyle w:val="FootnoteReference"/>
                <w:rFonts w:ascii="Palatino Linotype" w:hAnsi="Palatino Linotype"/>
                <w:color w:val="000000" w:themeColor="text1"/>
                <w:sz w:val="20"/>
                <w:szCs w:val="20"/>
              </w:rPr>
              <w:footnoteReference w:id="231"/>
            </w:r>
          </w:p>
          <w:p w:rsidRPr="00391600" w:rsidR="002F78F4" w:rsidP="003B475F" w:rsidRDefault="002F78F4" w14:paraId="79A5E90C"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December 15, 2023: Public workshop including CPUC staff.</w:t>
            </w:r>
          </w:p>
          <w:p w:rsidRPr="00391600" w:rsidR="002F78F4" w:rsidP="003B475F" w:rsidRDefault="002F78F4" w14:paraId="6CEA6C77"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January 10, 2025: “CEC met with CPUC subject matter experts to respond to feedback about the Gas System Safety research initiative.”</w:t>
            </w:r>
            <w:r w:rsidRPr="00391600">
              <w:rPr>
                <w:rStyle w:val="FootnoteReference"/>
                <w:rFonts w:ascii="Palatino Linotype" w:hAnsi="Palatino Linotype"/>
                <w:color w:val="000000" w:themeColor="text1"/>
                <w:sz w:val="20"/>
                <w:szCs w:val="20"/>
              </w:rPr>
              <w:footnoteReference w:id="232"/>
            </w:r>
          </w:p>
          <w:p w:rsidRPr="00391600" w:rsidR="002F78F4" w:rsidP="003B475F" w:rsidRDefault="002F78F4" w14:paraId="784FFBDA"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January 16, 2025: “CEC met with subject matter experts from CPUC to discuss the proposed Support Equitable, Safe, and </w:t>
            </w:r>
            <w:proofErr w:type="gramStart"/>
            <w:r w:rsidRPr="00391600">
              <w:rPr>
                <w:rFonts w:ascii="Palatino Linotype" w:hAnsi="Palatino Linotype"/>
                <w:color w:val="000000" w:themeColor="text1"/>
                <w:sz w:val="20"/>
                <w:szCs w:val="20"/>
              </w:rPr>
              <w:t>Cost Effective</w:t>
            </w:r>
            <w:proofErr w:type="gramEnd"/>
            <w:r w:rsidRPr="00391600">
              <w:rPr>
                <w:rFonts w:ascii="Palatino Linotype" w:hAnsi="Palatino Linotype"/>
                <w:color w:val="000000" w:themeColor="text1"/>
                <w:sz w:val="20"/>
                <w:szCs w:val="20"/>
              </w:rPr>
              <w:t xml:space="preserve"> Decarbonization initiative. </w:t>
            </w:r>
            <w:r w:rsidRPr="00391600">
              <w:rPr>
                <w:rFonts w:ascii="Palatino Linotype" w:hAnsi="Palatino Linotype"/>
                <w:color w:val="000000" w:themeColor="text1"/>
                <w:sz w:val="20"/>
                <w:szCs w:val="20"/>
              </w:rPr>
              <w:lastRenderedPageBreak/>
              <w:t>The discussion strengthened interagency alignment on the initiative goals and clarified the research initiative language”.</w:t>
            </w:r>
            <w:r w:rsidRPr="00391600">
              <w:rPr>
                <w:rStyle w:val="FootnoteReference"/>
                <w:rFonts w:ascii="Palatino Linotype" w:hAnsi="Palatino Linotype"/>
                <w:color w:val="000000" w:themeColor="text1"/>
                <w:sz w:val="20"/>
                <w:szCs w:val="20"/>
              </w:rPr>
              <w:footnoteReference w:id="233"/>
            </w:r>
          </w:p>
          <w:p w:rsidRPr="00391600" w:rsidR="002F78F4" w:rsidP="003B475F" w:rsidRDefault="002F78F4" w14:paraId="2F7DC651" w14:textId="77777777">
            <w:pPr>
              <w:pStyle w:val="ListParagraph"/>
              <w:numPr>
                <w:ilvl w:val="0"/>
                <w:numId w:val="23"/>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January 23, 2025: “CEC met with subject matter experts from CPUC to clarify the proposed Fuel-Flexible Distributed Power Generation initiative and ensure the goals of the initiative are clearly distinguished from those of IOU research plans.”</w:t>
            </w:r>
            <w:r w:rsidRPr="00391600">
              <w:rPr>
                <w:rStyle w:val="FootnoteReference"/>
                <w:rFonts w:ascii="Palatino Linotype" w:hAnsi="Palatino Linotype"/>
                <w:color w:val="000000" w:themeColor="text1"/>
                <w:sz w:val="20"/>
                <w:szCs w:val="20"/>
              </w:rPr>
              <w:footnoteReference w:id="234"/>
            </w:r>
          </w:p>
          <w:p w:rsidRPr="00391600" w:rsidR="002F78F4" w:rsidP="00BB366A" w:rsidRDefault="317C1C2E" w14:paraId="072DEF77" w14:textId="15972222">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states that “[b]</w:t>
            </w:r>
            <w:proofErr w:type="spellStart"/>
            <w:r w:rsidRPr="00391600" w:rsidR="002F78F4">
              <w:rPr>
                <w:rFonts w:ascii="Palatino Linotype" w:hAnsi="Palatino Linotype"/>
                <w:color w:val="000000" w:themeColor="text1"/>
                <w:sz w:val="20"/>
                <w:szCs w:val="20"/>
              </w:rPr>
              <w:t>ased</w:t>
            </w:r>
            <w:proofErr w:type="spellEnd"/>
            <w:r w:rsidRPr="00391600" w:rsidR="002F78F4">
              <w:rPr>
                <w:rFonts w:ascii="Palatino Linotype" w:hAnsi="Palatino Linotype"/>
                <w:color w:val="000000" w:themeColor="text1"/>
                <w:sz w:val="20"/>
                <w:szCs w:val="20"/>
              </w:rPr>
              <w:t xml:space="preserve"> on feedback received through this process and current funding priorities, CEC staff did not include the proposed initiative on Clean Renewable Hydrogen Distribution: Hydrogen Separation in the FY 2024-2025 Gas R&amp;D Program Budget Plan and redirected the associated funds”.</w:t>
            </w:r>
            <w:r w:rsidRPr="00391600" w:rsidR="002F78F4">
              <w:rPr>
                <w:rStyle w:val="FootnoteReference"/>
                <w:rFonts w:ascii="Palatino Linotype" w:hAnsi="Palatino Linotype"/>
                <w:color w:val="000000" w:themeColor="text1"/>
                <w:sz w:val="20"/>
                <w:szCs w:val="20"/>
              </w:rPr>
              <w:footnoteReference w:id="235"/>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also includes a list of Policies Supported by FY 2024-25 Gas R&amp;D Program Initiative Themes at Appendix A and information on Roadmaps and Long-Term Strategies, representing “types of planning mechanisms and prioritization tools that help establish a clear link between research and energy policy goals”.</w:t>
            </w:r>
            <w:r w:rsidRPr="00391600" w:rsidR="002F78F4">
              <w:rPr>
                <w:rStyle w:val="FootnoteReference"/>
                <w:rFonts w:ascii="Palatino Linotype" w:hAnsi="Palatino Linotype"/>
                <w:color w:val="000000" w:themeColor="text1"/>
                <w:sz w:val="20"/>
                <w:szCs w:val="20"/>
              </w:rPr>
              <w:footnoteReference w:id="236"/>
            </w:r>
          </w:p>
          <w:p w:rsidRPr="00391600" w:rsidR="002F78F4" w:rsidP="00BB366A" w:rsidRDefault="002F78F4" w14:paraId="08485A23" w14:textId="77777777">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In Appendix C, CEC includes a CPUC Staff Coordination Meeting Comment Summary and CEC Responses:</w:t>
            </w:r>
          </w:p>
          <w:p w:rsidRPr="00391600" w:rsidR="002F78F4" w:rsidP="00BB366A" w:rsidRDefault="002F78F4" w14:paraId="5AB6A324" w14:textId="7CF30BE1">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Support Equitable, Safe, and Cost-Effective Decarbonization of California’s Gas System</w:t>
            </w:r>
            <w:r w:rsidRPr="00391600">
              <w:rPr>
                <w:rFonts w:ascii="Palatino Linotype" w:hAnsi="Palatino Linotype"/>
                <w:color w:val="000000" w:themeColor="text1"/>
                <w:sz w:val="20"/>
                <w:szCs w:val="20"/>
              </w:rPr>
              <w:t xml:space="preserve">: </w:t>
            </w:r>
            <w:r w:rsidRPr="00391600" w:rsidR="317C1C2E">
              <w:rPr>
                <w:rFonts w:ascii="Palatino Linotype" w:hAnsi="Palatino Linotype"/>
                <w:sz w:val="20"/>
                <w:szCs w:val="20"/>
              </w:rPr>
              <w:t>The</w:t>
            </w:r>
            <w:r w:rsidRPr="00391600" w:rsidR="317C1C2E">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affirms it is attuned to and committed to exploring mechanisms to accommodate transition research needs and secure interest from appropriate bidders;</w:t>
            </w:r>
            <w:r w:rsidRPr="00391600">
              <w:rPr>
                <w:rStyle w:val="FootnoteReference"/>
                <w:rFonts w:ascii="Palatino Linotype" w:hAnsi="Palatino Linotype"/>
                <w:color w:val="000000" w:themeColor="text1"/>
                <w:sz w:val="20"/>
                <w:szCs w:val="20"/>
              </w:rPr>
              <w:footnoteReference w:id="237"/>
            </w:r>
            <w:r w:rsidRPr="00391600">
              <w:rPr>
                <w:rFonts w:ascii="Palatino Linotype" w:hAnsi="Palatino Linotype"/>
                <w:color w:val="000000" w:themeColor="text1"/>
                <w:sz w:val="20"/>
                <w:szCs w:val="20"/>
              </w:rPr>
              <w:t xml:space="preserve"> will target "both communication efforts and the identification and development of technological advances that improve the marketability and </w:t>
            </w:r>
            <w:r w:rsidRPr="00391600">
              <w:rPr>
                <w:rFonts w:ascii="Palatino Linotype" w:hAnsi="Palatino Linotype"/>
                <w:color w:val="000000" w:themeColor="text1"/>
                <w:sz w:val="20"/>
                <w:szCs w:val="20"/>
              </w:rPr>
              <w:lastRenderedPageBreak/>
              <w:t>functionality of conversion from gas";</w:t>
            </w:r>
            <w:r w:rsidRPr="00391600">
              <w:rPr>
                <w:rStyle w:val="FootnoteReference"/>
                <w:rFonts w:ascii="Palatino Linotype" w:hAnsi="Palatino Linotype"/>
                <w:color w:val="000000" w:themeColor="text1"/>
                <w:sz w:val="20"/>
                <w:szCs w:val="20"/>
              </w:rPr>
              <w:footnoteReference w:id="238"/>
            </w:r>
            <w:r w:rsidRPr="00391600">
              <w:rPr>
                <w:rFonts w:ascii="Palatino Linotype" w:hAnsi="Palatino Linotype"/>
                <w:color w:val="000000" w:themeColor="text1"/>
                <w:sz w:val="20"/>
                <w:szCs w:val="20"/>
              </w:rPr>
              <w:t xml:space="preserve"> and intends to coordinate with CPUC gas proceedings.</w:t>
            </w:r>
            <w:r w:rsidRPr="00391600">
              <w:rPr>
                <w:rStyle w:val="FootnoteReference"/>
                <w:rFonts w:ascii="Palatino Linotype" w:hAnsi="Palatino Linotype"/>
                <w:color w:val="000000" w:themeColor="text1"/>
                <w:sz w:val="20"/>
                <w:szCs w:val="20"/>
              </w:rPr>
              <w:footnoteReference w:id="239"/>
            </w:r>
          </w:p>
          <w:p w:rsidRPr="00391600" w:rsidR="002F78F4" w:rsidP="00BB366A" w:rsidRDefault="002F78F4" w14:paraId="2B9D7F49" w14:textId="28A7F456">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Innovations for Cost-Effective Operation and Maintenance of Critical Infrastructure During the Gas Transition</w:t>
            </w:r>
            <w:r w:rsidRPr="00391600">
              <w:rPr>
                <w:rFonts w:ascii="Palatino Linotype" w:hAnsi="Palatino Linotype"/>
                <w:bCs/>
                <w:color w:val="000000" w:themeColor="text1"/>
                <w:sz w:val="20"/>
                <w:szCs w:val="20"/>
              </w:rPr>
              <w:t xml:space="preserve">: </w:t>
            </w:r>
            <w:r w:rsidRPr="00391600" w:rsidR="00B86DAF">
              <w:rPr>
                <w:rFonts w:ascii="Palatino Linotype" w:hAnsi="Palatino Linotype"/>
                <w:bCs/>
                <w:sz w:val="20"/>
                <w:szCs w:val="20"/>
              </w:rPr>
              <w:t>The</w:t>
            </w:r>
            <w:r w:rsidRPr="00391600" w:rsidR="00B86DAF">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CEC provided additional detail in response to CPUC feedback:</w:t>
            </w:r>
          </w:p>
          <w:p w:rsidRPr="00391600" w:rsidR="002F78F4" w:rsidP="00BB366A" w:rsidRDefault="002F78F4" w14:paraId="5428D9E0" w14:textId="77777777">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a. This Initiative supports CPUC staff's interest "in well inspection practices that don't hamper operations of the wells to serve their purpose in mitigating price fluctuations in gas markets."</w:t>
            </w:r>
            <w:r w:rsidRPr="00391600">
              <w:rPr>
                <w:rStyle w:val="FootnoteReference"/>
                <w:rFonts w:ascii="Palatino Linotype" w:hAnsi="Palatino Linotype"/>
                <w:color w:val="000000" w:themeColor="text1"/>
                <w:sz w:val="20"/>
                <w:szCs w:val="20"/>
              </w:rPr>
              <w:footnoteReference w:id="240"/>
            </w:r>
            <w:r w:rsidRPr="00391600">
              <w:rPr>
                <w:rFonts w:ascii="Palatino Linotype" w:hAnsi="Palatino Linotype"/>
                <w:color w:val="000000" w:themeColor="text1"/>
                <w:sz w:val="20"/>
                <w:szCs w:val="20"/>
              </w:rPr>
              <w:t xml:space="preserve"> </w:t>
            </w:r>
          </w:p>
          <w:p w:rsidRPr="00391600" w:rsidR="002F78F4" w:rsidP="00BB366A" w:rsidRDefault="002F78F4" w14:paraId="3E3B55B8" w14:textId="77777777">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b. CEC's coordination with the utilities will promote RD&amp;D that is "impartial, transparent, and aligned with the interest of ratepayers and the public", particularly in requiring results be made publicly available and recipients detailing a technology transfer plan.</w:t>
            </w:r>
            <w:r w:rsidRPr="00391600">
              <w:rPr>
                <w:rStyle w:val="FootnoteReference"/>
                <w:rFonts w:ascii="Palatino Linotype" w:hAnsi="Palatino Linotype"/>
                <w:color w:val="000000" w:themeColor="text1"/>
                <w:sz w:val="20"/>
                <w:szCs w:val="20"/>
              </w:rPr>
              <w:footnoteReference w:id="241"/>
            </w:r>
            <w:r w:rsidRPr="00391600">
              <w:rPr>
                <w:rFonts w:ascii="Palatino Linotype" w:hAnsi="Palatino Linotype"/>
                <w:color w:val="000000" w:themeColor="text1"/>
                <w:sz w:val="20"/>
                <w:szCs w:val="20"/>
              </w:rPr>
              <w:t xml:space="preserve"> </w:t>
            </w:r>
          </w:p>
          <w:p w:rsidRPr="00391600" w:rsidR="002F78F4" w:rsidP="00BB366A" w:rsidRDefault="002F78F4" w14:paraId="05544A8A" w14:textId="77777777">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c. In relation to "exploring specific factors that may contribute to extending well testing intervals", CEC coordinated with </w:t>
            </w:r>
            <w:proofErr w:type="spellStart"/>
            <w:r w:rsidRPr="00391600">
              <w:rPr>
                <w:rFonts w:ascii="Palatino Linotype" w:hAnsi="Palatino Linotype"/>
                <w:color w:val="000000" w:themeColor="text1"/>
                <w:sz w:val="20"/>
                <w:szCs w:val="20"/>
              </w:rPr>
              <w:t>CalGEM</w:t>
            </w:r>
            <w:proofErr w:type="spellEnd"/>
            <w:r w:rsidRPr="00391600">
              <w:rPr>
                <w:rFonts w:ascii="Palatino Linotype" w:hAnsi="Palatino Linotype"/>
                <w:color w:val="000000" w:themeColor="text1"/>
                <w:sz w:val="20"/>
                <w:szCs w:val="20"/>
              </w:rPr>
              <w:t xml:space="preserve"> to establish shared interest in "understanding the effectiveness of emerging technologies in identifying anomalies."</w:t>
            </w:r>
            <w:r w:rsidRPr="00391600">
              <w:rPr>
                <w:rStyle w:val="FootnoteReference"/>
                <w:rFonts w:ascii="Palatino Linotype" w:hAnsi="Palatino Linotype"/>
                <w:color w:val="000000" w:themeColor="text1"/>
                <w:sz w:val="20"/>
                <w:szCs w:val="20"/>
              </w:rPr>
              <w:footnoteReference w:id="242"/>
            </w:r>
          </w:p>
          <w:p w:rsidRPr="00391600" w:rsidR="002F78F4" w:rsidP="00BB366A" w:rsidRDefault="002F78F4" w14:paraId="0DBC49AE" w14:textId="69CC6767">
            <w:pPr>
              <w:ind w:left="720"/>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d. In pre-submittal consultation,</w:t>
            </w:r>
            <w:r w:rsidRPr="00391600" w:rsidR="00543BE1">
              <w:rPr>
                <w:rFonts w:ascii="Palatino Linotype" w:hAnsi="Palatino Linotype"/>
                <w:bCs/>
                <w:color w:val="000000" w:themeColor="text1"/>
                <w:sz w:val="20"/>
                <w:szCs w:val="20"/>
              </w:rPr>
              <w:t xml:space="preserve"> the</w:t>
            </w:r>
            <w:r w:rsidRPr="00391600">
              <w:rPr>
                <w:rFonts w:ascii="Palatino Linotype" w:hAnsi="Palatino Linotype"/>
                <w:bCs/>
                <w:color w:val="000000" w:themeColor="text1"/>
                <w:sz w:val="20"/>
                <w:szCs w:val="20"/>
              </w:rPr>
              <w:t xml:space="preserve"> CEC stated it expects the proposed Initiative funding level could yield 3-4 projects.</w:t>
            </w:r>
          </w:p>
          <w:p w:rsidRPr="00391600" w:rsidR="002F78F4" w:rsidP="00BB366A" w:rsidRDefault="002F78F4" w14:paraId="0B635EDF" w14:textId="5B98DEE2">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Fuel-Flexible Distributed Power Generation</w:t>
            </w:r>
            <w:r w:rsidRPr="00391600">
              <w:rPr>
                <w:rFonts w:ascii="Palatino Linotype" w:hAnsi="Palatino Linotype"/>
                <w:color w:val="000000" w:themeColor="text1"/>
                <w:sz w:val="20"/>
                <w:szCs w:val="20"/>
              </w:rPr>
              <w:t xml:space="preserve">: </w:t>
            </w:r>
            <w:r w:rsidRPr="00391600" w:rsidR="486E0421">
              <w:rPr>
                <w:rFonts w:ascii="Palatino Linotype" w:hAnsi="Palatino Linotype"/>
                <w:sz w:val="20"/>
                <w:szCs w:val="20"/>
              </w:rPr>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notes that "the proposed $6M funding could support about 3 to 4 projects for component and full system innovations to ensure fuel-flexible technologies meet expected performance, operability, cost, low-emission, and decarbonization goals and targets."</w:t>
            </w:r>
            <w:r w:rsidRPr="00391600">
              <w:rPr>
                <w:rStyle w:val="FootnoteReference"/>
                <w:rFonts w:ascii="Palatino Linotype" w:hAnsi="Palatino Linotype"/>
                <w:color w:val="000000" w:themeColor="text1"/>
                <w:sz w:val="20"/>
                <w:szCs w:val="20"/>
              </w:rPr>
              <w:footnoteReference w:id="243"/>
            </w:r>
            <w:r w:rsidRPr="00391600">
              <w:rPr>
                <w:rFonts w:ascii="Palatino Linotype" w:hAnsi="Palatino Linotype"/>
                <w:color w:val="000000" w:themeColor="text1"/>
                <w:sz w:val="20"/>
                <w:szCs w:val="20"/>
              </w:rPr>
              <w:t xml:space="preserve"> </w:t>
            </w:r>
            <w:r w:rsidRPr="00391600" w:rsidR="486E0421">
              <w:rPr>
                <w:rFonts w:ascii="Palatino Linotype" w:hAnsi="Palatino Linotype"/>
                <w:sz w:val="20"/>
                <w:szCs w:val="20"/>
              </w:rPr>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removed and modified language at several points in its Initiative description per CPUC staff feedback provided during pre-submittal consultation to better align with CPUC proceedings:</w:t>
            </w:r>
          </w:p>
          <w:p w:rsidRPr="00391600" w:rsidR="002F78F4" w:rsidP="00BB366A" w:rsidRDefault="002F78F4" w14:paraId="7E3B4F80" w14:textId="77777777">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lastRenderedPageBreak/>
              <w:t>a. "This initiative will require projects and technology/fuel systems to be thoroughly evaluated on the basis of key metrics such as affordability, air quality, GHG and life-cycle emissions, and system performance including flexibility, operability and viability."</w:t>
            </w:r>
            <w:r w:rsidRPr="00391600">
              <w:rPr>
                <w:rStyle w:val="FootnoteReference"/>
                <w:rFonts w:ascii="Palatino Linotype" w:hAnsi="Palatino Linotype"/>
                <w:color w:val="000000" w:themeColor="text1"/>
                <w:sz w:val="20"/>
                <w:szCs w:val="20"/>
              </w:rPr>
              <w:footnoteReference w:id="244"/>
            </w:r>
            <w:r w:rsidRPr="00391600">
              <w:rPr>
                <w:rFonts w:ascii="Palatino Linotype" w:hAnsi="Palatino Linotype"/>
                <w:color w:val="000000" w:themeColor="text1"/>
                <w:sz w:val="20"/>
                <w:szCs w:val="20"/>
              </w:rPr>
              <w:t xml:space="preserve"> </w:t>
            </w:r>
          </w:p>
          <w:p w:rsidRPr="00391600" w:rsidR="002F78F4" w:rsidP="00BB366A" w:rsidRDefault="002F78F4" w14:paraId="4465CE12" w14:textId="28B1127E">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b. </w:t>
            </w:r>
            <w:r w:rsidRPr="00391600" w:rsidR="486E0421">
              <w:rPr>
                <w:rFonts w:ascii="Palatino Linotype" w:hAnsi="Palatino Linotype"/>
                <w:sz w:val="20"/>
                <w:szCs w:val="20"/>
              </w:rPr>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CEC will "avoid investing in new combustion demonstration", limiting RD&amp;D to potentially modifying existing combustion systems prioritizing replacing diesel backup generators for critical infrastructure.</w:t>
            </w:r>
            <w:r w:rsidRPr="00391600">
              <w:rPr>
                <w:rStyle w:val="FootnoteReference"/>
                <w:rFonts w:ascii="Palatino Linotype" w:hAnsi="Palatino Linotype"/>
                <w:color w:val="000000" w:themeColor="text1"/>
                <w:sz w:val="20"/>
                <w:szCs w:val="20"/>
              </w:rPr>
              <w:footnoteReference w:id="245"/>
            </w:r>
            <w:r w:rsidRPr="00391600">
              <w:rPr>
                <w:rFonts w:ascii="Palatino Linotype" w:hAnsi="Palatino Linotype"/>
                <w:color w:val="000000" w:themeColor="text1"/>
                <w:sz w:val="20"/>
                <w:szCs w:val="20"/>
              </w:rPr>
              <w:t xml:space="preserve"> </w:t>
            </w:r>
          </w:p>
          <w:p w:rsidRPr="00391600" w:rsidR="002F78F4" w:rsidP="00BB366A" w:rsidRDefault="002F78F4" w14:paraId="47675A85" w14:textId="77777777">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c. "Given the potential scarcity of renewable fuels, potential projects must secure a reliable fuel source."</w:t>
            </w:r>
            <w:r w:rsidRPr="00391600">
              <w:rPr>
                <w:rStyle w:val="FootnoteReference"/>
                <w:rFonts w:ascii="Palatino Linotype" w:hAnsi="Palatino Linotype"/>
                <w:color w:val="000000" w:themeColor="text1"/>
                <w:sz w:val="20"/>
                <w:szCs w:val="20"/>
              </w:rPr>
              <w:footnoteReference w:id="246"/>
            </w:r>
          </w:p>
          <w:p w:rsidRPr="00391600" w:rsidR="00CF416D" w:rsidP="00BB366A" w:rsidRDefault="1B5153A2" w14:paraId="109F6A06" w14:textId="44010943">
            <w:pPr>
              <w:ind w:left="72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However, </w:t>
            </w:r>
            <w:r w:rsidRPr="00391600" w:rsidR="486E0421">
              <w:rPr>
                <w:rFonts w:ascii="Palatino Linotype" w:hAnsi="Palatino Linotype"/>
                <w:sz w:val="20"/>
                <w:szCs w:val="20"/>
              </w:rPr>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states that </w:t>
            </w:r>
            <w:r w:rsidRPr="00391600" w:rsidR="1AEAF1ED">
              <w:rPr>
                <w:rFonts w:ascii="Palatino Linotype" w:hAnsi="Palatino Linotype"/>
                <w:color w:val="000000" w:themeColor="text1"/>
                <w:sz w:val="20"/>
                <w:szCs w:val="20"/>
              </w:rPr>
              <w:t>“this proposed initiative is focused on technological advancements and demonstrations of fuel-flexible technologies not necessarily limited to hydrogen.</w:t>
            </w:r>
            <w:r w:rsidRPr="00391600" w:rsidR="3B58D9B3">
              <w:rPr>
                <w:rFonts w:ascii="Palatino Linotype" w:hAnsi="Palatino Linotype"/>
                <w:color w:val="000000" w:themeColor="text1"/>
                <w:sz w:val="20"/>
                <w:szCs w:val="20"/>
              </w:rPr>
              <w:t>”</w:t>
            </w:r>
            <w:r w:rsidRPr="00391600" w:rsidR="00D65E88">
              <w:rPr>
                <w:rStyle w:val="FootnoteReference"/>
                <w:rFonts w:ascii="Palatino Linotype" w:hAnsi="Palatino Linotype"/>
                <w:color w:val="000000" w:themeColor="text1"/>
                <w:sz w:val="20"/>
                <w:szCs w:val="20"/>
              </w:rPr>
              <w:footnoteReference w:id="247"/>
            </w:r>
          </w:p>
        </w:tc>
        <w:tc>
          <w:tcPr>
            <w:tcW w:w="3240" w:type="dxa"/>
          </w:tcPr>
          <w:p w:rsidRPr="00391600" w:rsidR="002F78F4" w:rsidP="00BB366A" w:rsidRDefault="002F78F4" w14:paraId="4EB327B8" w14:textId="517BDC0F">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lastRenderedPageBreak/>
              <w:t xml:space="preserve">    1</w:t>
            </w:r>
            <w:r w:rsidRPr="00391600">
              <w:rPr>
                <w:rFonts w:ascii="Palatino Linotype" w:hAnsi="Palatino Linotype"/>
                <w:bCs/>
                <w:color w:val="000000" w:themeColor="text1"/>
                <w:sz w:val="20"/>
                <w:szCs w:val="20"/>
              </w:rPr>
              <w:t xml:space="preserve">. </w:t>
            </w:r>
            <w:r w:rsidRPr="00391600" w:rsidR="00B86DAF">
              <w:rPr>
                <w:rFonts w:ascii="Palatino Linotype" w:hAnsi="Palatino Linotype"/>
                <w:bCs/>
                <w:sz w:val="20"/>
                <w:szCs w:val="20"/>
              </w:rPr>
              <w:t>The</w:t>
            </w:r>
            <w:r w:rsidRPr="00391600" w:rsidR="00B86DAF">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 xml:space="preserve">CEC incorporated a portion of CPUC staff's feedback as detailed, however, </w:t>
            </w:r>
            <w:r w:rsidRPr="00391600" w:rsidR="00B86DAF">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w:t>
            </w:r>
            <w:r w:rsidRPr="00391600" w:rsidR="009446EC">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refine the scope of this Initiative as recommended by CPUC staff to align with gas proceedings by including the following additional research areas and questions to illuminate existing hurdles, complexities, and pathways forward for decarbonization activities:</w:t>
            </w:r>
          </w:p>
          <w:p w:rsidRPr="00391600" w:rsidR="002F78F4" w:rsidP="003B475F" w:rsidRDefault="002F78F4" w14:paraId="4A0798E2" w14:textId="77777777">
            <w:pPr>
              <w:pStyle w:val="ListParagraph"/>
              <w:numPr>
                <w:ilvl w:val="0"/>
                <w:numId w:val="2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What influences the choice of electric appliances or appliances other than gas in a</w:t>
            </w:r>
            <w:r w:rsidRPr="00391600" w:rsidR="269D017B">
              <w:rPr>
                <w:rFonts w:ascii="Palatino Linotype" w:hAnsi="Palatino Linotype"/>
                <w:color w:val="000000" w:themeColor="text1"/>
                <w:sz w:val="20"/>
                <w:szCs w:val="20"/>
              </w:rPr>
              <w:t>ny</w:t>
            </w:r>
            <w:r w:rsidRPr="00391600">
              <w:rPr>
                <w:rFonts w:ascii="Palatino Linotype" w:hAnsi="Palatino Linotype"/>
                <w:color w:val="000000" w:themeColor="text1"/>
                <w:sz w:val="20"/>
                <w:szCs w:val="20"/>
              </w:rPr>
              <w:t xml:space="preserve"> </w:t>
            </w:r>
            <w:proofErr w:type="gramStart"/>
            <w:r w:rsidRPr="00391600">
              <w:rPr>
                <w:rFonts w:ascii="Palatino Linotype" w:hAnsi="Palatino Linotype"/>
                <w:color w:val="000000" w:themeColor="text1"/>
                <w:sz w:val="20"/>
                <w:szCs w:val="20"/>
              </w:rPr>
              <w:t>particular location</w:t>
            </w:r>
            <w:proofErr w:type="gramEnd"/>
            <w:r w:rsidRPr="00391600">
              <w:rPr>
                <w:rFonts w:ascii="Palatino Linotype" w:hAnsi="Palatino Linotype"/>
                <w:color w:val="000000" w:themeColor="text1"/>
                <w:sz w:val="20"/>
                <w:szCs w:val="20"/>
              </w:rPr>
              <w:t xml:space="preserve"> or situation.</w:t>
            </w:r>
            <w:r w:rsidRPr="00391600">
              <w:rPr>
                <w:rStyle w:val="FootnoteReference"/>
                <w:rFonts w:ascii="Palatino Linotype" w:hAnsi="Palatino Linotype"/>
                <w:color w:val="000000" w:themeColor="text1"/>
                <w:sz w:val="20"/>
                <w:szCs w:val="20"/>
              </w:rPr>
              <w:footnoteReference w:id="248"/>
            </w:r>
          </w:p>
          <w:p w:rsidRPr="00391600" w:rsidR="002F78F4" w:rsidP="003B475F" w:rsidRDefault="002F78F4" w14:paraId="2080E42E" w14:textId="77777777">
            <w:pPr>
              <w:pStyle w:val="ListParagraph"/>
              <w:numPr>
                <w:ilvl w:val="0"/>
                <w:numId w:val="2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lastRenderedPageBreak/>
              <w:t>An example of how interval meter data may help provide targeted information on alternatives and associated benefits to gas appliance users.</w:t>
            </w:r>
            <w:r w:rsidRPr="00391600">
              <w:rPr>
                <w:rStyle w:val="FootnoteReference"/>
                <w:rFonts w:ascii="Palatino Linotype" w:hAnsi="Palatino Linotype"/>
                <w:color w:val="000000" w:themeColor="text1"/>
                <w:sz w:val="20"/>
                <w:szCs w:val="20"/>
              </w:rPr>
              <w:footnoteReference w:id="249"/>
            </w:r>
            <w:r w:rsidRPr="00391600">
              <w:rPr>
                <w:rFonts w:ascii="Palatino Linotype" w:hAnsi="Palatino Linotype"/>
                <w:color w:val="000000" w:themeColor="text1"/>
                <w:sz w:val="20"/>
                <w:szCs w:val="20"/>
              </w:rPr>
              <w:t xml:space="preserve"> </w:t>
            </w:r>
          </w:p>
          <w:p w:rsidRPr="00391600" w:rsidR="002F78F4" w:rsidP="003B475F" w:rsidRDefault="002F78F4" w14:paraId="0BBE7688" w14:textId="77777777">
            <w:pPr>
              <w:pStyle w:val="ListParagraph"/>
              <w:numPr>
                <w:ilvl w:val="0"/>
                <w:numId w:val="2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Abilities and opportunities for equipment vendors and manufacturers to support the installation of electric heat pumps.</w:t>
            </w:r>
            <w:r w:rsidRPr="00391600">
              <w:rPr>
                <w:rStyle w:val="FootnoteReference"/>
                <w:rFonts w:ascii="Palatino Linotype" w:hAnsi="Palatino Linotype"/>
                <w:color w:val="000000" w:themeColor="text1"/>
                <w:sz w:val="20"/>
                <w:szCs w:val="20"/>
              </w:rPr>
              <w:footnoteReference w:id="250"/>
            </w:r>
            <w:r w:rsidRPr="00391600">
              <w:rPr>
                <w:rFonts w:ascii="Palatino Linotype" w:hAnsi="Palatino Linotype"/>
                <w:color w:val="000000" w:themeColor="text1"/>
                <w:sz w:val="20"/>
                <w:szCs w:val="20"/>
              </w:rPr>
              <w:t xml:space="preserve"> </w:t>
            </w:r>
          </w:p>
          <w:p w:rsidRPr="00391600" w:rsidR="002F78F4" w:rsidP="003B475F" w:rsidRDefault="002F78F4" w14:paraId="24D5ED44" w14:textId="77777777">
            <w:pPr>
              <w:pStyle w:val="ListParagraph"/>
              <w:numPr>
                <w:ilvl w:val="0"/>
                <w:numId w:val="2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In addition to reinforcing the electricity system, targeting the identification and scaling of alternatives to gas heating to mitigate gas peaks.</w:t>
            </w:r>
            <w:r w:rsidRPr="00391600">
              <w:rPr>
                <w:rStyle w:val="FootnoteReference"/>
                <w:rFonts w:ascii="Palatino Linotype" w:hAnsi="Palatino Linotype"/>
                <w:color w:val="000000" w:themeColor="text1"/>
                <w:sz w:val="20"/>
                <w:szCs w:val="20"/>
              </w:rPr>
              <w:footnoteReference w:id="251"/>
            </w:r>
            <w:r w:rsidRPr="00391600">
              <w:rPr>
                <w:rFonts w:ascii="Palatino Linotype" w:hAnsi="Palatino Linotype"/>
                <w:color w:val="000000" w:themeColor="text1"/>
                <w:sz w:val="20"/>
                <w:szCs w:val="20"/>
              </w:rPr>
              <w:t xml:space="preserve"> </w:t>
            </w:r>
          </w:p>
          <w:p w:rsidRPr="00391600" w:rsidR="002F78F4" w:rsidP="00BB366A" w:rsidRDefault="00B86DAF" w14:paraId="3DFC0379" w14:textId="07C4DD7D">
            <w:pPr>
              <w:pStyle w:val="ListParagraph"/>
              <w:ind w:left="360"/>
              <w:rPr>
                <w:rFonts w:ascii="Palatino Linotype" w:hAnsi="Palatino Linotype"/>
                <w:bCs/>
                <w:color w:val="000000" w:themeColor="text1"/>
                <w:sz w:val="20"/>
                <w:szCs w:val="20"/>
              </w:rPr>
            </w:pPr>
            <w:r w:rsidRPr="00391600">
              <w:rPr>
                <w:rFonts w:ascii="Palatino Linotype" w:hAnsi="Palatino Linotype"/>
                <w:b/>
                <w:sz w:val="20"/>
                <w:szCs w:val="20"/>
              </w:rPr>
              <w:t>The</w:t>
            </w:r>
            <w:r w:rsidRPr="00391600">
              <w:rPr>
                <w:rFonts w:ascii="Palatino Linotype" w:hAnsi="Palatino Linotype"/>
                <w:b/>
                <w:color w:val="000000" w:themeColor="text1"/>
                <w:sz w:val="20"/>
                <w:szCs w:val="20"/>
              </w:rPr>
              <w:t xml:space="preserve"> </w:t>
            </w:r>
            <w:r w:rsidRPr="00391600" w:rsidR="002F78F4">
              <w:rPr>
                <w:rFonts w:ascii="Palatino Linotype" w:hAnsi="Palatino Linotype"/>
                <w:b/>
                <w:color w:val="000000" w:themeColor="text1"/>
                <w:sz w:val="20"/>
                <w:szCs w:val="20"/>
              </w:rPr>
              <w:t xml:space="preserve">CEC is </w:t>
            </w:r>
            <w:r w:rsidRPr="00391600" w:rsidR="002F78F4">
              <w:rPr>
                <w:rFonts w:ascii="Palatino Linotype" w:hAnsi="Palatino Linotype"/>
                <w:b/>
                <w:i/>
                <w:iCs/>
                <w:color w:val="000000" w:themeColor="text1"/>
                <w:sz w:val="20"/>
                <w:szCs w:val="20"/>
              </w:rPr>
              <w:t>not</w:t>
            </w:r>
            <w:r w:rsidRPr="00391600" w:rsidR="002F78F4">
              <w:rPr>
                <w:rFonts w:ascii="Palatino Linotype" w:hAnsi="Palatino Linotype"/>
                <w:b/>
                <w:color w:val="000000" w:themeColor="text1"/>
                <w:sz w:val="20"/>
                <w:szCs w:val="20"/>
              </w:rPr>
              <w:t xml:space="preserve"> compliant with this requirement.</w:t>
            </w:r>
          </w:p>
          <w:p w:rsidRPr="00391600" w:rsidR="002F78F4" w:rsidP="00BB366A" w:rsidRDefault="002F78F4" w14:paraId="081E1486" w14:textId="32AD4B5A">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sidR="00543BE1">
              <w:rPr>
                <w:rFonts w:ascii="Palatino Linotype" w:hAnsi="Palatino Linotype"/>
                <w:bCs/>
                <w:sz w:val="20"/>
                <w:szCs w:val="20"/>
              </w:rPr>
              <w:t>The</w:t>
            </w:r>
            <w:r w:rsidRPr="00391600" w:rsidR="00543BE1">
              <w:rPr>
                <w:rFonts w:ascii="Palatino Linotype" w:hAnsi="Palatino Linotype"/>
                <w:bCs/>
                <w:color w:val="000000" w:themeColor="text1"/>
                <w:sz w:val="20"/>
                <w:szCs w:val="20"/>
              </w:rPr>
              <w:t xml:space="preserve"> </w:t>
            </w:r>
            <w:r w:rsidRPr="00391600">
              <w:rPr>
                <w:rFonts w:ascii="Palatino Linotype" w:hAnsi="Palatino Linotype"/>
                <w:bCs/>
                <w:color w:val="000000" w:themeColor="text1"/>
                <w:sz w:val="20"/>
                <w:szCs w:val="20"/>
              </w:rPr>
              <w:t xml:space="preserve">CEC appropriately responded to CPUC staff feedback and provides related information in its Initiative description, however, </w:t>
            </w:r>
            <w:r w:rsidRPr="00391600" w:rsidR="00543BE1">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w:t>
            </w:r>
            <w:r w:rsidRPr="00391600" w:rsidR="009446EC">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strive to provide greater </w:t>
            </w:r>
            <w:r w:rsidRPr="00391600">
              <w:rPr>
                <w:rFonts w:ascii="Palatino Linotype" w:hAnsi="Palatino Linotype"/>
                <w:bCs/>
                <w:color w:val="000000" w:themeColor="text1"/>
                <w:sz w:val="20"/>
                <w:szCs w:val="20"/>
              </w:rPr>
              <w:lastRenderedPageBreak/>
              <w:t xml:space="preserve">clarity on the scale and composition of Initiative outputs, such as 3-4 projects. </w:t>
            </w:r>
            <w:r w:rsidRPr="00391600" w:rsidR="00543BE1">
              <w:rPr>
                <w:rFonts w:ascii="Palatino Linotype" w:hAnsi="Palatino Linotype"/>
                <w:b/>
                <w:color w:val="000000" w:themeColor="text1"/>
                <w:sz w:val="20"/>
                <w:szCs w:val="20"/>
              </w:rPr>
              <w:t xml:space="preserve">The </w:t>
            </w:r>
            <w:r w:rsidRPr="00391600">
              <w:rPr>
                <w:rFonts w:ascii="Palatino Linotype" w:hAnsi="Palatino Linotype"/>
                <w:b/>
                <w:color w:val="000000" w:themeColor="text1"/>
                <w:sz w:val="20"/>
                <w:szCs w:val="20"/>
              </w:rPr>
              <w:t>CEC is compliant with this requirement.</w:t>
            </w:r>
          </w:p>
          <w:p w:rsidRPr="00391600" w:rsidR="002F78F4" w:rsidP="00BB366A" w:rsidRDefault="002F78F4" w14:paraId="53D96E88" w14:textId="25D71FDE">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sidR="486E0421">
              <w:rPr>
                <w:rFonts w:ascii="Palatino Linotype" w:hAnsi="Palatino Linotype"/>
                <w:sz w:val="20"/>
                <w:szCs w:val="20"/>
              </w:rPr>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 xml:space="preserve">CEC is </w:t>
            </w:r>
            <w:r w:rsidRPr="00391600" w:rsidR="3B1883B0">
              <w:rPr>
                <w:rFonts w:ascii="Palatino Linotype" w:hAnsi="Palatino Linotype"/>
                <w:color w:val="000000" w:themeColor="text1"/>
                <w:sz w:val="20"/>
                <w:szCs w:val="20"/>
              </w:rPr>
              <w:t xml:space="preserve">partially </w:t>
            </w:r>
            <w:r w:rsidRPr="00391600">
              <w:rPr>
                <w:rFonts w:ascii="Palatino Linotype" w:hAnsi="Palatino Linotype"/>
                <w:color w:val="000000" w:themeColor="text1"/>
                <w:sz w:val="20"/>
                <w:szCs w:val="20"/>
              </w:rPr>
              <w:t>responsive to CPUC staff feedback, however, CEC mus</w:t>
            </w:r>
            <w:r w:rsidRPr="00391600" w:rsidR="7DE8D1C6">
              <w:rPr>
                <w:rFonts w:ascii="Palatino Linotype" w:hAnsi="Palatino Linotype"/>
                <w:color w:val="000000" w:themeColor="text1"/>
                <w:sz w:val="20"/>
                <w:szCs w:val="20"/>
              </w:rPr>
              <w:t>t</w:t>
            </w:r>
            <w:r w:rsidRPr="00391600">
              <w:rPr>
                <w:rFonts w:ascii="Palatino Linotype" w:hAnsi="Palatino Linotype"/>
                <w:color w:val="000000" w:themeColor="text1"/>
                <w:sz w:val="20"/>
                <w:szCs w:val="20"/>
              </w:rPr>
              <w:t xml:space="preserve"> demonstrate it will not invest in </w:t>
            </w:r>
            <w:r w:rsidRPr="00391600" w:rsidR="7DE8D1C6">
              <w:rPr>
                <w:rFonts w:ascii="Palatino Linotype" w:hAnsi="Palatino Linotype"/>
                <w:color w:val="000000" w:themeColor="text1"/>
                <w:sz w:val="20"/>
                <w:szCs w:val="20"/>
              </w:rPr>
              <w:t xml:space="preserve">hydrogen-related </w:t>
            </w:r>
            <w:r w:rsidRPr="00391600">
              <w:rPr>
                <w:rFonts w:ascii="Palatino Linotype" w:hAnsi="Palatino Linotype"/>
                <w:color w:val="000000" w:themeColor="text1"/>
                <w:sz w:val="20"/>
                <w:szCs w:val="20"/>
              </w:rPr>
              <w:t>RD&amp;D</w:t>
            </w:r>
            <w:r w:rsidRPr="00391600" w:rsidR="7DE8D1C6">
              <w:rPr>
                <w:rFonts w:ascii="Palatino Linotype" w:hAnsi="Palatino Linotype"/>
                <w:color w:val="000000" w:themeColor="text1"/>
                <w:sz w:val="20"/>
                <w:szCs w:val="20"/>
              </w:rPr>
              <w:t>, including that aimed at</w:t>
            </w:r>
            <w:r w:rsidRPr="00391600">
              <w:rPr>
                <w:rFonts w:ascii="Palatino Linotype" w:hAnsi="Palatino Linotype"/>
                <w:color w:val="000000" w:themeColor="text1"/>
                <w:sz w:val="20"/>
                <w:szCs w:val="20"/>
              </w:rPr>
              <w:t xml:space="preserve"> "</w:t>
            </w:r>
            <w:r w:rsidRPr="00391600" w:rsidR="7DE8D1C6">
              <w:rPr>
                <w:rFonts w:ascii="Palatino Linotype" w:hAnsi="Palatino Linotype"/>
                <w:color w:val="000000" w:themeColor="text1"/>
                <w:sz w:val="20"/>
                <w:szCs w:val="20"/>
              </w:rPr>
              <w:t>[</w:t>
            </w:r>
            <w:r w:rsidRPr="00391600">
              <w:rPr>
                <w:rFonts w:ascii="Palatino Linotype" w:hAnsi="Palatino Linotype"/>
                <w:color w:val="000000" w:themeColor="text1"/>
                <w:sz w:val="20"/>
                <w:szCs w:val="20"/>
              </w:rPr>
              <w:t>attempt</w:t>
            </w:r>
            <w:r w:rsidRPr="00391600" w:rsidR="7DE8D1C6">
              <w:rPr>
                <w:rFonts w:ascii="Palatino Linotype" w:hAnsi="Palatino Linotype"/>
                <w:color w:val="000000" w:themeColor="text1"/>
                <w:sz w:val="20"/>
                <w:szCs w:val="20"/>
              </w:rPr>
              <w:t>ing]</w:t>
            </w:r>
            <w:r w:rsidRPr="00391600">
              <w:rPr>
                <w:rFonts w:ascii="Palatino Linotype" w:hAnsi="Palatino Linotype"/>
                <w:color w:val="000000" w:themeColor="text1"/>
                <w:sz w:val="20"/>
                <w:szCs w:val="20"/>
              </w:rPr>
              <w:t xml:space="preserve"> to build out comprehensive renewable generation and distribution capacity"</w:t>
            </w:r>
            <w:r w:rsidRPr="00391600">
              <w:rPr>
                <w:rStyle w:val="FootnoteReference"/>
                <w:rFonts w:ascii="Palatino Linotype" w:hAnsi="Palatino Linotype"/>
                <w:color w:val="000000" w:themeColor="text1"/>
                <w:sz w:val="20"/>
                <w:szCs w:val="20"/>
              </w:rPr>
              <w:footnoteReference w:id="252"/>
            </w:r>
            <w:r w:rsidRPr="00391600">
              <w:rPr>
                <w:rFonts w:ascii="Palatino Linotype" w:hAnsi="Palatino Linotype"/>
                <w:color w:val="000000" w:themeColor="text1"/>
                <w:sz w:val="20"/>
                <w:szCs w:val="20"/>
              </w:rPr>
              <w:t xml:space="preserve"> as the Commission has not provided guidance on the appropriate role of gas ratepayers in funding</w:t>
            </w:r>
            <w:r w:rsidRPr="00391600" w:rsidR="7B161052">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hydrogen RD&amp;D, particularly as these projects would have further implications for ratepayer funding, including in future Gas RD&amp;D Plans.</w:t>
            </w:r>
            <w:r w:rsidRPr="00391600" w:rsidR="60EB8815">
              <w:rPr>
                <w:rFonts w:ascii="Palatino Linotype" w:hAnsi="Palatino Linotype"/>
                <w:color w:val="000000" w:themeColor="text1"/>
                <w:sz w:val="20"/>
                <w:szCs w:val="20"/>
              </w:rPr>
              <w:t xml:space="preserve"> </w:t>
            </w:r>
            <w:r w:rsidRPr="00391600" w:rsidR="60EB8815">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w:t>
            </w:r>
            <w:r w:rsidRPr="00391600" w:rsidR="5B9B73F1">
              <w:rPr>
                <w:rFonts w:ascii="Palatino Linotype" w:hAnsi="Palatino Linotype"/>
                <w:color w:val="000000" w:themeColor="text1"/>
                <w:sz w:val="20"/>
                <w:szCs w:val="20"/>
              </w:rPr>
              <w:t xml:space="preserve">must </w:t>
            </w:r>
            <w:r w:rsidRPr="00391600">
              <w:rPr>
                <w:rFonts w:ascii="Palatino Linotype" w:hAnsi="Palatino Linotype"/>
                <w:color w:val="000000" w:themeColor="text1"/>
                <w:sz w:val="20"/>
                <w:szCs w:val="20"/>
              </w:rPr>
              <w:t xml:space="preserve">also strive to provide greater clarity on the scale and composition of Initiative outputs. </w:t>
            </w:r>
            <w:r w:rsidRPr="00391600" w:rsidR="486E0421">
              <w:rPr>
                <w:rFonts w:ascii="Palatino Linotype" w:hAnsi="Palatino Linotype"/>
                <w:b/>
                <w:bCs/>
                <w:color w:val="000000" w:themeColor="text1"/>
                <w:sz w:val="20"/>
                <w:szCs w:val="20"/>
              </w:rPr>
              <w:lastRenderedPageBreak/>
              <w:t>The</w:t>
            </w:r>
            <w:r w:rsidRPr="00391600" w:rsidR="486E0421">
              <w:rPr>
                <w:rFonts w:ascii="Palatino Linotype" w:hAnsi="Palatino Linotype"/>
                <w:color w:val="000000" w:themeColor="text1"/>
                <w:sz w:val="20"/>
                <w:szCs w:val="20"/>
              </w:rPr>
              <w:t xml:space="preserve"> </w:t>
            </w:r>
            <w:r w:rsidRPr="00391600">
              <w:rPr>
                <w:rFonts w:ascii="Palatino Linotype" w:hAnsi="Palatino Linotype"/>
                <w:b/>
                <w:bCs/>
                <w:color w:val="000000" w:themeColor="text1"/>
                <w:sz w:val="20"/>
                <w:szCs w:val="20"/>
              </w:rPr>
              <w:t xml:space="preserve">CEC is </w:t>
            </w:r>
            <w:r w:rsidRPr="00391600" w:rsidR="3B58D9B3">
              <w:rPr>
                <w:rFonts w:ascii="Palatino Linotype" w:hAnsi="Palatino Linotype"/>
                <w:b/>
                <w:bCs/>
                <w:i/>
                <w:iCs/>
                <w:color w:val="000000" w:themeColor="text1"/>
                <w:sz w:val="20"/>
                <w:szCs w:val="20"/>
              </w:rPr>
              <w:t xml:space="preserve">not </w:t>
            </w:r>
            <w:r w:rsidRPr="00391600">
              <w:rPr>
                <w:rFonts w:ascii="Palatino Linotype" w:hAnsi="Palatino Linotype"/>
                <w:b/>
                <w:bCs/>
                <w:color w:val="000000" w:themeColor="text1"/>
                <w:sz w:val="20"/>
                <w:szCs w:val="20"/>
              </w:rPr>
              <w:t>compliant with this requirement.</w:t>
            </w:r>
          </w:p>
        </w:tc>
      </w:tr>
      <w:tr w:rsidRPr="00391600" w:rsidR="002F78F4" w:rsidTr="6FAFEDE3" w14:paraId="30F87ABD" w14:textId="77777777">
        <w:trPr>
          <w:trHeight w:val="638"/>
        </w:trPr>
        <w:tc>
          <w:tcPr>
            <w:tcW w:w="3145" w:type="dxa"/>
          </w:tcPr>
          <w:p w:rsidRPr="00391600" w:rsidR="002F78F4" w:rsidP="00BB366A" w:rsidRDefault="002F78F4" w14:paraId="526514BB" w14:textId="77777777">
            <w:pPr>
              <w:rPr>
                <w:rFonts w:ascii="Palatino Linotype" w:hAnsi="Palatino Linotype"/>
                <w:b/>
                <w:sz w:val="20"/>
                <w:szCs w:val="20"/>
              </w:rPr>
            </w:pPr>
            <w:hyperlink w:history="1" r:id="rId94">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6. </w:t>
            </w:r>
            <w:r w:rsidRPr="00391600">
              <w:rPr>
                <w:rFonts w:ascii="Palatino Linotype" w:hAnsi="Palatino Linotype"/>
                <w:bCs/>
                <w:i/>
                <w:iCs/>
                <w:sz w:val="20"/>
                <w:szCs w:val="20"/>
              </w:rPr>
              <w:t>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391600" w:rsidR="002F78F4" w:rsidP="00BB366A" w:rsidRDefault="60EB8815" w14:paraId="0AD92EB7" w14:textId="7365F863">
            <w:pPr>
              <w:pStyle w:val="10sp0"/>
              <w:spacing w:after="0"/>
              <w:rPr>
                <w:rFonts w:ascii="Palatino Linotype" w:hAnsi="Palatino Linotype"/>
                <w:bCs/>
                <w:color w:val="000000" w:themeColor="text1"/>
                <w:sz w:val="20"/>
              </w:rPr>
            </w:pPr>
            <w:r w:rsidRPr="00391600">
              <w:rPr>
                <w:rFonts w:ascii="Palatino Linotype" w:hAnsi="Palatino Linotype"/>
                <w:sz w:val="20"/>
              </w:rPr>
              <w:t>The</w:t>
            </w:r>
            <w:r w:rsidRPr="00391600">
              <w:rPr>
                <w:rFonts w:ascii="Palatino Linotype" w:hAnsi="Palatino Linotype"/>
                <w:color w:val="000000" w:themeColor="text1"/>
                <w:sz w:val="20"/>
              </w:rPr>
              <w:t xml:space="preserve"> </w:t>
            </w:r>
            <w:r w:rsidRPr="00391600" w:rsidR="002F78F4">
              <w:rPr>
                <w:rFonts w:ascii="Palatino Linotype" w:hAnsi="Palatino Linotype"/>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391600" w:rsidR="002F78F4">
              <w:rPr>
                <w:rStyle w:val="FootnoteReference"/>
                <w:rFonts w:ascii="Palatino Linotype" w:hAnsi="Palatino Linotype"/>
                <w:color w:val="000000" w:themeColor="text1"/>
                <w:sz w:val="20"/>
              </w:rPr>
              <w:footnoteReference w:id="253"/>
            </w:r>
            <w:r w:rsidRPr="00391600" w:rsidR="002F78F4">
              <w:rPr>
                <w:rFonts w:ascii="Palatino Linotype" w:hAnsi="Palatino Linotype"/>
                <w:color w:val="000000" w:themeColor="text1"/>
                <w:sz w:val="20"/>
              </w:rPr>
              <w:t xml:space="preserve"> </w:t>
            </w:r>
            <w:r w:rsidRPr="00391600">
              <w:rPr>
                <w:rFonts w:ascii="Palatino Linotype" w:hAnsi="Palatino Linotype"/>
                <w:sz w:val="20"/>
              </w:rPr>
              <w:t>The</w:t>
            </w:r>
            <w:r w:rsidRPr="00391600">
              <w:rPr>
                <w:rFonts w:ascii="Palatino Linotype" w:hAnsi="Palatino Linotype"/>
                <w:color w:val="000000" w:themeColor="text1"/>
                <w:sz w:val="20"/>
              </w:rPr>
              <w:t xml:space="preserve"> </w:t>
            </w:r>
            <w:r w:rsidRPr="00391600" w:rsidR="002F78F4">
              <w:rPr>
                <w:rFonts w:ascii="Palatino Linotype" w:hAnsi="Palatino Linotype"/>
                <w:color w:val="000000" w:themeColor="text1"/>
                <w:sz w:val="20"/>
              </w:rPr>
              <w:t>CEC lists the following anticipated Benefits to Californians and associated metrics under each Initiative.</w:t>
            </w:r>
            <w:r w:rsidRPr="00391600" w:rsidR="002F78F4">
              <w:rPr>
                <w:rStyle w:val="FootnoteReference"/>
                <w:rFonts w:ascii="Palatino Linotype" w:hAnsi="Palatino Linotype"/>
                <w:color w:val="000000" w:themeColor="text1"/>
                <w:sz w:val="20"/>
              </w:rPr>
              <w:footnoteReference w:id="254"/>
            </w:r>
          </w:p>
          <w:p w:rsidRPr="00391600" w:rsidR="002F78F4" w:rsidP="00BB366A" w:rsidRDefault="002F78F4" w14:paraId="48E1E1B8" w14:textId="77777777">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Support Equitable, Safe, and Cost-Effective Decarbonization of California’s Gas System</w:t>
            </w:r>
            <w:r w:rsidRPr="00391600">
              <w:rPr>
                <w:rFonts w:ascii="Palatino Linotype" w:hAnsi="Palatino Linotype"/>
                <w:color w:val="000000" w:themeColor="text1"/>
                <w:sz w:val="20"/>
                <w:szCs w:val="20"/>
              </w:rPr>
              <w:t>:</w:t>
            </w:r>
            <w:r w:rsidRPr="00391600">
              <w:rPr>
                <w:rStyle w:val="FootnoteReference"/>
                <w:rFonts w:ascii="Palatino Linotype" w:hAnsi="Palatino Linotype"/>
                <w:color w:val="000000" w:themeColor="text1"/>
                <w:sz w:val="20"/>
                <w:szCs w:val="20"/>
              </w:rPr>
              <w:footnoteReference w:id="255"/>
            </w:r>
            <w:r w:rsidRPr="00391600">
              <w:rPr>
                <w:rFonts w:ascii="Palatino Linotype" w:hAnsi="Palatino Linotype"/>
                <w:color w:val="000000" w:themeColor="text1"/>
                <w:sz w:val="20"/>
                <w:szCs w:val="20"/>
              </w:rPr>
              <w:t xml:space="preserve"> </w:t>
            </w:r>
          </w:p>
          <w:p w:rsidRPr="00391600" w:rsidR="002F78F4" w:rsidP="003B475F" w:rsidRDefault="002F78F4" w14:paraId="1C9D3560" w14:textId="77777777">
            <w:pPr>
              <w:pStyle w:val="ListParagraph"/>
              <w:numPr>
                <w:ilvl w:val="0"/>
                <w:numId w:val="3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Affordability: Assessed via the "[i]</w:t>
            </w:r>
            <w:proofErr w:type="spellStart"/>
            <w:r w:rsidRPr="00391600">
              <w:rPr>
                <w:rFonts w:ascii="Palatino Linotype" w:hAnsi="Palatino Linotype"/>
                <w:bCs/>
                <w:color w:val="000000" w:themeColor="text1"/>
                <w:sz w:val="20"/>
                <w:szCs w:val="20"/>
              </w:rPr>
              <w:t>ntegration</w:t>
            </w:r>
            <w:proofErr w:type="spellEnd"/>
            <w:r w:rsidRPr="00391600">
              <w:rPr>
                <w:rFonts w:ascii="Palatino Linotype" w:hAnsi="Palatino Linotype"/>
                <w:bCs/>
                <w:color w:val="000000" w:themeColor="text1"/>
                <w:sz w:val="20"/>
                <w:szCs w:val="20"/>
              </w:rPr>
              <w:t xml:space="preserve"> of improved information into decommissioning planning and into rate-related policies."</w:t>
            </w:r>
          </w:p>
          <w:p w:rsidRPr="00391600" w:rsidR="002F78F4" w:rsidP="003B475F" w:rsidRDefault="002F78F4" w14:paraId="56155C12" w14:textId="77777777">
            <w:pPr>
              <w:pStyle w:val="ListParagraph"/>
              <w:numPr>
                <w:ilvl w:val="0"/>
                <w:numId w:val="3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Safety and reliability: Assessed via "[i]</w:t>
            </w:r>
            <w:proofErr w:type="spellStart"/>
            <w:r w:rsidRPr="00391600">
              <w:rPr>
                <w:rFonts w:ascii="Palatino Linotype" w:hAnsi="Palatino Linotype"/>
                <w:bCs/>
                <w:color w:val="000000" w:themeColor="text1"/>
                <w:sz w:val="20"/>
                <w:szCs w:val="20"/>
              </w:rPr>
              <w:t>mprovements</w:t>
            </w:r>
            <w:proofErr w:type="spellEnd"/>
            <w:r w:rsidRPr="00391600">
              <w:rPr>
                <w:rFonts w:ascii="Palatino Linotype" w:hAnsi="Palatino Linotype"/>
                <w:bCs/>
                <w:color w:val="000000" w:themeColor="text1"/>
                <w:sz w:val="20"/>
                <w:szCs w:val="20"/>
              </w:rPr>
              <w:t xml:space="preserve"> in estimating gas and electric demand patterns, including changes to winter peak and its weather sensitivity due to electrification of gas end uses" and the "[u]se of research results in energy </w:t>
            </w:r>
            <w:r w:rsidRPr="00391600">
              <w:rPr>
                <w:rFonts w:ascii="Palatino Linotype" w:hAnsi="Palatino Linotype"/>
                <w:bCs/>
                <w:color w:val="000000" w:themeColor="text1"/>
                <w:sz w:val="20"/>
                <w:szCs w:val="20"/>
              </w:rPr>
              <w:lastRenderedPageBreak/>
              <w:t xml:space="preserve">forecasts, which could lead to forecast accuracy improvements that support better reliability." </w:t>
            </w:r>
          </w:p>
          <w:p w:rsidRPr="00391600" w:rsidR="002F78F4" w:rsidP="003B475F" w:rsidRDefault="002F78F4" w14:paraId="0C7A0139" w14:textId="77777777">
            <w:pPr>
              <w:pStyle w:val="ListParagraph"/>
              <w:numPr>
                <w:ilvl w:val="0"/>
                <w:numId w:val="3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Adaptation: Assessed via the "[i]dentification of barriers to conversion and improved strategies for increasing the appeal of electrification of gas end uses and for managing energy resilience vulnerabilities throughout the transition." </w:t>
            </w:r>
          </w:p>
          <w:p w:rsidRPr="00391600" w:rsidR="002F78F4" w:rsidP="003B475F" w:rsidRDefault="002F78F4" w14:paraId="3F8DA3A6" w14:textId="77777777">
            <w:pPr>
              <w:pStyle w:val="ListParagraph"/>
              <w:numPr>
                <w:ilvl w:val="0"/>
                <w:numId w:val="3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Environmental sustainability: Assessed via "[e]</w:t>
            </w:r>
            <w:proofErr w:type="spellStart"/>
            <w:r w:rsidRPr="00391600">
              <w:rPr>
                <w:rFonts w:ascii="Palatino Linotype" w:hAnsi="Palatino Linotype"/>
                <w:bCs/>
                <w:color w:val="000000" w:themeColor="text1"/>
                <w:sz w:val="20"/>
                <w:szCs w:val="20"/>
              </w:rPr>
              <w:t>stimation</w:t>
            </w:r>
            <w:proofErr w:type="spellEnd"/>
            <w:r w:rsidRPr="00391600">
              <w:rPr>
                <w:rFonts w:ascii="Palatino Linotype" w:hAnsi="Palatino Linotype"/>
                <w:bCs/>
                <w:color w:val="000000" w:themeColor="text1"/>
                <w:sz w:val="20"/>
                <w:szCs w:val="20"/>
              </w:rPr>
              <w:t xml:space="preserve"> of the indoor air quality improvements, criteria air pollutant reductions, and GHG emissions reductions attributable to the application of improved knowledge."</w:t>
            </w:r>
          </w:p>
          <w:p w:rsidRPr="00391600" w:rsidR="002F78F4" w:rsidP="003B475F" w:rsidRDefault="002F78F4" w14:paraId="37CBFD22" w14:textId="77777777">
            <w:pPr>
              <w:pStyle w:val="ListParagraph"/>
              <w:numPr>
                <w:ilvl w:val="0"/>
                <w:numId w:val="3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Equity: Assessed via "[i]dentification of sub-populations at risk of increased inequities in energy costs or energy reliability in a ‘business-as-usual’ transition away from gas."</w:t>
            </w:r>
          </w:p>
          <w:p w:rsidRPr="00391600" w:rsidR="002F78F4" w:rsidP="00BB366A" w:rsidRDefault="002F78F4" w14:paraId="27BAD56C" w14:textId="77777777">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Innovations for Cost-Effective Operation and Maintenance of Critical Infrastructure During the Gas Transition</w:t>
            </w:r>
            <w:r w:rsidRPr="00391600">
              <w:rPr>
                <w:rFonts w:ascii="Palatino Linotype" w:hAnsi="Palatino Linotype"/>
                <w:color w:val="000000" w:themeColor="text1"/>
                <w:sz w:val="20"/>
                <w:szCs w:val="20"/>
              </w:rPr>
              <w:t>:</w:t>
            </w:r>
            <w:r w:rsidRPr="00391600">
              <w:rPr>
                <w:rStyle w:val="FootnoteReference"/>
                <w:rFonts w:ascii="Palatino Linotype" w:hAnsi="Palatino Linotype"/>
                <w:color w:val="000000" w:themeColor="text1"/>
                <w:sz w:val="20"/>
                <w:szCs w:val="20"/>
              </w:rPr>
              <w:footnoteReference w:id="256"/>
            </w:r>
          </w:p>
          <w:p w:rsidRPr="00391600" w:rsidR="002F78F4" w:rsidP="003B475F" w:rsidRDefault="002F78F4" w14:paraId="459A626E" w14:textId="77777777">
            <w:pPr>
              <w:pStyle w:val="ListParagraph"/>
              <w:numPr>
                <w:ilvl w:val="0"/>
                <w:numId w:val="39"/>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Affordability: Assessed via "[o]</w:t>
            </w:r>
            <w:proofErr w:type="spellStart"/>
            <w:r w:rsidRPr="00391600">
              <w:rPr>
                <w:rFonts w:ascii="Palatino Linotype" w:hAnsi="Palatino Linotype"/>
                <w:bCs/>
                <w:color w:val="000000" w:themeColor="text1"/>
                <w:sz w:val="20"/>
                <w:szCs w:val="20"/>
              </w:rPr>
              <w:t>perational</w:t>
            </w:r>
            <w:proofErr w:type="spellEnd"/>
            <w:r w:rsidRPr="00391600">
              <w:rPr>
                <w:rFonts w:ascii="Palatino Linotype" w:hAnsi="Palatino Linotype"/>
                <w:bCs/>
                <w:color w:val="000000" w:themeColor="text1"/>
                <w:sz w:val="20"/>
                <w:szCs w:val="20"/>
              </w:rPr>
              <w:t xml:space="preserve"> cost savings, such as avoided costs of manual inspections, reduction of associated infrastructure down time, the reduced need for redundancy to maintain reliability during inspections, or the number of alternative inspection technologies developed or demonstrated."</w:t>
            </w:r>
          </w:p>
          <w:p w:rsidRPr="00391600" w:rsidR="002F78F4" w:rsidP="003B475F" w:rsidRDefault="002F78F4" w14:paraId="4EBEF9C4" w14:textId="77777777">
            <w:pPr>
              <w:pStyle w:val="ListParagraph"/>
              <w:numPr>
                <w:ilvl w:val="0"/>
                <w:numId w:val="39"/>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Safety and reliability: Assessed via the "[n]umber of integrity issues or leaks identified with alternative monitoring and inspection methods" and "[r]</w:t>
            </w:r>
            <w:proofErr w:type="spellStart"/>
            <w:r w:rsidRPr="00391600">
              <w:rPr>
                <w:rFonts w:ascii="Palatino Linotype" w:hAnsi="Palatino Linotype"/>
                <w:bCs/>
                <w:color w:val="000000" w:themeColor="text1"/>
                <w:sz w:val="20"/>
                <w:szCs w:val="20"/>
              </w:rPr>
              <w:t>esponse</w:t>
            </w:r>
            <w:proofErr w:type="spellEnd"/>
            <w:r w:rsidRPr="00391600">
              <w:rPr>
                <w:rFonts w:ascii="Palatino Linotype" w:hAnsi="Palatino Linotype"/>
                <w:bCs/>
                <w:color w:val="000000" w:themeColor="text1"/>
                <w:sz w:val="20"/>
                <w:szCs w:val="20"/>
              </w:rPr>
              <w:t xml:space="preserve"> time to address and/or repair identified threats."</w:t>
            </w:r>
          </w:p>
          <w:p w:rsidRPr="00391600" w:rsidR="002F78F4" w:rsidP="003B475F" w:rsidRDefault="002F78F4" w14:paraId="0F80ABF3" w14:textId="77777777">
            <w:pPr>
              <w:pStyle w:val="ListParagraph"/>
              <w:numPr>
                <w:ilvl w:val="0"/>
                <w:numId w:val="39"/>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Adaptation: Assessed via "[a]</w:t>
            </w:r>
            <w:proofErr w:type="spellStart"/>
            <w:r w:rsidRPr="00391600">
              <w:rPr>
                <w:rFonts w:ascii="Palatino Linotype" w:hAnsi="Palatino Linotype"/>
                <w:bCs/>
                <w:color w:val="000000" w:themeColor="text1"/>
                <w:sz w:val="20"/>
                <w:szCs w:val="20"/>
              </w:rPr>
              <w:t>doption</w:t>
            </w:r>
            <w:proofErr w:type="spellEnd"/>
            <w:r w:rsidRPr="00391600">
              <w:rPr>
                <w:rFonts w:ascii="Palatino Linotype" w:hAnsi="Palatino Linotype"/>
                <w:bCs/>
                <w:color w:val="000000" w:themeColor="text1"/>
                <w:sz w:val="20"/>
                <w:szCs w:val="20"/>
              </w:rPr>
              <w:t xml:space="preserve"> of research results through risk mitigation measures, practices, or policies that are informed by additional monitoring and data-driven insights."</w:t>
            </w:r>
          </w:p>
          <w:p w:rsidRPr="00391600" w:rsidR="002F78F4" w:rsidP="003B475F" w:rsidRDefault="002F78F4" w14:paraId="5651314A" w14:textId="77777777">
            <w:pPr>
              <w:pStyle w:val="ListParagraph"/>
              <w:numPr>
                <w:ilvl w:val="0"/>
                <w:numId w:val="39"/>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Environmental sustainability: Assessed via "[a]voided or reduced GHG emissions as a result of 1) early detection of infrastructure anomalies or weaknesses that could result in leaks, or 2) reduced footprint of the gas system resulting from reductions in system redundancies."</w:t>
            </w:r>
          </w:p>
          <w:p w:rsidRPr="00391600" w:rsidR="002F78F4" w:rsidP="003B475F" w:rsidRDefault="002F78F4" w14:paraId="03DCBD93" w14:textId="77777777">
            <w:pPr>
              <w:pStyle w:val="ListParagraph"/>
              <w:numPr>
                <w:ilvl w:val="0"/>
                <w:numId w:val="39"/>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Equity: Assessed via the "[</w:t>
            </w:r>
            <w:proofErr w:type="gramStart"/>
            <w:r w:rsidRPr="00391600">
              <w:rPr>
                <w:rFonts w:ascii="Palatino Linotype" w:hAnsi="Palatino Linotype"/>
                <w:bCs/>
                <w:color w:val="000000" w:themeColor="text1"/>
                <w:sz w:val="20"/>
                <w:szCs w:val="20"/>
              </w:rPr>
              <w:t>n]umber</w:t>
            </w:r>
            <w:proofErr w:type="gramEnd"/>
            <w:r w:rsidRPr="00391600">
              <w:rPr>
                <w:rFonts w:ascii="Palatino Linotype" w:hAnsi="Palatino Linotype"/>
                <w:bCs/>
                <w:color w:val="000000" w:themeColor="text1"/>
                <w:sz w:val="20"/>
                <w:szCs w:val="20"/>
              </w:rPr>
              <w:t xml:space="preserve"> of demonstrations that occur within low-income or disadvantaged communities." </w:t>
            </w:r>
          </w:p>
          <w:p w:rsidRPr="00391600" w:rsidR="002F78F4" w:rsidP="00BB366A" w:rsidRDefault="002F78F4" w14:paraId="46617423" w14:textId="77777777">
            <w:pPr>
              <w:pStyle w:val="10sp0"/>
              <w:spacing w:after="0"/>
              <w:rPr>
                <w:rFonts w:ascii="Palatino Linotype" w:hAnsi="Palatino Linotype"/>
                <w:bCs/>
                <w:color w:val="000000" w:themeColor="text1"/>
                <w:sz w:val="20"/>
              </w:rPr>
            </w:pPr>
            <w:r w:rsidRPr="00391600">
              <w:rPr>
                <w:rFonts w:ascii="Palatino Linotype" w:hAnsi="Palatino Linotype"/>
                <w:b/>
                <w:bCs/>
                <w:color w:val="000000" w:themeColor="text1"/>
                <w:sz w:val="20"/>
              </w:rPr>
              <w:t xml:space="preserve">    3</w:t>
            </w:r>
            <w:r w:rsidRPr="00391600">
              <w:rPr>
                <w:rFonts w:ascii="Palatino Linotype" w:hAnsi="Palatino Linotype"/>
                <w:color w:val="000000" w:themeColor="text1"/>
                <w:sz w:val="20"/>
              </w:rPr>
              <w:t xml:space="preserve">. </w:t>
            </w:r>
            <w:r w:rsidRPr="00391600">
              <w:rPr>
                <w:rFonts w:ascii="Palatino Linotype" w:hAnsi="Palatino Linotype"/>
                <w:color w:val="000000" w:themeColor="text1"/>
                <w:sz w:val="20"/>
                <w:u w:val="single"/>
              </w:rPr>
              <w:t>Fuel-Flexible Distributed Power Generation</w:t>
            </w:r>
            <w:r w:rsidRPr="00391600">
              <w:rPr>
                <w:rFonts w:ascii="Palatino Linotype" w:hAnsi="Palatino Linotype"/>
                <w:color w:val="000000" w:themeColor="text1"/>
                <w:sz w:val="20"/>
              </w:rPr>
              <w:t>:</w:t>
            </w:r>
            <w:r w:rsidRPr="00391600">
              <w:rPr>
                <w:rStyle w:val="FootnoteReference"/>
                <w:rFonts w:ascii="Palatino Linotype" w:hAnsi="Palatino Linotype"/>
                <w:color w:val="000000" w:themeColor="text1"/>
                <w:sz w:val="20"/>
              </w:rPr>
              <w:footnoteReference w:id="257"/>
            </w:r>
          </w:p>
          <w:p w:rsidRPr="00391600" w:rsidR="002F78F4" w:rsidP="003B475F" w:rsidRDefault="002F78F4" w14:paraId="23B14459" w14:textId="77777777">
            <w:pPr>
              <w:pStyle w:val="10sp0"/>
              <w:numPr>
                <w:ilvl w:val="0"/>
                <w:numId w:val="40"/>
              </w:numPr>
              <w:spacing w:after="0"/>
              <w:rPr>
                <w:rFonts w:ascii="Palatino Linotype" w:hAnsi="Palatino Linotype"/>
                <w:bCs/>
                <w:color w:val="000000" w:themeColor="text1"/>
                <w:sz w:val="20"/>
              </w:rPr>
            </w:pPr>
            <w:r w:rsidRPr="00391600">
              <w:rPr>
                <w:rFonts w:ascii="Palatino Linotype" w:hAnsi="Palatino Linotype"/>
                <w:bCs/>
                <w:color w:val="000000" w:themeColor="text1"/>
                <w:sz w:val="20"/>
              </w:rPr>
              <w:lastRenderedPageBreak/>
              <w:t>Affordability: Assessed via “[c]</w:t>
            </w:r>
            <w:proofErr w:type="spellStart"/>
            <w:r w:rsidRPr="00391600">
              <w:rPr>
                <w:rFonts w:ascii="Palatino Linotype" w:hAnsi="Palatino Linotype"/>
                <w:bCs/>
                <w:color w:val="000000" w:themeColor="text1"/>
                <w:sz w:val="20"/>
              </w:rPr>
              <w:t>ost</w:t>
            </w:r>
            <w:proofErr w:type="spellEnd"/>
            <w:r w:rsidRPr="00391600">
              <w:rPr>
                <w:rFonts w:ascii="Palatino Linotype" w:hAnsi="Palatino Linotype"/>
                <w:bCs/>
                <w:color w:val="000000" w:themeColor="text1"/>
                <w:sz w:val="20"/>
              </w:rPr>
              <w:t xml:space="preserve"> savings measured by comparing all associated costs, such as capital, operations, and maintenance costs, with the baseline cost."</w:t>
            </w:r>
          </w:p>
          <w:p w:rsidRPr="00391600" w:rsidR="002F78F4" w:rsidP="003B475F" w:rsidRDefault="002F78F4" w14:paraId="6297D7CE" w14:textId="77777777">
            <w:pPr>
              <w:pStyle w:val="10sp0"/>
              <w:numPr>
                <w:ilvl w:val="0"/>
                <w:numId w:val="40"/>
              </w:numPr>
              <w:spacing w:after="0"/>
              <w:rPr>
                <w:rFonts w:ascii="Palatino Linotype" w:hAnsi="Palatino Linotype"/>
                <w:bCs/>
                <w:color w:val="000000" w:themeColor="text1"/>
                <w:sz w:val="20"/>
              </w:rPr>
            </w:pPr>
            <w:r w:rsidRPr="00391600">
              <w:rPr>
                <w:rFonts w:ascii="Palatino Linotype" w:hAnsi="Palatino Linotype"/>
                <w:bCs/>
                <w:color w:val="000000" w:themeColor="text1"/>
                <w:sz w:val="20"/>
              </w:rPr>
              <w:t>Reliability and integrity &amp; Adaptation: Assessed via "[s]</w:t>
            </w:r>
            <w:proofErr w:type="spellStart"/>
            <w:r w:rsidRPr="00391600">
              <w:rPr>
                <w:rFonts w:ascii="Palatino Linotype" w:hAnsi="Palatino Linotype"/>
                <w:bCs/>
                <w:color w:val="000000" w:themeColor="text1"/>
                <w:sz w:val="20"/>
              </w:rPr>
              <w:t>ystem</w:t>
            </w:r>
            <w:proofErr w:type="spellEnd"/>
            <w:r w:rsidRPr="00391600">
              <w:rPr>
                <w:rFonts w:ascii="Palatino Linotype" w:hAnsi="Palatino Linotype"/>
                <w:bCs/>
                <w:color w:val="000000" w:themeColor="text1"/>
                <w:sz w:val="20"/>
              </w:rPr>
              <w:t xml:space="preserve"> performance, such as time to ramp up, seamless integration, power quality, generating capacity, availability, and capacity factor."</w:t>
            </w:r>
          </w:p>
          <w:p w:rsidRPr="00391600" w:rsidR="002F78F4" w:rsidP="003B475F" w:rsidRDefault="002F78F4" w14:paraId="763EF2FE" w14:textId="77777777">
            <w:pPr>
              <w:pStyle w:val="10sp0"/>
              <w:numPr>
                <w:ilvl w:val="0"/>
                <w:numId w:val="40"/>
              </w:numPr>
              <w:spacing w:after="0"/>
              <w:rPr>
                <w:rFonts w:ascii="Palatino Linotype" w:hAnsi="Palatino Linotype"/>
                <w:bCs/>
                <w:color w:val="000000" w:themeColor="text1"/>
                <w:sz w:val="20"/>
              </w:rPr>
            </w:pPr>
            <w:r w:rsidRPr="00391600">
              <w:rPr>
                <w:rFonts w:ascii="Palatino Linotype" w:hAnsi="Palatino Linotype"/>
                <w:bCs/>
                <w:color w:val="000000" w:themeColor="text1"/>
                <w:sz w:val="20"/>
              </w:rPr>
              <w:t>Safety: Assessed via the "[n]</w:t>
            </w:r>
            <w:proofErr w:type="spellStart"/>
            <w:r w:rsidRPr="00391600">
              <w:rPr>
                <w:rFonts w:ascii="Palatino Linotype" w:hAnsi="Palatino Linotype"/>
                <w:bCs/>
                <w:color w:val="000000" w:themeColor="text1"/>
                <w:sz w:val="20"/>
              </w:rPr>
              <w:t>ature</w:t>
            </w:r>
            <w:proofErr w:type="spellEnd"/>
            <w:r w:rsidRPr="00391600">
              <w:rPr>
                <w:rFonts w:ascii="Palatino Linotype" w:hAnsi="Palatino Linotype"/>
                <w:bCs/>
                <w:color w:val="000000" w:themeColor="text1"/>
                <w:sz w:val="20"/>
              </w:rPr>
              <w:t xml:space="preserve"> and frequency of critical equipment failures, fuel leakage, and all other emissions, </w:t>
            </w:r>
            <w:proofErr w:type="gramStart"/>
            <w:r w:rsidRPr="00391600">
              <w:rPr>
                <w:rFonts w:ascii="Palatino Linotype" w:hAnsi="Palatino Linotype"/>
                <w:bCs/>
                <w:color w:val="000000" w:themeColor="text1"/>
                <w:sz w:val="20"/>
              </w:rPr>
              <w:t>gaseous</w:t>
            </w:r>
            <w:proofErr w:type="gramEnd"/>
            <w:r w:rsidRPr="00391600">
              <w:rPr>
                <w:rFonts w:ascii="Palatino Linotype" w:hAnsi="Palatino Linotype"/>
                <w:bCs/>
                <w:color w:val="000000" w:themeColor="text1"/>
                <w:sz w:val="20"/>
              </w:rPr>
              <w:t xml:space="preserve"> and otherwise, that are environmental hazards."</w:t>
            </w:r>
          </w:p>
          <w:p w:rsidRPr="00391600" w:rsidR="002F78F4" w:rsidP="003B475F" w:rsidRDefault="002F78F4" w14:paraId="67FCEF76" w14:textId="77777777">
            <w:pPr>
              <w:pStyle w:val="10sp0"/>
              <w:numPr>
                <w:ilvl w:val="0"/>
                <w:numId w:val="40"/>
              </w:numPr>
              <w:spacing w:after="0"/>
              <w:rPr>
                <w:rFonts w:ascii="Palatino Linotype" w:hAnsi="Palatino Linotype"/>
                <w:bCs/>
                <w:color w:val="000000" w:themeColor="text1"/>
                <w:sz w:val="20"/>
              </w:rPr>
            </w:pPr>
            <w:r w:rsidRPr="00391600">
              <w:rPr>
                <w:rFonts w:ascii="Palatino Linotype" w:hAnsi="Palatino Linotype"/>
                <w:bCs/>
                <w:color w:val="000000" w:themeColor="text1"/>
                <w:sz w:val="20"/>
              </w:rPr>
              <w:t>Equity and environmental sustainability: Assessed via "[r]</w:t>
            </w:r>
            <w:proofErr w:type="spellStart"/>
            <w:r w:rsidRPr="00391600">
              <w:rPr>
                <w:rFonts w:ascii="Palatino Linotype" w:hAnsi="Palatino Linotype"/>
                <w:bCs/>
                <w:color w:val="000000" w:themeColor="text1"/>
                <w:sz w:val="20"/>
              </w:rPr>
              <w:t>eduction</w:t>
            </w:r>
            <w:proofErr w:type="spellEnd"/>
            <w:r w:rsidRPr="00391600">
              <w:rPr>
                <w:rFonts w:ascii="Palatino Linotype" w:hAnsi="Palatino Linotype"/>
                <w:bCs/>
                <w:color w:val="000000" w:themeColor="text1"/>
                <w:sz w:val="20"/>
              </w:rPr>
              <w:t xml:space="preserve"> in emissions of criteria air pollution (e.g., NOx and particulate matter), GHG emissions, and lifecycle emissions."</w:t>
            </w:r>
          </w:p>
        </w:tc>
        <w:tc>
          <w:tcPr>
            <w:tcW w:w="3240" w:type="dxa"/>
          </w:tcPr>
          <w:p w:rsidRPr="00391600" w:rsidR="002F78F4" w:rsidP="00BB366A" w:rsidRDefault="00C86191" w14:paraId="6D7B5F00" w14:textId="0EB8FE8E">
            <w:pPr>
              <w:contextualSpacing/>
              <w:rPr>
                <w:rFonts w:ascii="Palatino Linotype" w:hAnsi="Palatino Linotype"/>
                <w:bCs/>
                <w:color w:val="000000" w:themeColor="text1"/>
                <w:sz w:val="20"/>
                <w:szCs w:val="20"/>
              </w:rPr>
            </w:pPr>
            <w:r w:rsidRPr="00391600">
              <w:rPr>
                <w:rFonts w:ascii="Palatino Linotype" w:hAnsi="Palatino Linotype"/>
                <w:bCs/>
                <w:sz w:val="20"/>
                <w:szCs w:val="20"/>
              </w:rPr>
              <w:lastRenderedPageBreak/>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 demonstrates attention to the Uniform Impacts Analysis Foundational Principles by selecting metrics to quantify ratepayer benefit that appear to be directly attributable to each of the proposed Initiatives.</w:t>
            </w:r>
            <w:r w:rsidRPr="00391600">
              <w:rPr>
                <w:rFonts w:ascii="Palatino Linotype" w:hAnsi="Palatino Linotype"/>
                <w:bCs/>
                <w:sz w:val="20"/>
                <w:szCs w:val="20"/>
              </w:rPr>
              <w:t xml:space="preserve"> </w:t>
            </w:r>
            <w:r w:rsidRPr="00391600">
              <w:rPr>
                <w:rFonts w:ascii="Palatino Linotype" w:hAnsi="Palatino Linotype"/>
                <w:b/>
                <w:sz w:val="20"/>
                <w:szCs w:val="20"/>
              </w:rPr>
              <w:t>The</w:t>
            </w:r>
            <w:r w:rsidRPr="00391600" w:rsidR="002F78F4">
              <w:rPr>
                <w:rFonts w:ascii="Palatino Linotype" w:hAnsi="Palatino Linotype"/>
                <w:b/>
                <w:color w:val="000000" w:themeColor="text1"/>
                <w:sz w:val="20"/>
                <w:szCs w:val="20"/>
              </w:rPr>
              <w:t xml:space="preserve"> CEC is compliant with this requirement.</w:t>
            </w:r>
          </w:p>
        </w:tc>
      </w:tr>
    </w:tbl>
    <w:p w:rsidR="000368D2" w:rsidP="002F78F4" w:rsidRDefault="000368D2" w14:paraId="3D0F6E98" w14:textId="77777777">
      <w:pPr>
        <w:rPr>
          <w:rFonts w:ascii="Palatino Linotype" w:hAnsi="Palatino Linotype"/>
          <w:b/>
          <w:color w:val="000000" w:themeColor="text1"/>
          <w:highlight w:val="yellow"/>
        </w:rPr>
      </w:pPr>
    </w:p>
    <w:p w:rsidR="002F78F4" w:rsidP="002F78F4" w:rsidRDefault="002F78F4" w14:paraId="7C8DF6CC" w14:textId="1412889A">
      <w:pPr>
        <w:rPr>
          <w:rFonts w:ascii="Palatino Linotype" w:hAnsi="Palatino Linotype"/>
          <w:b/>
          <w:color w:val="000000" w:themeColor="text1"/>
          <w:highlight w:val="yellow"/>
        </w:rPr>
      </w:pPr>
    </w:p>
    <w:p w:rsidR="002E1692" w:rsidP="002F78F4" w:rsidRDefault="002E1692" w14:paraId="431ED04D" w14:textId="77777777">
      <w:pPr>
        <w:rPr>
          <w:rFonts w:ascii="Palatino Linotype" w:hAnsi="Palatino Linotype"/>
          <w:b/>
          <w:color w:val="000000" w:themeColor="text1"/>
          <w:highlight w:val="yellow"/>
        </w:rPr>
        <w:sectPr w:rsidR="002E1692" w:rsidSect="00122075">
          <w:pgSz w:w="15840" w:h="12240" w:orient="landscape"/>
          <w:pgMar w:top="720" w:right="720" w:bottom="720" w:left="720" w:header="720" w:footer="720" w:gutter="0"/>
          <w:cols w:space="720"/>
          <w:docGrid w:linePitch="360"/>
        </w:sectPr>
      </w:pPr>
    </w:p>
    <w:p w:rsidR="002E1692" w:rsidP="002F78F4" w:rsidRDefault="002E1692" w14:paraId="726FA769" w14:textId="77777777">
      <w:pPr>
        <w:rPr>
          <w:rFonts w:ascii="Palatino Linotype" w:hAnsi="Palatino Linotype"/>
          <w:b/>
          <w:color w:val="000000" w:themeColor="text1"/>
          <w:highlight w:val="yellow"/>
        </w:rPr>
      </w:pPr>
    </w:p>
    <w:p w:rsidR="002E1692" w:rsidP="002F78F4" w:rsidRDefault="002E1692" w14:paraId="3233BE7D" w14:textId="77777777">
      <w:pPr>
        <w:rPr>
          <w:rFonts w:ascii="Palatino Linotype" w:hAnsi="Palatino Linotype"/>
          <w:b/>
          <w:color w:val="000000" w:themeColor="text1"/>
          <w:highlight w:val="yellow"/>
        </w:rPr>
      </w:pPr>
    </w:p>
    <w:p w:rsidR="002E1692" w:rsidP="002F78F4" w:rsidRDefault="002E1692" w14:paraId="0465E581" w14:textId="77777777">
      <w:pPr>
        <w:rPr>
          <w:rFonts w:ascii="Palatino Linotype" w:hAnsi="Palatino Linotype"/>
          <w:b/>
          <w:color w:val="000000" w:themeColor="text1"/>
          <w:highlight w:val="yellow"/>
        </w:rPr>
      </w:pPr>
    </w:p>
    <w:p w:rsidRPr="000D0BB2" w:rsidR="002E1692" w:rsidP="002E1692" w:rsidRDefault="002E1692" w14:paraId="3202BCBB" w14:textId="36A91C1F">
      <w:pPr>
        <w:spacing w:line="276" w:lineRule="auto"/>
        <w:jc w:val="center"/>
        <w:rPr>
          <w:rFonts w:ascii="Palatino Linotype" w:hAnsi="Palatino Linotype"/>
          <w:sz w:val="44"/>
          <w:szCs w:val="44"/>
        </w:rPr>
      </w:pPr>
      <w:r w:rsidRPr="000D0BB2">
        <w:rPr>
          <w:rFonts w:ascii="Palatino Linotype" w:hAnsi="Palatino Linotype"/>
          <w:sz w:val="44"/>
          <w:szCs w:val="44"/>
        </w:rPr>
        <w:t xml:space="preserve">APPENDIX </w:t>
      </w:r>
      <w:r>
        <w:rPr>
          <w:rFonts w:ascii="Palatino Linotype" w:hAnsi="Palatino Linotype"/>
          <w:sz w:val="44"/>
          <w:szCs w:val="44"/>
        </w:rPr>
        <w:t>H</w:t>
      </w:r>
    </w:p>
    <w:p w:rsidR="002E1692" w:rsidP="002F78F4" w:rsidRDefault="002E1692" w14:paraId="1FCA6148" w14:textId="77777777">
      <w:pPr>
        <w:rPr>
          <w:rFonts w:ascii="Palatino Linotype" w:hAnsi="Palatino Linotype"/>
          <w:b/>
          <w:color w:val="000000" w:themeColor="text1"/>
          <w:highlight w:val="yellow"/>
        </w:rPr>
      </w:pPr>
    </w:p>
    <w:p w:rsidR="002E1692" w:rsidP="002F78F4" w:rsidRDefault="002E1692" w14:paraId="1542E2E1" w14:textId="77777777">
      <w:pPr>
        <w:rPr>
          <w:rFonts w:ascii="Palatino Linotype" w:hAnsi="Palatino Linotype"/>
          <w:b/>
          <w:color w:val="000000" w:themeColor="text1"/>
          <w:highlight w:val="yellow"/>
        </w:rPr>
      </w:pPr>
    </w:p>
    <w:p w:rsidR="002E1692" w:rsidP="002F78F4" w:rsidRDefault="002E1692" w14:paraId="5422439A" w14:textId="77777777">
      <w:pPr>
        <w:rPr>
          <w:rFonts w:ascii="Palatino Linotype" w:hAnsi="Palatino Linotype"/>
          <w:b/>
          <w:color w:val="000000" w:themeColor="text1"/>
          <w:highlight w:val="yellow"/>
        </w:rPr>
        <w:sectPr w:rsidR="002E1692" w:rsidSect="00F715BA">
          <w:footerReference w:type="default" r:id="rId95"/>
          <w:pgSz w:w="15840" w:h="12240" w:orient="landscape"/>
          <w:pgMar w:top="720" w:right="720" w:bottom="720" w:left="720" w:header="720" w:footer="720" w:gutter="0"/>
          <w:pgNumType w:start="1"/>
          <w:cols w:space="720"/>
          <w:docGrid w:linePitch="360"/>
        </w:sectPr>
      </w:pPr>
    </w:p>
    <w:p w:rsidRPr="00391600" w:rsidR="002F78F4" w:rsidP="002F78F4" w:rsidRDefault="002F78F4" w14:paraId="6D41D87B" w14:textId="0C1FF1C4">
      <w:pPr>
        <w:spacing w:line="240" w:lineRule="auto"/>
        <w:rPr>
          <w:rFonts w:ascii="Palatino Linotype" w:hAnsi="Palatino Linotype"/>
          <w:b/>
          <w:bCs/>
          <w:color w:val="000000" w:themeColor="text1"/>
        </w:rPr>
      </w:pPr>
      <w:r w:rsidRPr="00391600">
        <w:rPr>
          <w:rFonts w:ascii="Palatino Linotype" w:hAnsi="Palatino Linotype"/>
          <w:b/>
          <w:color w:val="000000" w:themeColor="text1"/>
        </w:rPr>
        <w:lastRenderedPageBreak/>
        <w:t xml:space="preserve">APPENDIX </w:t>
      </w:r>
      <w:r w:rsidRPr="00391600" w:rsidR="000E0EBD">
        <w:rPr>
          <w:rFonts w:ascii="Palatino Linotype" w:hAnsi="Palatino Linotype"/>
          <w:b/>
          <w:color w:val="000000" w:themeColor="text1"/>
        </w:rPr>
        <w:t>H</w:t>
      </w:r>
      <w:r w:rsidRPr="00391600">
        <w:rPr>
          <w:rFonts w:ascii="Palatino Linotype" w:hAnsi="Palatino Linotype"/>
          <w:b/>
          <w:color w:val="000000" w:themeColor="text1"/>
        </w:rPr>
        <w:t>: Compliance Assessment of Advice Letter 10-G-A – 2025 Plan</w:t>
      </w:r>
    </w:p>
    <w:tbl>
      <w:tblPr>
        <w:tblStyle w:val="TableGrid"/>
        <w:tblW w:w="0" w:type="auto"/>
        <w:tblLook w:val="04A0" w:firstRow="1" w:lastRow="0" w:firstColumn="1" w:lastColumn="0" w:noHBand="0" w:noVBand="1"/>
      </w:tblPr>
      <w:tblGrid>
        <w:gridCol w:w="3145"/>
        <w:gridCol w:w="7920"/>
        <w:gridCol w:w="3240"/>
      </w:tblGrid>
      <w:tr w:rsidRPr="00391600" w:rsidR="002F78F4" w:rsidTr="6FAFEDE3" w14:paraId="42A0E2C3" w14:textId="77777777">
        <w:trPr>
          <w:trHeight w:val="340"/>
          <w:tblHeader/>
        </w:trPr>
        <w:tc>
          <w:tcPr>
            <w:tcW w:w="3145" w:type="dxa"/>
            <w:vAlign w:val="center"/>
          </w:tcPr>
          <w:p w:rsidRPr="00391600" w:rsidR="002F78F4" w:rsidP="00BB366A" w:rsidRDefault="002F78F4" w14:paraId="121AE7F0" w14:textId="77777777">
            <w:pPr>
              <w:rPr>
                <w:rFonts w:ascii="Palatino Linotype" w:hAnsi="Palatino Linotype"/>
                <w:b/>
                <w:bCs/>
                <w:sz w:val="20"/>
                <w:szCs w:val="20"/>
              </w:rPr>
            </w:pPr>
            <w:r w:rsidRPr="00391600">
              <w:rPr>
                <w:rFonts w:ascii="Palatino Linotype" w:hAnsi="Palatino Linotype"/>
                <w:b/>
                <w:sz w:val="20"/>
                <w:szCs w:val="20"/>
              </w:rPr>
              <w:t>CPUC Requirement</w:t>
            </w:r>
          </w:p>
        </w:tc>
        <w:tc>
          <w:tcPr>
            <w:tcW w:w="7920" w:type="dxa"/>
            <w:vAlign w:val="center"/>
          </w:tcPr>
          <w:p w:rsidRPr="00391600" w:rsidR="002F78F4" w:rsidP="00BB366A" w:rsidRDefault="002F78F4" w14:paraId="2D40A267" w14:textId="77777777">
            <w:pPr>
              <w:rPr>
                <w:rFonts w:ascii="Palatino Linotype" w:hAnsi="Palatino Linotype"/>
                <w:b/>
                <w:bCs/>
                <w:sz w:val="20"/>
                <w:szCs w:val="20"/>
              </w:rPr>
            </w:pPr>
            <w:r w:rsidRPr="00391600">
              <w:rPr>
                <w:rFonts w:ascii="Palatino Linotype" w:hAnsi="Palatino Linotype"/>
                <w:b/>
                <w:sz w:val="20"/>
                <w:szCs w:val="20"/>
              </w:rPr>
              <w:t>CEC Response in AL 10-G-A</w:t>
            </w:r>
          </w:p>
        </w:tc>
        <w:tc>
          <w:tcPr>
            <w:tcW w:w="3240" w:type="dxa"/>
            <w:vAlign w:val="center"/>
          </w:tcPr>
          <w:p w:rsidRPr="00391600" w:rsidR="002F78F4" w:rsidP="00BB366A" w:rsidRDefault="002F78F4" w14:paraId="23A31672" w14:textId="77777777">
            <w:pPr>
              <w:rPr>
                <w:rFonts w:ascii="Palatino Linotype" w:hAnsi="Palatino Linotype"/>
                <w:b/>
                <w:bCs/>
                <w:color w:val="EE0000"/>
                <w:sz w:val="20"/>
                <w:szCs w:val="20"/>
              </w:rPr>
            </w:pPr>
            <w:r w:rsidRPr="00391600">
              <w:rPr>
                <w:rFonts w:ascii="Palatino Linotype" w:hAnsi="Palatino Linotype"/>
                <w:b/>
                <w:sz w:val="20"/>
                <w:szCs w:val="20"/>
              </w:rPr>
              <w:t>Compliance Assessment</w:t>
            </w:r>
          </w:p>
        </w:tc>
      </w:tr>
      <w:tr w:rsidRPr="00391600" w:rsidR="002F78F4" w:rsidTr="6FAFEDE3" w14:paraId="253A269C" w14:textId="77777777">
        <w:trPr>
          <w:trHeight w:val="655"/>
        </w:trPr>
        <w:tc>
          <w:tcPr>
            <w:tcW w:w="3145" w:type="dxa"/>
          </w:tcPr>
          <w:p w:rsidRPr="00391600" w:rsidR="002F78F4" w:rsidP="00BB366A" w:rsidRDefault="002F78F4" w14:paraId="31283A64" w14:textId="77777777">
            <w:pPr>
              <w:rPr>
                <w:rFonts w:ascii="Palatino Linotype" w:hAnsi="Palatino Linotype"/>
                <w:i/>
                <w:iCs/>
                <w:sz w:val="20"/>
                <w:szCs w:val="20"/>
              </w:rPr>
            </w:pPr>
            <w:r w:rsidRPr="00391600">
              <w:rPr>
                <w:rFonts w:ascii="Palatino Linotype" w:hAnsi="Palatino Linotype"/>
                <w:b/>
                <w:bCs/>
                <w:sz w:val="20"/>
                <w:szCs w:val="20"/>
              </w:rPr>
              <w:t>Public Utilities Code 740.1</w:t>
            </w:r>
            <w:r w:rsidRPr="00391600">
              <w:rPr>
                <w:rFonts w:ascii="Palatino Linotype" w:hAnsi="Palatino Linotype"/>
                <w:sz w:val="20"/>
                <w:szCs w:val="20"/>
              </w:rPr>
              <w:t xml:space="preserve"> at </w:t>
            </w:r>
            <w:r w:rsidRPr="00391600">
              <w:rPr>
                <w:rFonts w:ascii="Palatino Linotype" w:hAnsi="Palatino Linotype" w:eastAsia="Palatino Linotype" w:cs="Times New Roman"/>
                <w:bCs/>
                <w:color w:val="000000" w:themeColor="text1"/>
                <w:kern w:val="0"/>
                <w:sz w:val="20"/>
                <w:szCs w:val="20"/>
                <w14:ligatures w14:val="none"/>
              </w:rPr>
              <w:t>(d)</w:t>
            </w:r>
            <w:r w:rsidRPr="00391600">
              <w:rPr>
                <w:rFonts w:ascii="Palatino Linotype" w:hAnsi="Palatino Linotype" w:eastAsia="Palatino Linotype" w:cs="Times New Roman"/>
                <w:bCs/>
                <w:i/>
                <w:iCs/>
                <w:color w:val="000000" w:themeColor="text1"/>
                <w:kern w:val="0"/>
                <w:sz w:val="20"/>
                <w:szCs w:val="20"/>
                <w14:ligatures w14:val="none"/>
              </w:rPr>
              <w:t xml:space="preserve"> Projects should not unnecessarily duplicate research currently, previously, or imminently undertaken by other electrical or gas corporations or research organizations.</w:t>
            </w:r>
          </w:p>
        </w:tc>
        <w:tc>
          <w:tcPr>
            <w:tcW w:w="7920" w:type="dxa"/>
          </w:tcPr>
          <w:p w:rsidRPr="00391600" w:rsidR="002F78F4" w:rsidP="00BB366A" w:rsidRDefault="002F78F4" w14:paraId="6F54E937"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1.</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Social Science Research for Gas Decommissioning in the Mid and Long Term</w:t>
            </w:r>
            <w:r w:rsidRPr="00391600">
              <w:rPr>
                <w:rFonts w:ascii="Palatino Linotype" w:hAnsi="Palatino Linotype"/>
                <w:bCs/>
                <w:color w:val="000000" w:themeColor="text1"/>
                <w:sz w:val="20"/>
                <w:szCs w:val="20"/>
              </w:rPr>
              <w:t xml:space="preserve">: See CEC Response in AL 10-G-A to </w:t>
            </w:r>
            <w:hyperlink w:history="1" r:id="rId96">
              <w:r w:rsidRPr="00391600">
                <w:rPr>
                  <w:rStyle w:val="Hyperlink"/>
                  <w:rFonts w:ascii="Palatino Linotype" w:hAnsi="Palatino Linotype"/>
                  <w:bCs/>
                  <w:sz w:val="20"/>
                  <w:szCs w:val="20"/>
                </w:rPr>
                <w:t>Resolution G-3603</w:t>
              </w:r>
            </w:hyperlink>
            <w:r w:rsidRPr="00391600">
              <w:rPr>
                <w:rFonts w:ascii="Palatino Linotype" w:hAnsi="Palatino Linotype"/>
                <w:bCs/>
                <w:color w:val="000000" w:themeColor="text1"/>
                <w:sz w:val="20"/>
                <w:szCs w:val="20"/>
              </w:rPr>
              <w:t xml:space="preserve"> (2024) at OP 4.</w:t>
            </w:r>
          </w:p>
          <w:p w:rsidRPr="00391600" w:rsidR="002F78F4" w:rsidP="00BB366A" w:rsidRDefault="002F78F4" w14:paraId="2783C97C"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Pilot Projects to Advance Gas Decommissioning</w:t>
            </w:r>
            <w:r w:rsidRPr="00391600">
              <w:rPr>
                <w:rFonts w:ascii="Palatino Linotype" w:hAnsi="Palatino Linotype"/>
                <w:bCs/>
                <w:color w:val="000000" w:themeColor="text1"/>
                <w:sz w:val="20"/>
                <w:szCs w:val="20"/>
              </w:rPr>
              <w:t xml:space="preserve">: See CEC Response in AL 10-G-A to </w:t>
            </w:r>
            <w:hyperlink w:history="1" r:id="rId97">
              <w:r w:rsidRPr="00391600">
                <w:rPr>
                  <w:rStyle w:val="Hyperlink"/>
                  <w:rFonts w:ascii="Palatino Linotype" w:hAnsi="Palatino Linotype"/>
                  <w:bCs/>
                  <w:sz w:val="20"/>
                  <w:szCs w:val="20"/>
                </w:rPr>
                <w:t>Resolution G-3603</w:t>
              </w:r>
            </w:hyperlink>
            <w:r w:rsidRPr="00391600">
              <w:rPr>
                <w:rFonts w:ascii="Palatino Linotype" w:hAnsi="Palatino Linotype"/>
                <w:bCs/>
                <w:color w:val="000000" w:themeColor="text1"/>
                <w:sz w:val="20"/>
                <w:szCs w:val="20"/>
              </w:rPr>
              <w:t xml:space="preserve"> (2024) at OP 4.</w:t>
            </w:r>
          </w:p>
          <w:p w:rsidRPr="00391600" w:rsidR="002F78F4" w:rsidP="00BB366A" w:rsidRDefault="002F78F4" w14:paraId="05D5601C" w14:textId="77777777">
            <w:pPr>
              <w:rPr>
                <w:rFonts w:ascii="Palatino Linotype" w:hAnsi="Palatino Linotype"/>
                <w:bCs/>
                <w:color w:val="A6A6A6" w:themeColor="background1" w:themeShade="A6"/>
                <w:sz w:val="20"/>
                <w:szCs w:val="20"/>
              </w:rPr>
            </w:pPr>
            <w:r w:rsidRPr="00391600">
              <w:rPr>
                <w:rFonts w:ascii="Palatino Linotype" w:hAnsi="Palatino Linotype"/>
                <w:b/>
                <w:color w:val="000000" w:themeColor="text1"/>
                <w:sz w:val="20"/>
                <w:szCs w:val="20"/>
              </w:rPr>
              <w:t xml:space="preserve">    3.</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Networked Geothermal Heat Pumps</w:t>
            </w:r>
            <w:r w:rsidRPr="00391600">
              <w:rPr>
                <w:rFonts w:ascii="Palatino Linotype" w:hAnsi="Palatino Linotype"/>
                <w:bCs/>
                <w:color w:val="000000" w:themeColor="text1"/>
                <w:sz w:val="20"/>
                <w:szCs w:val="20"/>
              </w:rPr>
              <w:t>: CEC notes that "[p]</w:t>
            </w:r>
            <w:proofErr w:type="spellStart"/>
            <w:r w:rsidRPr="00391600">
              <w:rPr>
                <w:rFonts w:ascii="Palatino Linotype" w:hAnsi="Palatino Linotype"/>
                <w:bCs/>
                <w:color w:val="000000" w:themeColor="text1"/>
                <w:sz w:val="20"/>
                <w:szCs w:val="20"/>
              </w:rPr>
              <w:t>revious</w:t>
            </w:r>
            <w:proofErr w:type="spellEnd"/>
            <w:r w:rsidRPr="00391600">
              <w:rPr>
                <w:rFonts w:ascii="Palatino Linotype" w:hAnsi="Palatino Linotype"/>
                <w:bCs/>
                <w:color w:val="000000" w:themeColor="text1"/>
                <w:sz w:val="20"/>
                <w:szCs w:val="20"/>
              </w:rPr>
              <w:t xml:space="preserve"> CEC-funded research has assessed the potential for ground-source heat pump systems in California buildings and found promising energy and emissions benefits (</w:t>
            </w:r>
            <w:r w:rsidRPr="00391600">
              <w:rPr>
                <w:rFonts w:ascii="Palatino Linotype" w:hAnsi="Palatino Linotype"/>
                <w:bCs/>
                <w:i/>
                <w:iCs/>
                <w:color w:val="000000" w:themeColor="text1"/>
                <w:sz w:val="20"/>
                <w:szCs w:val="20"/>
              </w:rPr>
              <w:t xml:space="preserve">Assessment of California’s Low Temperature Geothermal Resources: </w:t>
            </w:r>
            <w:proofErr w:type="gramStart"/>
            <w:r w:rsidRPr="00391600">
              <w:rPr>
                <w:rFonts w:ascii="Palatino Linotype" w:hAnsi="Palatino Linotype"/>
                <w:bCs/>
                <w:i/>
                <w:iCs/>
                <w:color w:val="000000" w:themeColor="text1"/>
                <w:sz w:val="20"/>
                <w:szCs w:val="20"/>
              </w:rPr>
              <w:t>Geothermal Heat</w:t>
            </w:r>
            <w:proofErr w:type="gramEnd"/>
            <w:r w:rsidRPr="00391600">
              <w:rPr>
                <w:rFonts w:ascii="Palatino Linotype" w:hAnsi="Palatino Linotype"/>
                <w:bCs/>
                <w:i/>
                <w:iCs/>
                <w:color w:val="000000" w:themeColor="text1"/>
                <w:sz w:val="20"/>
                <w:szCs w:val="20"/>
              </w:rPr>
              <w:t xml:space="preserve"> Pump Efficiencies by Region</w:t>
            </w:r>
            <w:r w:rsidRPr="00391600">
              <w:rPr>
                <w:rFonts w:ascii="Palatino Linotype" w:hAnsi="Palatino Linotype"/>
                <w:bCs/>
                <w:color w:val="000000" w:themeColor="text1"/>
                <w:sz w:val="20"/>
                <w:szCs w:val="20"/>
              </w:rPr>
              <w:t>). However, the networked GHP concept is a recently developed model that has not yet been studied for the associated potential in the context of California’s climate, geology, population, and policy landscape, nor brought to the pilot phase, and it may yield significant additional benefits."</w:t>
            </w:r>
          </w:p>
        </w:tc>
        <w:tc>
          <w:tcPr>
            <w:tcW w:w="3240" w:type="dxa"/>
          </w:tcPr>
          <w:p w:rsidRPr="00391600" w:rsidR="002F78F4" w:rsidP="00BB366A" w:rsidRDefault="002F78F4" w14:paraId="65D4BF47" w14:textId="1C20A00B">
            <w:pPr>
              <w:rPr>
                <w:rFonts w:ascii="Palatino Linotype" w:hAnsi="Palatino Linotype"/>
                <w:b/>
                <w:sz w:val="20"/>
                <w:szCs w:val="20"/>
              </w:rPr>
            </w:pPr>
            <w:r w:rsidRPr="00391600">
              <w:rPr>
                <w:rFonts w:ascii="Palatino Linotype" w:hAnsi="Palatino Linotype"/>
                <w:b/>
                <w:sz w:val="20"/>
                <w:szCs w:val="20"/>
              </w:rPr>
              <w:t xml:space="preserve">    1</w:t>
            </w:r>
            <w:r w:rsidRPr="00391600">
              <w:rPr>
                <w:rFonts w:ascii="Palatino Linotype" w:hAnsi="Palatino Linotype"/>
                <w:bCs/>
                <w:sz w:val="20"/>
                <w:szCs w:val="20"/>
              </w:rPr>
              <w:t xml:space="preserve">. </w:t>
            </w:r>
            <w:r w:rsidRPr="00391600" w:rsidR="001120BF">
              <w:rPr>
                <w:rFonts w:ascii="Palatino Linotype" w:hAnsi="Palatino Linotype"/>
                <w:bCs/>
                <w:sz w:val="20"/>
                <w:szCs w:val="20"/>
              </w:rPr>
              <w:t xml:space="preserve">The </w:t>
            </w:r>
            <w:r w:rsidRPr="00391600">
              <w:rPr>
                <w:rFonts w:ascii="Palatino Linotype" w:hAnsi="Palatino Linotype"/>
                <w:bCs/>
                <w:sz w:val="20"/>
                <w:szCs w:val="20"/>
              </w:rPr>
              <w:t xml:space="preserve">CEC sufficiently details and contrasts similar RD&amp;D activities conducted (previously) by CEC, E3, </w:t>
            </w:r>
            <w:r w:rsidRPr="00391600" w:rsidR="00D86396">
              <w:rPr>
                <w:rFonts w:ascii="Palatino Linotype" w:hAnsi="Palatino Linotype"/>
                <w:bCs/>
                <w:color w:val="000000" w:themeColor="text1"/>
                <w:sz w:val="20"/>
                <w:szCs w:val="20"/>
              </w:rPr>
              <w:t>SoCalGas</w:t>
            </w:r>
            <w:r w:rsidRPr="00391600">
              <w:rPr>
                <w:rFonts w:ascii="Palatino Linotype" w:hAnsi="Palatino Linotype"/>
                <w:bCs/>
                <w:sz w:val="20"/>
                <w:szCs w:val="20"/>
              </w:rPr>
              <w:t xml:space="preserve">, and PG&amp;E. See: Compliance Assessment of </w:t>
            </w:r>
            <w:hyperlink w:history="1" r:id="rId98">
              <w:r w:rsidRPr="00391600">
                <w:rPr>
                  <w:rStyle w:val="Hyperlink"/>
                  <w:rFonts w:ascii="Palatino Linotype" w:hAnsi="Palatino Linotype"/>
                  <w:bCs/>
                  <w:sz w:val="20"/>
                  <w:szCs w:val="20"/>
                </w:rPr>
                <w:t>Resolution G-3603</w:t>
              </w:r>
            </w:hyperlink>
            <w:r w:rsidRPr="00391600">
              <w:rPr>
                <w:rFonts w:ascii="Palatino Linotype" w:hAnsi="Palatino Linotype"/>
                <w:bCs/>
                <w:sz w:val="20"/>
                <w:szCs w:val="20"/>
              </w:rPr>
              <w:t xml:space="preserve"> (2024) at OP 4. </w:t>
            </w:r>
            <w:r w:rsidRPr="00391600" w:rsidR="001120BF">
              <w:rPr>
                <w:rFonts w:ascii="Palatino Linotype" w:hAnsi="Palatino Linotype"/>
                <w:b/>
                <w:sz w:val="20"/>
                <w:szCs w:val="20"/>
              </w:rPr>
              <w:t>The</w:t>
            </w:r>
            <w:r w:rsidRPr="00391600" w:rsidR="001120BF">
              <w:rPr>
                <w:rFonts w:ascii="Palatino Linotype" w:hAnsi="Palatino Linotype"/>
                <w:b/>
                <w:color w:val="000000" w:themeColor="text1"/>
                <w:sz w:val="20"/>
                <w:szCs w:val="20"/>
              </w:rPr>
              <w:t xml:space="preserve"> </w:t>
            </w:r>
            <w:r w:rsidRPr="00391600">
              <w:rPr>
                <w:rFonts w:ascii="Palatino Linotype" w:hAnsi="Palatino Linotype"/>
                <w:b/>
                <w:color w:val="000000" w:themeColor="text1"/>
                <w:sz w:val="20"/>
                <w:szCs w:val="20"/>
              </w:rPr>
              <w:t>CEC is compliant with this requirement.</w:t>
            </w:r>
          </w:p>
          <w:p w:rsidRPr="00391600" w:rsidR="002F78F4" w:rsidP="00BB366A" w:rsidRDefault="002F78F4" w14:paraId="2DBAEDF8" w14:textId="76255637">
            <w:pPr>
              <w:rPr>
                <w:rFonts w:ascii="Palatino Linotype" w:hAnsi="Palatino Linotype"/>
                <w:bCs/>
                <w:sz w:val="20"/>
                <w:szCs w:val="20"/>
              </w:rPr>
            </w:pPr>
            <w:r w:rsidRPr="00391600">
              <w:rPr>
                <w:rFonts w:ascii="Palatino Linotype" w:hAnsi="Palatino Linotype"/>
                <w:b/>
                <w:sz w:val="20"/>
                <w:szCs w:val="20"/>
              </w:rPr>
              <w:t xml:space="preserve">    2. </w:t>
            </w:r>
            <w:r w:rsidRPr="00391600" w:rsidR="001120BF">
              <w:rPr>
                <w:rFonts w:ascii="Palatino Linotype" w:hAnsi="Palatino Linotype"/>
                <w:bCs/>
                <w:sz w:val="20"/>
                <w:szCs w:val="20"/>
              </w:rPr>
              <w:t xml:space="preserve">The </w:t>
            </w:r>
            <w:r w:rsidRPr="00391600">
              <w:rPr>
                <w:rFonts w:ascii="Palatino Linotype" w:hAnsi="Palatino Linotype"/>
                <w:bCs/>
                <w:sz w:val="20"/>
                <w:szCs w:val="20"/>
              </w:rPr>
              <w:t xml:space="preserve">CEC sufficiently details and contrasts activities associated with SB 1221 and similar RD&amp;D activities conducted by CEC, E3, </w:t>
            </w:r>
            <w:r w:rsidRPr="00391600" w:rsidR="00D86396">
              <w:rPr>
                <w:rFonts w:ascii="Palatino Linotype" w:hAnsi="Palatino Linotype"/>
                <w:bCs/>
                <w:color w:val="000000" w:themeColor="text1"/>
                <w:sz w:val="20"/>
                <w:szCs w:val="20"/>
              </w:rPr>
              <w:t>SoCalGas</w:t>
            </w:r>
            <w:r w:rsidRPr="00391600">
              <w:rPr>
                <w:rFonts w:ascii="Palatino Linotype" w:hAnsi="Palatino Linotype"/>
                <w:bCs/>
                <w:sz w:val="20"/>
                <w:szCs w:val="20"/>
              </w:rPr>
              <w:t xml:space="preserve">, and PG&amp;E. See: Compliance Assessment of </w:t>
            </w:r>
            <w:hyperlink w:history="1" r:id="rId99">
              <w:r w:rsidRPr="00391600">
                <w:rPr>
                  <w:rStyle w:val="Hyperlink"/>
                  <w:rFonts w:ascii="Palatino Linotype" w:hAnsi="Palatino Linotype"/>
                  <w:bCs/>
                  <w:sz w:val="20"/>
                  <w:szCs w:val="20"/>
                </w:rPr>
                <w:t>Resolution G-3603</w:t>
              </w:r>
            </w:hyperlink>
            <w:r w:rsidRPr="00391600">
              <w:rPr>
                <w:rFonts w:ascii="Palatino Linotype" w:hAnsi="Palatino Linotype"/>
                <w:bCs/>
                <w:sz w:val="20"/>
                <w:szCs w:val="20"/>
              </w:rPr>
              <w:t xml:space="preserve"> (2024) at OP 4. </w:t>
            </w:r>
            <w:r w:rsidRPr="00391600" w:rsidR="001120BF">
              <w:rPr>
                <w:rFonts w:ascii="Palatino Linotype" w:hAnsi="Palatino Linotype"/>
                <w:b/>
                <w:sz w:val="20"/>
                <w:szCs w:val="20"/>
              </w:rPr>
              <w:t>The</w:t>
            </w:r>
            <w:r w:rsidRPr="00391600" w:rsidR="001120BF">
              <w:rPr>
                <w:rFonts w:ascii="Palatino Linotype" w:hAnsi="Palatino Linotype"/>
                <w:b/>
                <w:color w:val="000000" w:themeColor="text1"/>
                <w:sz w:val="20"/>
                <w:szCs w:val="20"/>
              </w:rPr>
              <w:t xml:space="preserve"> </w:t>
            </w:r>
            <w:r w:rsidRPr="00391600">
              <w:rPr>
                <w:rFonts w:ascii="Palatino Linotype" w:hAnsi="Palatino Linotype"/>
                <w:b/>
                <w:color w:val="000000" w:themeColor="text1"/>
                <w:sz w:val="20"/>
                <w:szCs w:val="20"/>
              </w:rPr>
              <w:t>CEC is compliant with this requirement.</w:t>
            </w:r>
          </w:p>
          <w:p w:rsidRPr="00391600" w:rsidR="002F78F4" w:rsidP="00BB366A" w:rsidRDefault="002F78F4" w14:paraId="77482180" w14:textId="1B380452">
            <w:pPr>
              <w:rPr>
                <w:rFonts w:ascii="Palatino Linotype" w:hAnsi="Palatino Linotype"/>
                <w:bCs/>
                <w:sz w:val="20"/>
                <w:szCs w:val="20"/>
              </w:rPr>
            </w:pPr>
            <w:r w:rsidRPr="00391600">
              <w:rPr>
                <w:rFonts w:ascii="Palatino Linotype" w:hAnsi="Palatino Linotype"/>
                <w:bCs/>
                <w:sz w:val="20"/>
                <w:szCs w:val="20"/>
              </w:rPr>
              <w:t xml:space="preserve">   </w:t>
            </w:r>
            <w:r w:rsidRPr="00391600">
              <w:rPr>
                <w:rFonts w:ascii="Palatino Linotype" w:hAnsi="Palatino Linotype"/>
                <w:b/>
                <w:sz w:val="20"/>
                <w:szCs w:val="20"/>
              </w:rPr>
              <w:t xml:space="preserve"> 3</w:t>
            </w:r>
            <w:r w:rsidRPr="00391600">
              <w:rPr>
                <w:rFonts w:ascii="Palatino Linotype" w:hAnsi="Palatino Linotype"/>
                <w:bCs/>
                <w:sz w:val="20"/>
                <w:szCs w:val="20"/>
              </w:rPr>
              <w:t>. Though</w:t>
            </w:r>
            <w:r w:rsidRPr="00391600" w:rsidR="001120BF">
              <w:rPr>
                <w:rFonts w:ascii="Palatino Linotype" w:hAnsi="Palatino Linotype"/>
                <w:bCs/>
                <w:sz w:val="20"/>
                <w:szCs w:val="20"/>
              </w:rPr>
              <w:t xml:space="preserve"> the</w:t>
            </w:r>
            <w:r w:rsidRPr="00391600">
              <w:rPr>
                <w:rFonts w:ascii="Palatino Linotype" w:hAnsi="Palatino Linotype"/>
                <w:bCs/>
                <w:sz w:val="20"/>
                <w:szCs w:val="20"/>
              </w:rPr>
              <w:t xml:space="preserve"> CEC discusses one previously funded CEC research study, </w:t>
            </w:r>
            <w:r w:rsidRPr="00391600" w:rsidR="001120BF">
              <w:rPr>
                <w:rFonts w:ascii="Palatino Linotype" w:hAnsi="Palatino Linotype"/>
                <w:bCs/>
                <w:sz w:val="20"/>
                <w:szCs w:val="20"/>
              </w:rPr>
              <w:t xml:space="preserve">the </w:t>
            </w:r>
            <w:r w:rsidRPr="00391600">
              <w:rPr>
                <w:rFonts w:ascii="Palatino Linotype" w:hAnsi="Palatino Linotype"/>
                <w:bCs/>
                <w:sz w:val="20"/>
                <w:szCs w:val="20"/>
              </w:rPr>
              <w:t xml:space="preserve">CEC does not discuss and differentiate other geothermal-related CEC RD&amp;D Initiatives proposed and underway in this program and EPIC. </w:t>
            </w:r>
            <w:r w:rsidRPr="00391600" w:rsidR="001120BF">
              <w:rPr>
                <w:rFonts w:ascii="Palatino Linotype" w:hAnsi="Palatino Linotype"/>
                <w:b/>
                <w:sz w:val="20"/>
                <w:szCs w:val="20"/>
              </w:rPr>
              <w:t>The</w:t>
            </w:r>
            <w:r w:rsidRPr="00391600" w:rsidR="001120BF">
              <w:rPr>
                <w:rFonts w:ascii="Palatino Linotype" w:hAnsi="Palatino Linotype"/>
                <w:bCs/>
                <w:sz w:val="20"/>
                <w:szCs w:val="20"/>
              </w:rPr>
              <w:t xml:space="preserve"> </w:t>
            </w:r>
            <w:r w:rsidRPr="00391600">
              <w:rPr>
                <w:rFonts w:ascii="Palatino Linotype" w:hAnsi="Palatino Linotype"/>
                <w:b/>
                <w:sz w:val="20"/>
                <w:szCs w:val="20"/>
              </w:rPr>
              <w:t xml:space="preserve">CEC is </w:t>
            </w:r>
            <w:r w:rsidRPr="00391600">
              <w:rPr>
                <w:rFonts w:ascii="Palatino Linotype" w:hAnsi="Palatino Linotype"/>
                <w:b/>
                <w:i/>
                <w:iCs/>
                <w:sz w:val="20"/>
                <w:szCs w:val="20"/>
              </w:rPr>
              <w:t xml:space="preserve">not </w:t>
            </w:r>
            <w:r w:rsidRPr="00391600">
              <w:rPr>
                <w:rFonts w:ascii="Palatino Linotype" w:hAnsi="Palatino Linotype"/>
                <w:b/>
                <w:sz w:val="20"/>
                <w:szCs w:val="20"/>
              </w:rPr>
              <w:t>compliant with this requirement.</w:t>
            </w:r>
          </w:p>
        </w:tc>
      </w:tr>
      <w:tr w:rsidRPr="00391600" w:rsidR="002F78F4" w:rsidTr="6FAFEDE3" w14:paraId="6F3C3FC0" w14:textId="77777777">
        <w:trPr>
          <w:trHeight w:val="638"/>
        </w:trPr>
        <w:tc>
          <w:tcPr>
            <w:tcW w:w="3145" w:type="dxa"/>
          </w:tcPr>
          <w:p w:rsidRPr="00391600" w:rsidR="002F78F4" w:rsidP="00BB366A" w:rsidRDefault="002F78F4" w14:paraId="42E7F2EF" w14:textId="77777777">
            <w:pPr>
              <w:rPr>
                <w:rFonts w:ascii="Palatino Linotype" w:hAnsi="Palatino Linotype"/>
                <w:i/>
                <w:iCs/>
                <w:sz w:val="20"/>
                <w:szCs w:val="20"/>
              </w:rPr>
            </w:pPr>
            <w:r w:rsidRPr="00391600">
              <w:rPr>
                <w:rFonts w:ascii="Palatino Linotype" w:hAnsi="Palatino Linotype"/>
                <w:b/>
                <w:bCs/>
                <w:sz w:val="20"/>
                <w:szCs w:val="20"/>
              </w:rPr>
              <w:t>Public Utilities Code 740.1</w:t>
            </w:r>
            <w:r w:rsidRPr="00391600">
              <w:rPr>
                <w:rFonts w:ascii="Palatino Linotype" w:hAnsi="Palatino Linotype"/>
                <w:sz w:val="20"/>
                <w:szCs w:val="20"/>
              </w:rPr>
              <w:t xml:space="preserve"> at </w:t>
            </w:r>
            <w:r w:rsidRPr="00391600">
              <w:rPr>
                <w:rFonts w:ascii="Palatino Linotype" w:hAnsi="Palatino Linotype"/>
                <w:bCs/>
                <w:sz w:val="20"/>
                <w:szCs w:val="20"/>
              </w:rPr>
              <w:t>(e)</w:t>
            </w:r>
            <w:r w:rsidRPr="00391600">
              <w:rPr>
                <w:rFonts w:ascii="Palatino Linotype" w:hAnsi="Palatino Linotype"/>
                <w:bCs/>
                <w:i/>
                <w:iCs/>
                <w:sz w:val="20"/>
                <w:szCs w:val="20"/>
              </w:rPr>
              <w:t xml:space="preserve"> Each project should also support one or more of the following objectives:</w:t>
            </w:r>
          </w:p>
          <w:p w:rsidRPr="00391600" w:rsidR="002F78F4" w:rsidP="003B475F" w:rsidRDefault="002F78F4" w14:paraId="575F8082" w14:textId="77777777">
            <w:pPr>
              <w:pStyle w:val="ListParagraph"/>
              <w:numPr>
                <w:ilvl w:val="0"/>
                <w:numId w:val="29"/>
              </w:numPr>
              <w:rPr>
                <w:rFonts w:ascii="Palatino Linotype" w:hAnsi="Palatino Linotype"/>
                <w:bCs/>
                <w:i/>
                <w:iCs/>
                <w:sz w:val="20"/>
                <w:szCs w:val="20"/>
              </w:rPr>
            </w:pPr>
            <w:r w:rsidRPr="00391600">
              <w:rPr>
                <w:rFonts w:ascii="Palatino Linotype" w:hAnsi="Palatino Linotype"/>
                <w:bCs/>
                <w:i/>
                <w:iCs/>
                <w:sz w:val="20"/>
                <w:szCs w:val="20"/>
              </w:rPr>
              <w:t>Environmental improvement.</w:t>
            </w:r>
          </w:p>
          <w:p w:rsidRPr="00391600" w:rsidR="002F78F4" w:rsidP="003B475F" w:rsidRDefault="002F78F4" w14:paraId="05D1D239" w14:textId="77777777">
            <w:pPr>
              <w:pStyle w:val="ListParagraph"/>
              <w:numPr>
                <w:ilvl w:val="0"/>
                <w:numId w:val="29"/>
              </w:numPr>
              <w:rPr>
                <w:rFonts w:ascii="Palatino Linotype" w:hAnsi="Palatino Linotype"/>
                <w:bCs/>
                <w:i/>
                <w:iCs/>
                <w:sz w:val="20"/>
                <w:szCs w:val="20"/>
              </w:rPr>
            </w:pPr>
            <w:r w:rsidRPr="00391600">
              <w:rPr>
                <w:rFonts w:ascii="Palatino Linotype" w:hAnsi="Palatino Linotype"/>
                <w:bCs/>
                <w:i/>
                <w:iCs/>
                <w:sz w:val="20"/>
                <w:szCs w:val="20"/>
              </w:rPr>
              <w:lastRenderedPageBreak/>
              <w:t>Public and employee safety.</w:t>
            </w:r>
          </w:p>
          <w:p w:rsidRPr="00391600" w:rsidR="002F78F4" w:rsidP="003B475F" w:rsidRDefault="002F78F4" w14:paraId="5D7A83C3" w14:textId="77777777">
            <w:pPr>
              <w:pStyle w:val="ListParagraph"/>
              <w:numPr>
                <w:ilvl w:val="0"/>
                <w:numId w:val="29"/>
              </w:numPr>
              <w:rPr>
                <w:rFonts w:ascii="Palatino Linotype" w:hAnsi="Palatino Linotype"/>
                <w:bCs/>
                <w:i/>
                <w:iCs/>
                <w:sz w:val="20"/>
                <w:szCs w:val="20"/>
              </w:rPr>
            </w:pPr>
            <w:r w:rsidRPr="00391600">
              <w:rPr>
                <w:rFonts w:ascii="Palatino Linotype" w:hAnsi="Palatino Linotype"/>
                <w:bCs/>
                <w:i/>
                <w:iCs/>
                <w:sz w:val="20"/>
                <w:szCs w:val="20"/>
              </w:rPr>
              <w:t>Conservation by efficient resource use or by reducing or shifting system load.</w:t>
            </w:r>
          </w:p>
          <w:p w:rsidRPr="00391600" w:rsidR="002F78F4" w:rsidP="003B475F" w:rsidRDefault="002F78F4" w14:paraId="401DAC60" w14:textId="77777777">
            <w:pPr>
              <w:pStyle w:val="ListParagraph"/>
              <w:numPr>
                <w:ilvl w:val="0"/>
                <w:numId w:val="29"/>
              </w:numPr>
              <w:rPr>
                <w:rFonts w:ascii="Palatino Linotype" w:hAnsi="Palatino Linotype"/>
                <w:bCs/>
                <w:i/>
                <w:iCs/>
                <w:sz w:val="20"/>
                <w:szCs w:val="20"/>
              </w:rPr>
            </w:pPr>
            <w:r w:rsidRPr="00391600">
              <w:rPr>
                <w:rFonts w:ascii="Palatino Linotype" w:hAnsi="Palatino Linotype"/>
                <w:bCs/>
                <w:i/>
                <w:iCs/>
                <w:sz w:val="20"/>
                <w:szCs w:val="20"/>
              </w:rPr>
              <w:t>Development of new resources and processes, particularly renewable resources and processes which further supply technologies.</w:t>
            </w:r>
          </w:p>
          <w:p w:rsidRPr="00391600" w:rsidR="002F78F4" w:rsidP="003B475F" w:rsidRDefault="002F78F4" w14:paraId="4D6AC53A" w14:textId="77777777">
            <w:pPr>
              <w:pStyle w:val="ListParagraph"/>
              <w:numPr>
                <w:ilvl w:val="0"/>
                <w:numId w:val="29"/>
              </w:numPr>
              <w:rPr>
                <w:rFonts w:ascii="Palatino Linotype" w:hAnsi="Palatino Linotype"/>
                <w:bCs/>
                <w:i/>
                <w:iCs/>
                <w:sz w:val="20"/>
                <w:szCs w:val="20"/>
              </w:rPr>
            </w:pPr>
            <w:r w:rsidRPr="00391600">
              <w:rPr>
                <w:rFonts w:ascii="Palatino Linotype" w:hAnsi="Palatino Linotype"/>
                <w:bCs/>
                <w:i/>
                <w:iCs/>
                <w:sz w:val="20"/>
                <w:szCs w:val="20"/>
              </w:rPr>
              <w:t>Improve operating efficiency and reliability or otherwise reduce operating costs.</w:t>
            </w:r>
          </w:p>
        </w:tc>
        <w:tc>
          <w:tcPr>
            <w:tcW w:w="7920" w:type="dxa"/>
          </w:tcPr>
          <w:p w:rsidRPr="00391600" w:rsidR="002F78F4" w:rsidP="00BB366A" w:rsidRDefault="0009626A" w14:paraId="141D208F" w14:textId="65C785DA">
            <w:pPr>
              <w:rPr>
                <w:rFonts w:ascii="Palatino Linotype" w:hAnsi="Palatino Linotype"/>
                <w:bCs/>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sz w:val="20"/>
                <w:szCs w:val="20"/>
              </w:rPr>
              <w:t xml:space="preserve">CEC proposes budget allocations broken down by Initiatives within Investment Themes as follows: </w:t>
            </w:r>
          </w:p>
          <w:p w:rsidRPr="00391600" w:rsidR="002F78F4" w:rsidP="00BB366A" w:rsidRDefault="002F78F4" w14:paraId="3C76C34C" w14:textId="77777777">
            <w:pPr>
              <w:ind w:left="720"/>
              <w:rPr>
                <w:rFonts w:ascii="Palatino Linotype" w:hAnsi="Palatino Linotype"/>
                <w:bCs/>
                <w:sz w:val="20"/>
                <w:szCs w:val="20"/>
              </w:rPr>
            </w:pPr>
            <w:r w:rsidRPr="00391600">
              <w:rPr>
                <w:rFonts w:ascii="Palatino Linotype" w:hAnsi="Palatino Linotype"/>
                <w:bCs/>
                <w:sz w:val="20"/>
                <w:szCs w:val="20"/>
              </w:rPr>
              <w:t>Gas Decommissioning:</w:t>
            </w:r>
          </w:p>
          <w:p w:rsidRPr="00391600" w:rsidR="002F78F4" w:rsidP="00BB366A" w:rsidRDefault="002F78F4" w14:paraId="332F210A" w14:textId="77777777">
            <w:pPr>
              <w:ind w:left="1440"/>
              <w:rPr>
                <w:rFonts w:ascii="Palatino Linotype" w:hAnsi="Palatino Linotype"/>
                <w:bCs/>
                <w:sz w:val="20"/>
                <w:szCs w:val="20"/>
              </w:rPr>
            </w:pPr>
            <w:r w:rsidRPr="00391600">
              <w:rPr>
                <w:rFonts w:ascii="Palatino Linotype" w:hAnsi="Palatino Linotype"/>
                <w:b/>
                <w:bCs/>
                <w:color w:val="000000" w:themeColor="text1"/>
                <w:sz w:val="20"/>
                <w:szCs w:val="20"/>
              </w:rPr>
              <w:lastRenderedPageBreak/>
              <w:t>1.</w:t>
            </w:r>
            <w:r w:rsidRPr="00391600">
              <w:rPr>
                <w:rFonts w:ascii="Palatino Linotype" w:hAnsi="Palatino Linotype"/>
                <w:color w:val="000000" w:themeColor="text1"/>
                <w:sz w:val="20"/>
                <w:szCs w:val="20"/>
              </w:rPr>
              <w:t xml:space="preserve"> Social Science Research for Gas Decommissioning in the Mid and Long Term</w:t>
            </w:r>
            <w:r w:rsidRPr="00391600">
              <w:rPr>
                <w:rFonts w:ascii="Palatino Linotype" w:hAnsi="Palatino Linotype"/>
                <w:sz w:val="20"/>
                <w:szCs w:val="20"/>
              </w:rPr>
              <w:t>.</w:t>
            </w:r>
            <w:r w:rsidRPr="00391600">
              <w:rPr>
                <w:rStyle w:val="FootnoteReference"/>
                <w:rFonts w:ascii="Palatino Linotype" w:hAnsi="Palatino Linotype"/>
                <w:sz w:val="20"/>
                <w:szCs w:val="20"/>
              </w:rPr>
              <w:footnoteReference w:id="258"/>
            </w:r>
          </w:p>
          <w:p w:rsidRPr="00391600" w:rsidR="002F78F4" w:rsidP="00BB366A" w:rsidRDefault="002F78F4" w14:paraId="32133BB9" w14:textId="77777777">
            <w:pPr>
              <w:ind w:left="1440"/>
              <w:rPr>
                <w:rFonts w:ascii="Palatino Linotype" w:hAnsi="Palatino Linotype"/>
                <w:bCs/>
                <w:sz w:val="20"/>
                <w:szCs w:val="20"/>
              </w:rPr>
            </w:pPr>
            <w:r w:rsidRPr="00391600">
              <w:rPr>
                <w:rFonts w:ascii="Palatino Linotype" w:hAnsi="Palatino Linotype"/>
                <w:b/>
                <w:bCs/>
                <w:color w:val="000000" w:themeColor="text1"/>
                <w:sz w:val="20"/>
                <w:szCs w:val="20"/>
              </w:rPr>
              <w:t>2.</w:t>
            </w:r>
            <w:r w:rsidRPr="00391600">
              <w:rPr>
                <w:rFonts w:ascii="Palatino Linotype" w:hAnsi="Palatino Linotype"/>
                <w:color w:val="000000" w:themeColor="text1"/>
                <w:sz w:val="20"/>
                <w:szCs w:val="20"/>
              </w:rPr>
              <w:t xml:space="preserve"> Pilot Projects to Advance Gas Decommissioning</w:t>
            </w:r>
            <w:r w:rsidRPr="00391600">
              <w:rPr>
                <w:rFonts w:ascii="Palatino Linotype" w:hAnsi="Palatino Linotype"/>
                <w:sz w:val="20"/>
                <w:szCs w:val="20"/>
              </w:rPr>
              <w:t>.</w:t>
            </w:r>
            <w:r w:rsidRPr="00391600">
              <w:rPr>
                <w:rStyle w:val="FootnoteReference"/>
                <w:rFonts w:ascii="Palatino Linotype" w:hAnsi="Palatino Linotype"/>
                <w:sz w:val="20"/>
                <w:szCs w:val="20"/>
              </w:rPr>
              <w:footnoteReference w:id="259"/>
            </w:r>
          </w:p>
          <w:p w:rsidRPr="00391600" w:rsidR="002F78F4" w:rsidP="00BB366A" w:rsidRDefault="002F78F4" w14:paraId="26E6FFCD" w14:textId="77777777">
            <w:pPr>
              <w:ind w:left="720"/>
              <w:rPr>
                <w:rFonts w:ascii="Palatino Linotype" w:hAnsi="Palatino Linotype"/>
                <w:bCs/>
                <w:sz w:val="20"/>
                <w:szCs w:val="20"/>
              </w:rPr>
            </w:pPr>
            <w:r w:rsidRPr="00391600">
              <w:rPr>
                <w:rFonts w:ascii="Palatino Linotype" w:hAnsi="Palatino Linotype"/>
                <w:bCs/>
                <w:sz w:val="20"/>
                <w:szCs w:val="20"/>
              </w:rPr>
              <w:t xml:space="preserve">Building Decarbonization: </w:t>
            </w:r>
          </w:p>
          <w:p w:rsidRPr="00391600" w:rsidR="002F78F4" w:rsidP="00BB366A" w:rsidRDefault="002F78F4" w14:paraId="06F01BEA" w14:textId="77777777">
            <w:pPr>
              <w:ind w:left="1440"/>
              <w:rPr>
                <w:rFonts w:ascii="Palatino Linotype" w:hAnsi="Palatino Linotype"/>
                <w:bCs/>
                <w:sz w:val="20"/>
                <w:szCs w:val="20"/>
              </w:rPr>
            </w:pPr>
            <w:r w:rsidRPr="00391600">
              <w:rPr>
                <w:rFonts w:ascii="Palatino Linotype" w:hAnsi="Palatino Linotype"/>
                <w:b/>
                <w:bCs/>
                <w:color w:val="000000" w:themeColor="text1"/>
                <w:sz w:val="20"/>
                <w:szCs w:val="20"/>
              </w:rPr>
              <w:t>3.</w:t>
            </w:r>
            <w:r w:rsidRPr="00391600">
              <w:rPr>
                <w:rFonts w:ascii="Palatino Linotype" w:hAnsi="Palatino Linotype"/>
                <w:color w:val="000000" w:themeColor="text1"/>
                <w:sz w:val="20"/>
                <w:szCs w:val="20"/>
              </w:rPr>
              <w:t xml:space="preserve"> Networked Geothermal Heat Pumps</w:t>
            </w:r>
            <w:r w:rsidRPr="00391600">
              <w:rPr>
                <w:rFonts w:ascii="Palatino Linotype" w:hAnsi="Palatino Linotype"/>
                <w:sz w:val="20"/>
                <w:szCs w:val="20"/>
              </w:rPr>
              <w:t>.</w:t>
            </w:r>
            <w:r w:rsidRPr="00391600">
              <w:rPr>
                <w:rStyle w:val="FootnoteReference"/>
                <w:rFonts w:ascii="Palatino Linotype" w:hAnsi="Palatino Linotype"/>
                <w:sz w:val="20"/>
                <w:szCs w:val="20"/>
              </w:rPr>
              <w:footnoteReference w:id="260"/>
            </w:r>
          </w:p>
        </w:tc>
        <w:tc>
          <w:tcPr>
            <w:tcW w:w="3240" w:type="dxa"/>
          </w:tcPr>
          <w:p w:rsidRPr="00391600" w:rsidR="002F78F4" w:rsidP="00BB366A" w:rsidRDefault="002F78F4" w14:paraId="446B9B93" w14:textId="333E4E9E">
            <w:pPr>
              <w:rPr>
                <w:rFonts w:ascii="Palatino Linotype" w:hAnsi="Palatino Linotype"/>
                <w:bCs/>
                <w:sz w:val="20"/>
                <w:szCs w:val="20"/>
              </w:rPr>
            </w:pPr>
            <w:r w:rsidRPr="00391600">
              <w:rPr>
                <w:rFonts w:ascii="Palatino Linotype" w:hAnsi="Palatino Linotype"/>
                <w:bCs/>
                <w:sz w:val="20"/>
                <w:szCs w:val="20"/>
              </w:rPr>
              <w:lastRenderedPageBreak/>
              <w:t xml:space="preserve">Each of CEC’s proposed Initiatives supports one or more of the required objectives. </w:t>
            </w:r>
            <w:r w:rsidRPr="00391600" w:rsidR="0009626A">
              <w:rPr>
                <w:rFonts w:ascii="Palatino Linotype" w:hAnsi="Palatino Linotype"/>
                <w:b/>
                <w:sz w:val="20"/>
                <w:szCs w:val="20"/>
              </w:rPr>
              <w:t xml:space="preserve">The </w:t>
            </w:r>
            <w:r w:rsidRPr="00391600">
              <w:rPr>
                <w:rFonts w:ascii="Palatino Linotype" w:hAnsi="Palatino Linotype"/>
                <w:b/>
                <w:sz w:val="20"/>
                <w:szCs w:val="20"/>
              </w:rPr>
              <w:t>CEC is compliant with this requirement.</w:t>
            </w:r>
          </w:p>
        </w:tc>
      </w:tr>
      <w:tr w:rsidRPr="00391600" w:rsidR="002F78F4" w:rsidTr="6FAFEDE3" w14:paraId="68F81288" w14:textId="77777777">
        <w:trPr>
          <w:trHeight w:val="638"/>
        </w:trPr>
        <w:tc>
          <w:tcPr>
            <w:tcW w:w="3145" w:type="dxa"/>
          </w:tcPr>
          <w:p w:rsidRPr="00391600" w:rsidR="002F78F4" w:rsidP="00BB366A" w:rsidRDefault="002F78F4" w14:paraId="7566916C" w14:textId="77777777">
            <w:pPr>
              <w:rPr>
                <w:rFonts w:ascii="Palatino Linotype" w:hAnsi="Palatino Linotype"/>
                <w:bCs/>
                <w:sz w:val="20"/>
                <w:szCs w:val="20"/>
              </w:rPr>
            </w:pPr>
            <w:hyperlink w:history="1" r:id="rId100">
              <w:r w:rsidRPr="00391600">
                <w:rPr>
                  <w:rStyle w:val="Hyperlink"/>
                  <w:rFonts w:ascii="Palatino Linotype" w:hAnsi="Palatino Linotype"/>
                  <w:b/>
                  <w:sz w:val="20"/>
                  <w:szCs w:val="20"/>
                </w:rPr>
                <w:t>D.04-08-010</w:t>
              </w:r>
            </w:hyperlink>
            <w:r w:rsidRPr="00391600">
              <w:rPr>
                <w:rFonts w:ascii="Palatino Linotype" w:hAnsi="Palatino Linotype"/>
                <w:bCs/>
                <w:sz w:val="20"/>
                <w:szCs w:val="20"/>
              </w:rPr>
              <w:t xml:space="preserve"> at p. 28. </w:t>
            </w:r>
            <w:r w:rsidRPr="00391600">
              <w:rPr>
                <w:rFonts w:ascii="Palatino Linotype" w:hAnsi="Palatino Linotype"/>
                <w:bCs/>
                <w:i/>
                <w:iCs/>
                <w:sz w:val="20"/>
                <w:szCs w:val="20"/>
              </w:rPr>
              <w:t>Support State Energy policy.</w:t>
            </w:r>
          </w:p>
        </w:tc>
        <w:tc>
          <w:tcPr>
            <w:tcW w:w="7920" w:type="dxa"/>
          </w:tcPr>
          <w:p w:rsidRPr="00391600" w:rsidR="002F78F4" w:rsidP="00BB366A" w:rsidRDefault="1710CCEA" w14:paraId="7AE5D2FE" w14:textId="6908847F">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CEC </w:t>
            </w:r>
            <w:r w:rsidRPr="00391600" w:rsidR="002F78F4">
              <w:rPr>
                <w:rFonts w:ascii="Palatino Linotype" w:hAnsi="Palatino Linotype"/>
                <w:color w:val="000000" w:themeColor="text1"/>
                <w:sz w:val="20"/>
                <w:szCs w:val="20"/>
              </w:rPr>
              <w:t>states that “the Gas R&amp;D Program supports state energy policies and goals, such as achieving economywide carbon neutrality by 2045 (Executive Order B-55-18 and AB 1279, Muratsuchi, Chapter 337, Statutes of 2022) and doubling energy efficiency by 2030 (SB 350, De León, Chapter 547, Statutes of 2015)” among “several other ley energy and climate policies and goals.”</w:t>
            </w:r>
            <w:r w:rsidRPr="00391600" w:rsidR="002F78F4">
              <w:rPr>
                <w:rStyle w:val="FootnoteReference"/>
                <w:rFonts w:ascii="Palatino Linotype" w:hAnsi="Palatino Linotype"/>
                <w:color w:val="000000" w:themeColor="text1"/>
                <w:sz w:val="20"/>
                <w:szCs w:val="20"/>
              </w:rPr>
              <w:footnoteReference w:id="261"/>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 xml:space="preserve">CEC provides additional information on policies relevant to each Initiative in Appendix A. </w:t>
            </w:r>
          </w:p>
        </w:tc>
        <w:tc>
          <w:tcPr>
            <w:tcW w:w="3240" w:type="dxa"/>
          </w:tcPr>
          <w:p w:rsidRPr="00391600" w:rsidR="002F78F4" w:rsidP="00BB366A" w:rsidRDefault="0009626A" w14:paraId="5DDC56BA" w14:textId="5B077603">
            <w:pPr>
              <w:rPr>
                <w:rFonts w:ascii="Palatino Linotype" w:hAnsi="Palatino Linotype"/>
                <w:bCs/>
                <w:color w:val="000000" w:themeColor="text1"/>
                <w:sz w:val="20"/>
                <w:szCs w:val="20"/>
              </w:rPr>
            </w:pPr>
            <w:r w:rsidRPr="00391600">
              <w:rPr>
                <w:rFonts w:ascii="Palatino Linotype" w:hAnsi="Palatino Linotype"/>
                <w:bCs/>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discusses several State Energy policies which its program supports. </w:t>
            </w:r>
            <w:r w:rsidRPr="00391600">
              <w:rPr>
                <w:rFonts w:ascii="Palatino Linotype" w:hAnsi="Palatino Linotype"/>
                <w:b/>
                <w:sz w:val="20"/>
                <w:szCs w:val="20"/>
              </w:rPr>
              <w:t>The</w:t>
            </w:r>
            <w:r w:rsidRPr="00391600">
              <w:rPr>
                <w:rFonts w:ascii="Palatino Linotype" w:hAnsi="Palatino Linotype"/>
                <w:b/>
                <w:color w:val="000000" w:themeColor="text1"/>
                <w:sz w:val="20"/>
                <w:szCs w:val="20"/>
              </w:rPr>
              <w:t xml:space="preserv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254B662F" w14:textId="77777777">
        <w:trPr>
          <w:trHeight w:val="638"/>
        </w:trPr>
        <w:tc>
          <w:tcPr>
            <w:tcW w:w="3145" w:type="dxa"/>
          </w:tcPr>
          <w:p w:rsidRPr="00391600" w:rsidR="002F78F4" w:rsidP="00BB366A" w:rsidRDefault="002F78F4" w14:paraId="0FEBDA01" w14:textId="77777777">
            <w:pPr>
              <w:rPr>
                <w:rFonts w:ascii="Palatino Linotype" w:hAnsi="Palatino Linotype"/>
              </w:rPr>
            </w:pPr>
            <w:hyperlink w:history="1" r:id="rId101">
              <w:r w:rsidRPr="00391600">
                <w:rPr>
                  <w:rStyle w:val="Hyperlink"/>
                  <w:rFonts w:ascii="Palatino Linotype" w:hAnsi="Palatino Linotype"/>
                  <w:b/>
                  <w:sz w:val="20"/>
                  <w:szCs w:val="20"/>
                </w:rPr>
                <w:t>D.04-08-010</w:t>
              </w:r>
            </w:hyperlink>
            <w:r w:rsidRPr="00391600">
              <w:rPr>
                <w:rFonts w:ascii="Palatino Linotype" w:hAnsi="Palatino Linotype"/>
              </w:rPr>
              <w:t>.</w:t>
            </w:r>
          </w:p>
          <w:p w:rsidRPr="00391600" w:rsidR="002F78F4" w:rsidP="00BB366A" w:rsidRDefault="002F78F4" w14:paraId="66170FBC" w14:textId="77777777">
            <w:pPr>
              <w:rPr>
                <w:rFonts w:ascii="Palatino Linotype" w:hAnsi="Palatino Linotype"/>
                <w:i/>
                <w:iCs/>
                <w:sz w:val="20"/>
                <w:szCs w:val="20"/>
              </w:rPr>
            </w:pPr>
            <w:r w:rsidRPr="00391600">
              <w:rPr>
                <w:rFonts w:ascii="Palatino Linotype" w:hAnsi="Palatino Linotype"/>
                <w:i/>
                <w:iCs/>
                <w:sz w:val="20"/>
                <w:szCs w:val="20"/>
              </w:rPr>
              <w:t xml:space="preserve">[The Gas RD&amp;D program shall have] a maximum cap of $24 million after four years; these </w:t>
            </w:r>
            <w:r w:rsidRPr="00391600">
              <w:rPr>
                <w:rFonts w:ascii="Palatino Linotype" w:hAnsi="Palatino Linotype"/>
                <w:i/>
                <w:iCs/>
                <w:sz w:val="20"/>
                <w:szCs w:val="20"/>
              </w:rPr>
              <w:lastRenderedPageBreak/>
              <w:t xml:space="preserve">amounts shall include all necessary R&amp;D administrative costs </w:t>
            </w:r>
            <w:r w:rsidRPr="00391600">
              <w:rPr>
                <w:rFonts w:ascii="Palatino Linotype" w:hAnsi="Palatino Linotype"/>
                <w:sz w:val="20"/>
                <w:szCs w:val="20"/>
              </w:rPr>
              <w:t>(p. 38).</w:t>
            </w:r>
          </w:p>
          <w:p w:rsidRPr="00391600" w:rsidR="002F78F4" w:rsidP="00D27665" w:rsidRDefault="002F78F4" w14:paraId="706115FF" w14:textId="6D7EFF22">
            <w:pPr>
              <w:spacing w:before="240"/>
              <w:rPr>
                <w:rFonts w:ascii="Palatino Linotype" w:hAnsi="Palatino Linotype"/>
                <w:i/>
                <w:color w:val="000000" w:themeColor="text1"/>
                <w:sz w:val="20"/>
                <w:szCs w:val="20"/>
              </w:rPr>
            </w:pPr>
            <w:r w:rsidRPr="00391600">
              <w:rPr>
                <w:rFonts w:ascii="Palatino Linotype" w:hAnsi="Palatino Linotype"/>
                <w:bCs/>
                <w:i/>
                <w:iCs/>
                <w:color w:val="000000" w:themeColor="text1"/>
                <w:sz w:val="20"/>
                <w:szCs w:val="20"/>
              </w:rPr>
              <w:t xml:space="preserve">Disbursements from the Fund to the R&amp;D administrator shall not exceed the zero-based R&amp;D budget [adopted via </w:t>
            </w:r>
            <w:r w:rsidRPr="00391600" w:rsidR="00BF2A11">
              <w:rPr>
                <w:rFonts w:ascii="Palatino Linotype" w:hAnsi="Palatino Linotype"/>
                <w:bCs/>
                <w:i/>
                <w:iCs/>
                <w:color w:val="000000" w:themeColor="text1"/>
                <w:sz w:val="20"/>
                <w:szCs w:val="20"/>
              </w:rPr>
              <w:t>r</w:t>
            </w:r>
            <w:r w:rsidRPr="00391600">
              <w:rPr>
                <w:rFonts w:ascii="Palatino Linotype" w:hAnsi="Palatino Linotype"/>
                <w:bCs/>
                <w:i/>
                <w:iCs/>
                <w:color w:val="000000" w:themeColor="text1"/>
                <w:sz w:val="20"/>
                <w:szCs w:val="20"/>
              </w:rPr>
              <w:t xml:space="preserve">esolution] </w:t>
            </w:r>
            <w:r w:rsidRPr="00391600">
              <w:rPr>
                <w:rFonts w:ascii="Palatino Linotype" w:hAnsi="Palatino Linotype"/>
                <w:bCs/>
                <w:color w:val="000000" w:themeColor="text1"/>
                <w:sz w:val="20"/>
                <w:szCs w:val="20"/>
              </w:rPr>
              <w:t>(p. 41-42).</w:t>
            </w:r>
          </w:p>
        </w:tc>
        <w:tc>
          <w:tcPr>
            <w:tcW w:w="7920" w:type="dxa"/>
          </w:tcPr>
          <w:p w:rsidRPr="00391600" w:rsidR="002F78F4" w:rsidP="00BB366A" w:rsidRDefault="1710CCEA" w14:paraId="5795B958" w14:textId="706191B2">
            <w:pPr>
              <w:rPr>
                <w:rFonts w:ascii="Palatino Linotype" w:hAnsi="Palatino Linotype"/>
                <w:bCs/>
                <w:color w:val="000000" w:themeColor="text1"/>
                <w:sz w:val="20"/>
                <w:szCs w:val="20"/>
              </w:rPr>
            </w:pPr>
            <w:r w:rsidRPr="00391600">
              <w:rPr>
                <w:rFonts w:ascii="Palatino Linotype" w:hAnsi="Palatino Linotype"/>
                <w:sz w:val="20"/>
                <w:szCs w:val="20"/>
              </w:rPr>
              <w:lastRenderedPageBreak/>
              <w:t>The</w:t>
            </w:r>
            <w:r w:rsidRPr="00391600">
              <w:rPr>
                <w:rFonts w:ascii="Palatino Linotype" w:hAnsi="Palatino Linotype"/>
                <w:color w:val="000000" w:themeColor="text1"/>
                <w:sz w:val="20"/>
                <w:szCs w:val="20"/>
              </w:rPr>
              <w:t xml:space="preserve"> </w:t>
            </w:r>
            <w:r w:rsidRPr="00391600" w:rsidR="002F78F4">
              <w:rPr>
                <w:rFonts w:ascii="Palatino Linotype" w:hAnsi="Palatino Linotype"/>
                <w:color w:val="000000" w:themeColor="text1"/>
                <w:sz w:val="20"/>
                <w:szCs w:val="20"/>
              </w:rPr>
              <w:t>CEC proposes a total FY2025-</w:t>
            </w:r>
            <w:proofErr w:type="gramStart"/>
            <w:r w:rsidRPr="00391600" w:rsidR="002F78F4">
              <w:rPr>
                <w:rFonts w:ascii="Palatino Linotype" w:hAnsi="Palatino Linotype"/>
                <w:color w:val="000000" w:themeColor="text1"/>
                <w:sz w:val="20"/>
                <w:szCs w:val="20"/>
              </w:rPr>
              <w:t>2026 Plan</w:t>
            </w:r>
            <w:proofErr w:type="gramEnd"/>
            <w:r w:rsidRPr="00391600" w:rsidR="002F78F4">
              <w:rPr>
                <w:rFonts w:ascii="Palatino Linotype" w:hAnsi="Palatino Linotype"/>
                <w:color w:val="000000" w:themeColor="text1"/>
                <w:sz w:val="20"/>
                <w:szCs w:val="20"/>
              </w:rPr>
              <w:t xml:space="preserve"> budget of $24 million, including Program Administration costs.</w:t>
            </w:r>
            <w:r w:rsidRPr="00391600" w:rsidR="002F78F4">
              <w:rPr>
                <w:rStyle w:val="FootnoteReference"/>
                <w:rFonts w:ascii="Palatino Linotype" w:hAnsi="Palatino Linotype"/>
                <w:color w:val="000000" w:themeColor="text1"/>
                <w:sz w:val="20"/>
                <w:szCs w:val="20"/>
              </w:rPr>
              <w:footnoteReference w:id="262"/>
            </w:r>
            <w:r w:rsidRPr="00391600" w:rsidR="002F78F4">
              <w:rPr>
                <w:rFonts w:ascii="Palatino Linotype" w:hAnsi="Palatino Linotype"/>
                <w:color w:val="000000" w:themeColor="text1"/>
                <w:sz w:val="20"/>
                <w:szCs w:val="20"/>
              </w:rPr>
              <w:t xml:space="preserve"> </w:t>
            </w:r>
          </w:p>
        </w:tc>
        <w:tc>
          <w:tcPr>
            <w:tcW w:w="3240" w:type="dxa"/>
          </w:tcPr>
          <w:p w:rsidRPr="00391600" w:rsidR="002F78F4" w:rsidP="00BB366A" w:rsidRDefault="0009626A" w14:paraId="25F4396A" w14:textId="0602625B">
            <w:pPr>
              <w:rPr>
                <w:rFonts w:ascii="Palatino Linotype" w:hAnsi="Palatino Linotype"/>
                <w:color w:val="000000" w:themeColor="text1"/>
                <w:sz w:val="20"/>
                <w:szCs w:val="20"/>
              </w:rPr>
            </w:pPr>
            <w:r w:rsidRPr="00391600">
              <w:rPr>
                <w:rFonts w:ascii="Palatino Linotype" w:hAnsi="Palatino Linotype"/>
                <w:bCs/>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CEC’s proposed budget, including all necessary RD&amp;D administrative costs, complies with the $24M annual cap.</w:t>
            </w:r>
            <w:r w:rsidRPr="00391600">
              <w:rPr>
                <w:rFonts w:ascii="Palatino Linotype" w:hAnsi="Palatino Linotype"/>
                <w:bCs/>
                <w:sz w:val="20"/>
                <w:szCs w:val="20"/>
              </w:rPr>
              <w:t xml:space="preserve"> </w:t>
            </w:r>
            <w:r w:rsidRPr="00391600">
              <w:rPr>
                <w:rFonts w:ascii="Palatino Linotype" w:hAnsi="Palatino Linotype"/>
                <w:b/>
                <w:sz w:val="20"/>
                <w:szCs w:val="20"/>
              </w:rPr>
              <w:t>The</w:t>
            </w:r>
            <w:r w:rsidRPr="00391600" w:rsidR="002F78F4">
              <w:rPr>
                <w:rFonts w:ascii="Palatino Linotype" w:hAnsi="Palatino Linotype"/>
                <w:b/>
                <w:color w:val="000000" w:themeColor="text1"/>
                <w:sz w:val="20"/>
                <w:szCs w:val="20"/>
              </w:rPr>
              <w:t xml:space="preserve"> CEC is compliant with this </w:t>
            </w:r>
            <w:r w:rsidRPr="00391600" w:rsidR="002F78F4">
              <w:rPr>
                <w:rFonts w:ascii="Palatino Linotype" w:hAnsi="Palatino Linotype"/>
                <w:b/>
                <w:color w:val="000000" w:themeColor="text1"/>
                <w:sz w:val="20"/>
                <w:szCs w:val="20"/>
              </w:rPr>
              <w:lastRenderedPageBreak/>
              <w:t xml:space="preserve">requirement. </w:t>
            </w:r>
            <w:r w:rsidRPr="00391600" w:rsidR="00391AF7">
              <w:rPr>
                <w:rFonts w:ascii="Palatino Linotype" w:hAnsi="Palatino Linotype"/>
                <w:bCs/>
                <w:color w:val="000000" w:themeColor="text1"/>
                <w:sz w:val="20"/>
                <w:szCs w:val="20"/>
              </w:rPr>
              <w:t>However, t</w:t>
            </w:r>
            <w:r w:rsidRPr="00391600" w:rsidR="00391AF7">
              <w:rPr>
                <w:rFonts w:ascii="Palatino Linotype" w:hAnsi="Palatino Linotype"/>
                <w:bCs/>
                <w:sz w:val="20"/>
                <w:szCs w:val="20"/>
              </w:rPr>
              <w:t>he</w:t>
            </w:r>
            <w:r w:rsidRPr="00391600" w:rsidR="00391AF7">
              <w:rPr>
                <w:rFonts w:ascii="Palatino Linotype" w:hAnsi="Palatino Linotype"/>
                <w:color w:val="000000" w:themeColor="text1"/>
                <w:sz w:val="20"/>
                <w:szCs w:val="20"/>
              </w:rPr>
              <w:t xml:space="preserve"> CEC shall first utilize unspent funds prior to any new ratepayer funds for its 202</w:t>
            </w:r>
            <w:r w:rsidRPr="00391600" w:rsidR="00EA51FF">
              <w:rPr>
                <w:rFonts w:ascii="Palatino Linotype" w:hAnsi="Palatino Linotype"/>
                <w:color w:val="000000" w:themeColor="text1"/>
                <w:sz w:val="20"/>
                <w:szCs w:val="20"/>
              </w:rPr>
              <w:t>5</w:t>
            </w:r>
            <w:r w:rsidRPr="00391600" w:rsidR="00391AF7">
              <w:rPr>
                <w:rFonts w:ascii="Palatino Linotype" w:hAnsi="Palatino Linotype"/>
                <w:color w:val="000000" w:themeColor="text1"/>
                <w:sz w:val="20"/>
                <w:szCs w:val="20"/>
              </w:rPr>
              <w:t xml:space="preserve"> Plan as described in this Resolution.</w:t>
            </w:r>
          </w:p>
        </w:tc>
      </w:tr>
      <w:tr w:rsidRPr="00391600" w:rsidR="002F78F4" w:rsidTr="6FAFEDE3" w14:paraId="41894D74" w14:textId="77777777">
        <w:trPr>
          <w:trHeight w:val="638"/>
        </w:trPr>
        <w:tc>
          <w:tcPr>
            <w:tcW w:w="3145" w:type="dxa"/>
          </w:tcPr>
          <w:p w:rsidRPr="00391600" w:rsidR="002F78F4" w:rsidP="00BB366A" w:rsidRDefault="002F78F4" w14:paraId="589BE846" w14:textId="77777777">
            <w:pPr>
              <w:rPr>
                <w:rFonts w:ascii="Palatino Linotype" w:hAnsi="Palatino Linotype"/>
              </w:rPr>
            </w:pPr>
            <w:hyperlink w:history="1" r:id="rId102">
              <w:r w:rsidRPr="00391600">
                <w:rPr>
                  <w:rStyle w:val="Hyperlink"/>
                  <w:rFonts w:ascii="Palatino Linotype" w:hAnsi="Palatino Linotype"/>
                  <w:b/>
                  <w:sz w:val="20"/>
                  <w:szCs w:val="20"/>
                </w:rPr>
                <w:t>D.04-08-010</w:t>
              </w:r>
            </w:hyperlink>
            <w:r w:rsidRPr="00391600">
              <w:rPr>
                <w:rFonts w:ascii="Palatino Linotype" w:hAnsi="Palatino Linotype"/>
                <w:bCs/>
                <w:sz w:val="20"/>
                <w:szCs w:val="20"/>
              </w:rPr>
              <w:t xml:space="preserve"> at p. 42. </w:t>
            </w:r>
            <w:r w:rsidRPr="00391600">
              <w:rPr>
                <w:rFonts w:ascii="Palatino Linotype" w:hAnsi="Palatino Linotype"/>
                <w:bCs/>
                <w:i/>
                <w:iCs/>
                <w:sz w:val="20"/>
                <w:szCs w:val="20"/>
              </w:rPr>
              <w:t xml:space="preserve">[W]e </w:t>
            </w:r>
            <w:proofErr w:type="gramStart"/>
            <w:r w:rsidRPr="00391600">
              <w:rPr>
                <w:rFonts w:ascii="Palatino Linotype" w:hAnsi="Palatino Linotype"/>
                <w:bCs/>
                <w:i/>
                <w:iCs/>
                <w:sz w:val="20"/>
                <w:szCs w:val="20"/>
              </w:rPr>
              <w:t>expect</w:t>
            </w:r>
            <w:proofErr w:type="gramEnd"/>
            <w:r w:rsidRPr="00391600">
              <w:rPr>
                <w:rFonts w:ascii="Palatino Linotype" w:hAnsi="Palatino Linotype"/>
                <w:bCs/>
                <w:i/>
                <w:iCs/>
                <w:sz w:val="20"/>
                <w:szCs w:val="20"/>
              </w:rPr>
              <w:t xml:space="preserve"> the administrator to inform the Energy Division </w:t>
            </w:r>
            <w:proofErr w:type="gramStart"/>
            <w:r w:rsidRPr="00391600">
              <w:rPr>
                <w:rFonts w:ascii="Palatino Linotype" w:hAnsi="Palatino Linotype"/>
                <w:bCs/>
                <w:i/>
                <w:iCs/>
                <w:sz w:val="20"/>
                <w:szCs w:val="20"/>
              </w:rPr>
              <w:t>if and when</w:t>
            </w:r>
            <w:proofErr w:type="gramEnd"/>
            <w:r w:rsidRPr="00391600">
              <w:rPr>
                <w:rFonts w:ascii="Palatino Linotype" w:hAnsi="Palatino Linotype"/>
                <w:bCs/>
                <w:i/>
                <w:iCs/>
                <w:sz w:val="20"/>
                <w:szCs w:val="20"/>
              </w:rPr>
              <w:t xml:space="preserve"> any commercial benefits result from the gas R&amp;D projects funded through the gas surcharge. Commercial benefits may be used to offset future R&amp;D costs, reduce the gas surcharge, or be returned to ratepayers, upon determination of the Commission.</w:t>
            </w:r>
          </w:p>
        </w:tc>
        <w:tc>
          <w:tcPr>
            <w:tcW w:w="7920" w:type="dxa"/>
          </w:tcPr>
          <w:p w:rsidRPr="00391600" w:rsidR="002F78F4" w:rsidP="00BB366A" w:rsidRDefault="0009626A" w14:paraId="702A9F0B" w14:textId="267806A9">
            <w:pPr>
              <w:rPr>
                <w:rFonts w:ascii="Palatino Linotype" w:hAnsi="Palatino Linotype"/>
                <w:bCs/>
                <w:color w:val="000000" w:themeColor="text1"/>
                <w:sz w:val="20"/>
                <w:szCs w:val="20"/>
              </w:rPr>
            </w:pPr>
            <w:r w:rsidRPr="00391600">
              <w:rPr>
                <w:rFonts w:ascii="Palatino Linotype" w:hAnsi="Palatino Linotype"/>
                <w:bCs/>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 xml:space="preserve">CEC does not discuss commercial benefits that may have resulted from Gas RD&amp;D investment. </w:t>
            </w:r>
          </w:p>
        </w:tc>
        <w:tc>
          <w:tcPr>
            <w:tcW w:w="3240" w:type="dxa"/>
          </w:tcPr>
          <w:p w:rsidRPr="00391600" w:rsidR="002F78F4" w:rsidP="00BB366A" w:rsidRDefault="0079719B" w14:paraId="2E244C21" w14:textId="2E42F761">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The CEC does </w:t>
            </w:r>
            <w:r w:rsidRPr="00391600">
              <w:rPr>
                <w:rFonts w:ascii="Palatino Linotype" w:hAnsi="Palatino Linotype"/>
                <w:b/>
                <w:i/>
                <w:iCs/>
                <w:color w:val="000000" w:themeColor="text1"/>
                <w:sz w:val="20"/>
                <w:szCs w:val="20"/>
              </w:rPr>
              <w:t>not</w:t>
            </w:r>
            <w:r w:rsidRPr="00391600">
              <w:rPr>
                <w:rFonts w:ascii="Palatino Linotype" w:hAnsi="Palatino Linotype"/>
                <w:b/>
                <w:color w:val="000000" w:themeColor="text1"/>
                <w:sz w:val="20"/>
                <w:szCs w:val="20"/>
              </w:rPr>
              <w:t xml:space="preserve"> demonstrate</w:t>
            </w:r>
            <w:r w:rsidRPr="00391600">
              <w:rPr>
                <w:rFonts w:ascii="Palatino Linotype" w:hAnsi="Palatino Linotype"/>
                <w:b/>
                <w:i/>
                <w:iCs/>
                <w:color w:val="000000" w:themeColor="text1"/>
                <w:sz w:val="20"/>
                <w:szCs w:val="20"/>
              </w:rPr>
              <w:t xml:space="preserve"> </w:t>
            </w:r>
            <w:r w:rsidRPr="00391600">
              <w:rPr>
                <w:rFonts w:ascii="Palatino Linotype" w:hAnsi="Palatino Linotype"/>
                <w:b/>
                <w:color w:val="000000" w:themeColor="text1"/>
                <w:sz w:val="20"/>
                <w:szCs w:val="20"/>
              </w:rPr>
              <w:t xml:space="preserve">compliance with this requirement. </w:t>
            </w:r>
            <w:r w:rsidRPr="00391600" w:rsidR="002F78F4">
              <w:rPr>
                <w:rFonts w:ascii="Palatino Linotype" w:hAnsi="Palatino Linotype"/>
                <w:bCs/>
                <w:color w:val="000000" w:themeColor="text1"/>
                <w:sz w:val="20"/>
                <w:szCs w:val="20"/>
              </w:rPr>
              <w:t>CEC shall disclose all potential</w:t>
            </w:r>
            <w:r w:rsidRPr="00391600" w:rsidR="002F78F4">
              <w:rPr>
                <w:rFonts w:ascii="Palatino Linotype" w:hAnsi="Palatino Linotype"/>
                <w:b/>
                <w:color w:val="000000" w:themeColor="text1"/>
                <w:sz w:val="20"/>
                <w:szCs w:val="20"/>
              </w:rPr>
              <w:t xml:space="preserve"> </w:t>
            </w:r>
            <w:r w:rsidRPr="00391600" w:rsidR="002F78F4">
              <w:rPr>
                <w:rFonts w:ascii="Palatino Linotype" w:hAnsi="Palatino Linotype"/>
                <w:bCs/>
                <w:color w:val="000000" w:themeColor="text1"/>
                <w:sz w:val="20"/>
                <w:szCs w:val="20"/>
              </w:rPr>
              <w:t xml:space="preserve">commercial benefits that may result from Gas RD&amp;D investment and demonstrate they are used to offset ratepayer costs for new Plans or otherwise state that none have accrued. </w:t>
            </w:r>
          </w:p>
        </w:tc>
      </w:tr>
      <w:tr w:rsidRPr="00391600" w:rsidR="002F78F4" w:rsidTr="6FAFEDE3" w14:paraId="5D54481E" w14:textId="77777777">
        <w:trPr>
          <w:trHeight w:val="638"/>
        </w:trPr>
        <w:tc>
          <w:tcPr>
            <w:tcW w:w="3145" w:type="dxa"/>
          </w:tcPr>
          <w:p w:rsidRPr="00391600" w:rsidR="002F78F4" w:rsidP="00BB366A" w:rsidRDefault="002F78F4" w14:paraId="4B4CC547" w14:textId="3F81F238">
            <w:pPr>
              <w:rPr>
                <w:rFonts w:ascii="Palatino Linotype" w:hAnsi="Palatino Linotype" w:eastAsia="Palatino Linotype" w:cs="Times New Roman"/>
                <w:bCs/>
                <w:i/>
                <w:iCs/>
                <w:kern w:val="0"/>
                <w:sz w:val="20"/>
                <w:szCs w:val="20"/>
                <w14:ligatures w14:val="none"/>
              </w:rPr>
            </w:pPr>
            <w:hyperlink w:history="1" r:id="rId103">
              <w:r w:rsidRPr="00391600">
                <w:rPr>
                  <w:rStyle w:val="Hyperlink"/>
                  <w:rFonts w:ascii="Palatino Linotype" w:hAnsi="Palatino Linotype" w:eastAsia="Palatino Linotype" w:cs="Times New Roman"/>
                  <w:b/>
                  <w:kern w:val="0"/>
                  <w:sz w:val="20"/>
                  <w:szCs w:val="20"/>
                  <w14:ligatures w14:val="none"/>
                </w:rPr>
                <w:t>Resolution G-3394</w:t>
              </w:r>
            </w:hyperlink>
            <w:r w:rsidRPr="00391600">
              <w:rPr>
                <w:rFonts w:ascii="Palatino Linotype" w:hAnsi="Palatino Linotype" w:eastAsia="Palatino Linotype" w:cs="Times New Roman"/>
                <w:b/>
                <w:kern w:val="0"/>
                <w:sz w:val="20"/>
                <w:szCs w:val="20"/>
                <w14:ligatures w14:val="none"/>
              </w:rPr>
              <w:t xml:space="preserve"> </w:t>
            </w:r>
            <w:r w:rsidRPr="00391600">
              <w:rPr>
                <w:rFonts w:ascii="Palatino Linotype" w:hAnsi="Palatino Linotype" w:eastAsia="Palatino Linotype" w:cs="Times New Roman"/>
                <w:bCs/>
                <w:kern w:val="0"/>
                <w:sz w:val="20"/>
                <w:szCs w:val="20"/>
                <w14:ligatures w14:val="none"/>
              </w:rPr>
              <w:t>(2006) at OP 2.</w:t>
            </w:r>
            <w:r w:rsidRPr="00391600">
              <w:rPr>
                <w:rFonts w:ascii="Palatino Linotype" w:hAnsi="Palatino Linotype" w:eastAsia="Palatino Linotype" w:cs="Times New Roman"/>
                <w:bCs/>
                <w:i/>
                <w:iCs/>
                <w:kern w:val="0"/>
                <w:sz w:val="20"/>
                <w:szCs w:val="20"/>
                <w14:ligatures w14:val="none"/>
              </w:rPr>
              <w:t xml:space="preserve"> The CEC shall submit</w:t>
            </w:r>
            <w:r w:rsidRPr="00391600" w:rsidR="008E0F6B">
              <w:rPr>
                <w:rFonts w:ascii="Palatino Linotype" w:hAnsi="Palatino Linotype" w:eastAsia="Palatino Linotype" w:cs="Times New Roman"/>
                <w:bCs/>
                <w:i/>
                <w:iCs/>
                <w:kern w:val="0"/>
                <w:sz w:val="20"/>
                <w:szCs w:val="20"/>
                <w14:ligatures w14:val="none"/>
              </w:rPr>
              <w:t>…</w:t>
            </w:r>
            <w:r w:rsidRPr="00391600">
              <w:rPr>
                <w:rFonts w:ascii="Palatino Linotype" w:hAnsi="Palatino Linotype" w:eastAsia="Palatino Linotype" w:cs="Times New Roman"/>
                <w:bCs/>
                <w:i/>
                <w:iCs/>
                <w:kern w:val="0"/>
                <w:sz w:val="20"/>
                <w:szCs w:val="20"/>
                <w14:ligatures w14:val="none"/>
              </w:rPr>
              <w:t xml:space="preserve"> its Annual [Report] by October 31st, beginning in 2008.</w:t>
            </w:r>
          </w:p>
        </w:tc>
        <w:tc>
          <w:tcPr>
            <w:tcW w:w="7920" w:type="dxa"/>
          </w:tcPr>
          <w:p w:rsidRPr="00391600" w:rsidR="002F78F4" w:rsidP="00BB366A" w:rsidRDefault="0009626A" w14:paraId="5B391573" w14:textId="64214027">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The </w:t>
            </w:r>
            <w:r w:rsidRPr="00391600" w:rsidR="002F78F4">
              <w:rPr>
                <w:rFonts w:ascii="Palatino Linotype" w:hAnsi="Palatino Linotype"/>
                <w:bCs/>
                <w:color w:val="000000" w:themeColor="text1"/>
                <w:sz w:val="20"/>
                <w:szCs w:val="20"/>
              </w:rPr>
              <w:t>CEC provided a draft FY</w:t>
            </w:r>
            <w:r w:rsidRPr="00391600" w:rsidR="00E556F2">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2024-2025 Annual Report to Energy Division on October 15, 2025, and received an extension to submit its final FY2024-2025 Annual Report in January 2026.</w:t>
            </w:r>
          </w:p>
        </w:tc>
        <w:tc>
          <w:tcPr>
            <w:tcW w:w="3240" w:type="dxa"/>
          </w:tcPr>
          <w:p w:rsidRPr="00391600" w:rsidR="002F78F4" w:rsidP="00BB366A" w:rsidRDefault="0009626A" w14:paraId="37F8C2C1" w14:textId="0121E413">
            <w:pPr>
              <w:rPr>
                <w:rFonts w:ascii="Palatino Linotype" w:hAnsi="Palatino Linotype"/>
                <w:b/>
                <w:sz w:val="20"/>
                <w:szCs w:val="20"/>
              </w:rPr>
            </w:pPr>
            <w:r w:rsidRPr="00391600">
              <w:rPr>
                <w:rFonts w:ascii="Palatino Linotype" w:hAnsi="Palatino Linotype"/>
                <w:b/>
                <w:sz w:val="20"/>
                <w:szCs w:val="20"/>
              </w:rPr>
              <w:t xml:space="preserve">The </w:t>
            </w:r>
            <w:r w:rsidRPr="00391600" w:rsidR="002F78F4">
              <w:rPr>
                <w:rFonts w:ascii="Palatino Linotype" w:hAnsi="Palatino Linotype"/>
                <w:b/>
                <w:sz w:val="20"/>
                <w:szCs w:val="20"/>
              </w:rPr>
              <w:t xml:space="preserve">CEC is compliant with this requirement. </w:t>
            </w:r>
            <w:r w:rsidRPr="00391600" w:rsidR="002F78F4">
              <w:rPr>
                <w:rFonts w:ascii="Palatino Linotype" w:hAnsi="Palatino Linotype"/>
                <w:bCs/>
                <w:sz w:val="20"/>
                <w:szCs w:val="20"/>
              </w:rPr>
              <w:t xml:space="preserve">However, </w:t>
            </w:r>
            <w:r w:rsidRPr="00391600">
              <w:rPr>
                <w:rFonts w:ascii="Palatino Linotype" w:hAnsi="Palatino Linotype"/>
                <w:bCs/>
                <w:sz w:val="20"/>
                <w:szCs w:val="20"/>
              </w:rPr>
              <w:t xml:space="preserve">the </w:t>
            </w:r>
            <w:r w:rsidRPr="00391600" w:rsidR="002F78F4">
              <w:rPr>
                <w:rFonts w:ascii="Palatino Linotype" w:hAnsi="Palatino Linotype"/>
                <w:bCs/>
                <w:sz w:val="20"/>
                <w:szCs w:val="20"/>
              </w:rPr>
              <w:t>CEC shall strive to provide its final Annual Report by the deadline.</w:t>
            </w:r>
          </w:p>
        </w:tc>
      </w:tr>
      <w:tr w:rsidRPr="00391600" w:rsidR="002F78F4" w:rsidTr="6FAFEDE3" w14:paraId="09DAF0DA" w14:textId="77777777">
        <w:trPr>
          <w:trHeight w:val="638"/>
        </w:trPr>
        <w:tc>
          <w:tcPr>
            <w:tcW w:w="3145" w:type="dxa"/>
          </w:tcPr>
          <w:p w:rsidRPr="00391600" w:rsidR="002F78F4" w:rsidP="00BB366A" w:rsidRDefault="002F78F4" w14:paraId="055F9738" w14:textId="37183E8B">
            <w:pPr>
              <w:rPr>
                <w:rFonts w:ascii="Palatino Linotype" w:hAnsi="Palatino Linotype"/>
              </w:rPr>
            </w:pPr>
            <w:hyperlink r:id="rId104">
              <w:r w:rsidRPr="00391600">
                <w:rPr>
                  <w:rStyle w:val="Hyperlink"/>
                  <w:rFonts w:ascii="Palatino Linotype" w:hAnsi="Palatino Linotype" w:eastAsia="Palatino Linotype" w:cs="Palatino Linotype"/>
                  <w:b/>
                  <w:bCs/>
                  <w:sz w:val="20"/>
                  <w:szCs w:val="20"/>
                </w:rPr>
                <w:t>Resolution G-3484</w:t>
              </w:r>
            </w:hyperlink>
            <w:r w:rsidRPr="00391600">
              <w:rPr>
                <w:rFonts w:ascii="Palatino Linotype" w:hAnsi="Palatino Linotype" w:eastAsia="Palatino Linotype" w:cs="Palatino Linotype"/>
                <w:b/>
                <w:bCs/>
                <w:color w:val="000000" w:themeColor="text1"/>
                <w:sz w:val="20"/>
                <w:szCs w:val="20"/>
              </w:rPr>
              <w:t xml:space="preserve"> </w:t>
            </w:r>
            <w:r w:rsidRPr="00391600">
              <w:rPr>
                <w:rFonts w:ascii="Palatino Linotype" w:hAnsi="Palatino Linotype" w:eastAsia="Palatino Linotype" w:cs="Palatino Linotype"/>
                <w:color w:val="000000" w:themeColor="text1"/>
                <w:sz w:val="20"/>
                <w:szCs w:val="20"/>
              </w:rPr>
              <w:t xml:space="preserve">(2013) at p. 5-6: </w:t>
            </w:r>
            <w:r w:rsidRPr="00391600">
              <w:rPr>
                <w:rFonts w:ascii="Palatino Linotype" w:hAnsi="Palatino Linotype" w:eastAsia="Palatino Linotype" w:cs="Palatino Linotype"/>
                <w:i/>
                <w:iCs/>
                <w:color w:val="000000" w:themeColor="text1"/>
                <w:sz w:val="20"/>
                <w:szCs w:val="20"/>
              </w:rPr>
              <w:t xml:space="preserve">In the interest of transparency, the CEC shall give an accounting of unspent PIER Natural Gas R&amp;D funds in each future year proposed budget, beginning with the proposed budget for Fiscal Year 2014-2015. The CPUC understands that the CEC has two years to </w:t>
            </w:r>
            <w:r w:rsidRPr="00391600">
              <w:rPr>
                <w:rFonts w:ascii="Palatino Linotype" w:hAnsi="Palatino Linotype" w:eastAsia="Palatino Linotype" w:cs="Palatino Linotype"/>
                <w:i/>
                <w:iCs/>
                <w:color w:val="000000" w:themeColor="text1"/>
                <w:sz w:val="20"/>
                <w:szCs w:val="20"/>
              </w:rPr>
              <w:lastRenderedPageBreak/>
              <w:t xml:space="preserve">encumber PIER Natural Gas R&amp;D funds with projects and an additional four years before such funds expire. Beginning with the Fiscal Year 2014-2015 proposed budget, the CEC shall include in its proposed </w:t>
            </w:r>
            <w:proofErr w:type="gramStart"/>
            <w:r w:rsidRPr="00391600">
              <w:rPr>
                <w:rFonts w:ascii="Palatino Linotype" w:hAnsi="Palatino Linotype" w:eastAsia="Palatino Linotype" w:cs="Palatino Linotype"/>
                <w:i/>
                <w:iCs/>
                <w:color w:val="000000" w:themeColor="text1"/>
                <w:sz w:val="20"/>
                <w:szCs w:val="20"/>
              </w:rPr>
              <w:t>budget an account</w:t>
            </w:r>
            <w:proofErr w:type="gramEnd"/>
            <w:r w:rsidRPr="00391600">
              <w:rPr>
                <w:rFonts w:ascii="Palatino Linotype" w:hAnsi="Palatino Linotype" w:eastAsia="Palatino Linotype" w:cs="Palatino Linotype"/>
                <w:i/>
                <w:iCs/>
                <w:color w:val="000000" w:themeColor="text1"/>
                <w:sz w:val="20"/>
                <w:szCs w:val="20"/>
              </w:rPr>
              <w:t xml:space="preserve">, by research area, of then-current unspent funds in the PIER Natural Gas R&amp;D program, including encumbrances and expiration dates. The intent of this requirement is to show that the CEC has spent its cumulative authorized budgets in the areas in which the money was authorized and to provide an accounting of the status of cumulative unspent funds. This </w:t>
            </w:r>
            <w:proofErr w:type="gramStart"/>
            <w:r w:rsidRPr="00391600">
              <w:rPr>
                <w:rFonts w:ascii="Palatino Linotype" w:hAnsi="Palatino Linotype" w:eastAsia="Palatino Linotype" w:cs="Palatino Linotype"/>
                <w:i/>
                <w:iCs/>
                <w:color w:val="000000" w:themeColor="text1"/>
                <w:sz w:val="20"/>
                <w:szCs w:val="20"/>
              </w:rPr>
              <w:t>requirement shall</w:t>
            </w:r>
            <w:proofErr w:type="gramEnd"/>
            <w:r w:rsidRPr="00391600">
              <w:rPr>
                <w:rFonts w:ascii="Palatino Linotype" w:hAnsi="Palatino Linotype" w:eastAsia="Palatino Linotype" w:cs="Palatino Linotype"/>
                <w:i/>
                <w:iCs/>
                <w:color w:val="000000" w:themeColor="text1"/>
                <w:sz w:val="20"/>
                <w:szCs w:val="20"/>
              </w:rPr>
              <w:t xml:space="preserve"> remain in place for each fiscal year’s proposed budget, until otherwise directed by the CPUC</w:t>
            </w:r>
            <w:r w:rsidRPr="00391600">
              <w:rPr>
                <w:rFonts w:ascii="Palatino Linotype" w:hAnsi="Palatino Linotype" w:eastAsia="Palatino Linotype" w:cs="Palatino Linotype"/>
                <w:color w:val="000000" w:themeColor="text1"/>
                <w:sz w:val="20"/>
                <w:szCs w:val="20"/>
              </w:rPr>
              <w:t xml:space="preserve">.  </w:t>
            </w:r>
          </w:p>
        </w:tc>
        <w:tc>
          <w:tcPr>
            <w:tcW w:w="7920" w:type="dxa"/>
          </w:tcPr>
          <w:p w:rsidRPr="00391600" w:rsidR="002F78F4" w:rsidP="00BB366A" w:rsidRDefault="1710CCEA" w14:paraId="3F38FD89" w14:textId="07255DA6">
            <w:pPr>
              <w:rPr>
                <w:rFonts w:ascii="Palatino Linotype" w:hAnsi="Palatino Linotype"/>
                <w:bCs/>
                <w:color w:val="000000" w:themeColor="text1"/>
                <w:sz w:val="20"/>
                <w:szCs w:val="20"/>
              </w:rPr>
            </w:pPr>
            <w:r w:rsidRPr="00391600">
              <w:rPr>
                <w:rFonts w:ascii="Palatino Linotype" w:hAnsi="Palatino Linotype"/>
                <w:sz w:val="20"/>
                <w:szCs w:val="20"/>
              </w:rPr>
              <w:lastRenderedPageBreak/>
              <w:t xml:space="preserve">The </w:t>
            </w:r>
            <w:r w:rsidRPr="00391600" w:rsidR="002F78F4">
              <w:rPr>
                <w:rFonts w:ascii="Palatino Linotype" w:hAnsi="Palatino Linotype"/>
                <w:color w:val="000000" w:themeColor="text1"/>
                <w:sz w:val="20"/>
                <w:szCs w:val="20"/>
              </w:rPr>
              <w:t xml:space="preserve">CEC provides balances of encumbered and unspent funds from CEC’s Plans from FY 2014-2015 through FY 2023-2024 as of January 2025 in Appendix B.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states that “Funds Unspent refers to funds that have not been encumbered to an executed agreement (contract or grant), or previously encumbered funds that become unencumbered because the agreement has been canceled or due to other reasons.”</w:t>
            </w:r>
            <w:r w:rsidRPr="00391600" w:rsidR="002F78F4">
              <w:rPr>
                <w:rStyle w:val="FootnoteReference"/>
                <w:rFonts w:ascii="Palatino Linotype" w:hAnsi="Palatino Linotype"/>
                <w:color w:val="000000" w:themeColor="text1"/>
                <w:sz w:val="20"/>
                <w:szCs w:val="20"/>
              </w:rPr>
              <w:footnoteReference w:id="263"/>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 xml:space="preserve">CEC reports $26.14M in unspent funds from its FY 2023-2024 Plan and details that, for this Plan, the CPUC approved reallocations amounting to $1.23M from its FY 2020-2021 Plan; $3.81 from its FY 2016-2017 Plan; and $1.5M from its FY 2015-2016 Plan in previously unspent funds. CEC does not request to use unspent funds for any new </w:t>
            </w:r>
            <w:r w:rsidRPr="00391600" w:rsidR="002F78F4">
              <w:rPr>
                <w:rFonts w:ascii="Palatino Linotype" w:hAnsi="Palatino Linotype"/>
                <w:color w:val="000000" w:themeColor="text1"/>
                <w:sz w:val="20"/>
                <w:szCs w:val="20"/>
              </w:rPr>
              <w:lastRenderedPageBreak/>
              <w:t>projects in its FY 2025-2026 Plan, but states that it “will ensure that for any use of encumbered and unspent funds that the CEC requests for new projects, the request will identify the respective research areas for which the CPUC originally authorized the funding.”</w:t>
            </w:r>
            <w:r w:rsidRPr="00391600" w:rsidR="002F78F4">
              <w:rPr>
                <w:rStyle w:val="FootnoteReference"/>
                <w:rFonts w:ascii="Palatino Linotype" w:hAnsi="Palatino Linotype"/>
                <w:color w:val="000000" w:themeColor="text1"/>
                <w:sz w:val="20"/>
                <w:szCs w:val="20"/>
              </w:rPr>
              <w:footnoteReference w:id="264"/>
            </w:r>
            <w:r w:rsidRPr="00391600" w:rsidR="002F78F4">
              <w:rPr>
                <w:rFonts w:ascii="Palatino Linotype" w:hAnsi="Palatino Linotype"/>
                <w:color w:val="000000" w:themeColor="text1"/>
                <w:sz w:val="20"/>
                <w:szCs w:val="20"/>
              </w:rPr>
              <w:t xml:space="preserve"> </w:t>
            </w:r>
          </w:p>
          <w:p w:rsidRPr="00391600" w:rsidR="002F78F4" w:rsidP="00BB366A" w:rsidRDefault="002F78F4" w14:paraId="08634179" w14:textId="77777777">
            <w:pPr>
              <w:rPr>
                <w:rFonts w:ascii="Palatino Linotype" w:hAnsi="Palatino Linotype"/>
                <w:bCs/>
                <w:color w:val="000000" w:themeColor="text1"/>
                <w:sz w:val="20"/>
                <w:szCs w:val="20"/>
              </w:rPr>
            </w:pPr>
          </w:p>
          <w:p w:rsidRPr="00391600" w:rsidR="002F78F4" w:rsidP="00BB366A" w:rsidRDefault="000E54AE" w14:paraId="62D3641F" w14:textId="14C6D265">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The</w:t>
            </w:r>
            <w:r w:rsidRPr="00391600" w:rsidDel="000E54AE" w:rsidR="0009626A">
              <w:rPr>
                <w:rFonts w:ascii="Palatino Linotype" w:hAnsi="Palatino Linotype"/>
                <w:bCs/>
                <w:color w:val="000000" w:themeColor="text1"/>
                <w:sz w:val="20"/>
                <w:szCs w:val="20"/>
              </w:rPr>
              <w:t xml:space="preserve"> </w:t>
            </w:r>
            <w:r w:rsidRPr="00391600" w:rsidR="002F78F4">
              <w:rPr>
                <w:rFonts w:ascii="Palatino Linotype" w:hAnsi="Palatino Linotype"/>
                <w:bCs/>
                <w:color w:val="000000" w:themeColor="text1"/>
                <w:sz w:val="20"/>
                <w:szCs w:val="20"/>
              </w:rPr>
              <w:t>CEC also responded to a Spring 2026 CPUC</w:t>
            </w:r>
            <w:r w:rsidRPr="00391600" w:rsidR="0056763F">
              <w:rPr>
                <w:rFonts w:ascii="Palatino Linotype" w:hAnsi="Palatino Linotype"/>
                <w:bCs/>
                <w:color w:val="000000" w:themeColor="text1"/>
                <w:sz w:val="20"/>
                <w:szCs w:val="20"/>
              </w:rPr>
              <w:t xml:space="preserve"> d</w:t>
            </w:r>
            <w:r w:rsidRPr="00391600" w:rsidR="002F78F4">
              <w:rPr>
                <w:rFonts w:ascii="Palatino Linotype" w:hAnsi="Palatino Linotype"/>
                <w:bCs/>
                <w:color w:val="000000" w:themeColor="text1"/>
                <w:sz w:val="20"/>
                <w:szCs w:val="20"/>
              </w:rPr>
              <w:t xml:space="preserve">ata </w:t>
            </w:r>
            <w:r w:rsidRPr="00391600" w:rsidR="0056763F">
              <w:rPr>
                <w:rFonts w:ascii="Palatino Linotype" w:hAnsi="Palatino Linotype"/>
                <w:bCs/>
                <w:color w:val="000000" w:themeColor="text1"/>
                <w:sz w:val="20"/>
                <w:szCs w:val="20"/>
              </w:rPr>
              <w:t>r</w:t>
            </w:r>
            <w:r w:rsidRPr="00391600" w:rsidR="002F78F4">
              <w:rPr>
                <w:rFonts w:ascii="Palatino Linotype" w:hAnsi="Palatino Linotype"/>
                <w:bCs/>
                <w:color w:val="000000" w:themeColor="text1"/>
                <w:sz w:val="20"/>
                <w:szCs w:val="20"/>
              </w:rPr>
              <w:t>equest with updated balances of spent and unspent encumbered funds and unencumbered funds from previously approved Gas RD&amp;D Plans from FY 2015-2016 to present to supplement information provided in its Plan appendices. CEC reports a total of $31,076,69</w:t>
            </w:r>
            <w:r w:rsidRPr="00391600" w:rsidR="00047DFA">
              <w:rPr>
                <w:rFonts w:ascii="Palatino Linotype" w:hAnsi="Palatino Linotype"/>
                <w:bCs/>
                <w:color w:val="000000" w:themeColor="text1"/>
                <w:sz w:val="20"/>
                <w:szCs w:val="20"/>
              </w:rPr>
              <w:t>0</w:t>
            </w:r>
            <w:r w:rsidRPr="00391600" w:rsidR="002F78F4">
              <w:rPr>
                <w:rFonts w:ascii="Palatino Linotype" w:hAnsi="Palatino Linotype"/>
                <w:bCs/>
                <w:color w:val="000000" w:themeColor="text1"/>
                <w:sz w:val="20"/>
                <w:szCs w:val="20"/>
              </w:rPr>
              <w:t xml:space="preserve"> in Unspent Encumbered Funds and Unencumbered Funds</w:t>
            </w:r>
            <w:r w:rsidRPr="00391600" w:rsidDel="00047DFA" w:rsidR="002F78F4">
              <w:rPr>
                <w:rFonts w:ascii="Palatino Linotype" w:hAnsi="Palatino Linotype"/>
                <w:bCs/>
                <w:color w:val="000000" w:themeColor="text1"/>
                <w:sz w:val="20"/>
                <w:szCs w:val="20"/>
              </w:rPr>
              <w:t xml:space="preserve"> </w:t>
            </w:r>
            <w:r w:rsidRPr="00391600" w:rsidR="00047DFA">
              <w:rPr>
                <w:rFonts w:ascii="Palatino Linotype" w:hAnsi="Palatino Linotype"/>
                <w:color w:val="000000" w:themeColor="text1"/>
                <w:sz w:val="20"/>
                <w:szCs w:val="20"/>
              </w:rPr>
              <w:t xml:space="preserve">for which up to 11+ years have passed since encumbrance or up to 9+ years have passed since funds were authorized without being </w:t>
            </w:r>
            <w:r w:rsidRPr="00391600" w:rsidR="00047DFA">
              <w:rPr>
                <w:rFonts w:ascii="Palatino Linotype" w:hAnsi="Palatino Linotype"/>
                <w:bCs/>
                <w:color w:val="000000" w:themeColor="text1"/>
                <w:sz w:val="20"/>
                <w:szCs w:val="20"/>
              </w:rPr>
              <w:t>encumbered.</w:t>
            </w:r>
            <w:r w:rsidRPr="00391600" w:rsidR="002F78F4">
              <w:rPr>
                <w:rFonts w:ascii="Palatino Linotype" w:hAnsi="Palatino Linotype"/>
                <w:bCs/>
                <w:color w:val="000000" w:themeColor="text1"/>
                <w:sz w:val="20"/>
                <w:szCs w:val="20"/>
              </w:rPr>
              <w:t xml:space="preserve"> </w:t>
            </w:r>
            <w:r w:rsidRPr="00391600" w:rsidR="002F78F4">
              <w:rPr>
                <w:rFonts w:ascii="Palatino Linotype" w:hAnsi="Palatino Linotype"/>
                <w:sz w:val="20"/>
                <w:szCs w:val="20"/>
              </w:rPr>
              <w:t>See Resolution G-</w:t>
            </w:r>
            <w:r w:rsidRPr="00391600" w:rsidR="002E0702">
              <w:rPr>
                <w:rFonts w:ascii="Palatino Linotype" w:hAnsi="Palatino Linotype"/>
                <w:color w:val="000000" w:themeColor="text1"/>
                <w:sz w:val="20"/>
                <w:szCs w:val="20"/>
              </w:rPr>
              <w:t>3622</w:t>
            </w:r>
            <w:r w:rsidRPr="00391600" w:rsidR="002F78F4">
              <w:rPr>
                <w:rFonts w:ascii="Palatino Linotype" w:hAnsi="Palatino Linotype"/>
                <w:sz w:val="20"/>
                <w:szCs w:val="20"/>
              </w:rPr>
              <w:t xml:space="preserve"> at Appendix </w:t>
            </w:r>
            <w:r w:rsidRPr="00391600" w:rsidR="004A55C8">
              <w:rPr>
                <w:rFonts w:ascii="Palatino Linotype" w:hAnsi="Palatino Linotype"/>
                <w:sz w:val="20"/>
                <w:szCs w:val="20"/>
              </w:rPr>
              <w:t>F</w:t>
            </w:r>
            <w:r w:rsidRPr="00391600" w:rsidR="002F78F4">
              <w:rPr>
                <w:rFonts w:ascii="Palatino Linotype" w:hAnsi="Palatino Linotype"/>
                <w:color w:val="000000" w:themeColor="text1"/>
                <w:sz w:val="20"/>
                <w:szCs w:val="20"/>
              </w:rPr>
              <w:t>: CEC Balances of Unspent Funds from Previously Approved Gas RD&amp;D Plans.</w:t>
            </w:r>
          </w:p>
          <w:p w:rsidRPr="00391600" w:rsidR="002F78F4" w:rsidP="00BB366A" w:rsidRDefault="002F78F4" w14:paraId="62B4D6B2" w14:textId="77777777">
            <w:pPr>
              <w:rPr>
                <w:rFonts w:ascii="Palatino Linotype" w:hAnsi="Palatino Linotype"/>
                <w:bCs/>
                <w:color w:val="000000" w:themeColor="text1"/>
                <w:sz w:val="20"/>
                <w:szCs w:val="20"/>
              </w:rPr>
            </w:pPr>
          </w:p>
          <w:p w:rsidRPr="00391600" w:rsidR="002F78F4" w:rsidP="00BB366A" w:rsidRDefault="002F78F4" w14:paraId="4E9D57E9" w14:textId="77777777">
            <w:pPr>
              <w:rPr>
                <w:rFonts w:ascii="Palatino Linotype" w:hAnsi="Palatino Linotype"/>
                <w:bCs/>
                <w:color w:val="A6A6A6" w:themeColor="background1" w:themeShade="A6"/>
                <w:sz w:val="20"/>
                <w:szCs w:val="20"/>
              </w:rPr>
            </w:pPr>
          </w:p>
          <w:p w:rsidRPr="00391600" w:rsidR="002F78F4" w:rsidP="00BB366A" w:rsidRDefault="002F78F4" w14:paraId="0542590B" w14:textId="77777777">
            <w:pPr>
              <w:pStyle w:val="ListParagraph"/>
              <w:ind w:left="1080"/>
              <w:rPr>
                <w:rFonts w:ascii="Palatino Linotype" w:hAnsi="Palatino Linotype"/>
                <w:bCs/>
                <w:color w:val="A6A6A6" w:themeColor="background1" w:themeShade="A6"/>
                <w:sz w:val="20"/>
                <w:szCs w:val="20"/>
              </w:rPr>
            </w:pPr>
          </w:p>
          <w:p w:rsidRPr="00391600" w:rsidR="002F78F4" w:rsidP="00BB366A" w:rsidRDefault="002F78F4" w14:paraId="5D5EB4D7" w14:textId="77777777">
            <w:pPr>
              <w:rPr>
                <w:rFonts w:ascii="Palatino Linotype" w:hAnsi="Palatino Linotype"/>
                <w:bCs/>
                <w:color w:val="A6A6A6" w:themeColor="background1" w:themeShade="A6"/>
                <w:sz w:val="20"/>
                <w:szCs w:val="20"/>
              </w:rPr>
            </w:pPr>
          </w:p>
        </w:tc>
        <w:tc>
          <w:tcPr>
            <w:tcW w:w="3240" w:type="dxa"/>
          </w:tcPr>
          <w:p w:rsidRPr="00391600" w:rsidR="002F78F4" w:rsidP="00BB366A" w:rsidRDefault="002F78F4" w14:paraId="154C7EA4" w14:textId="72A73A56">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 xml:space="preserve">Though </w:t>
            </w:r>
            <w:r w:rsidRPr="00391600" w:rsidR="0009626A">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w:t>
            </w:r>
            <w:r w:rsidRPr="00391600" w:rsidR="005018A0">
              <w:rPr>
                <w:rFonts w:ascii="Palatino Linotype" w:hAnsi="Palatino Linotype"/>
                <w:bCs/>
                <w:color w:val="000000" w:themeColor="text1"/>
                <w:sz w:val="20"/>
                <w:szCs w:val="20"/>
              </w:rPr>
              <w:t xml:space="preserve">provides some </w:t>
            </w:r>
            <w:proofErr w:type="gramStart"/>
            <w:r w:rsidRPr="00391600">
              <w:rPr>
                <w:rFonts w:ascii="Palatino Linotype" w:hAnsi="Palatino Linotype"/>
                <w:bCs/>
                <w:color w:val="000000" w:themeColor="text1"/>
                <w:sz w:val="20"/>
                <w:szCs w:val="20"/>
              </w:rPr>
              <w:t>report</w:t>
            </w:r>
            <w:r w:rsidRPr="00391600" w:rsidR="005018A0">
              <w:rPr>
                <w:rFonts w:ascii="Palatino Linotype" w:hAnsi="Palatino Linotype"/>
                <w:bCs/>
                <w:color w:val="000000" w:themeColor="text1"/>
                <w:sz w:val="20"/>
                <w:szCs w:val="20"/>
              </w:rPr>
              <w:t>ing</w:t>
            </w:r>
            <w:proofErr w:type="gramEnd"/>
            <w:r w:rsidRPr="00391600" w:rsidR="005018A0">
              <w:rPr>
                <w:rFonts w:ascii="Palatino Linotype" w:hAnsi="Palatino Linotype"/>
                <w:bCs/>
                <w:color w:val="000000" w:themeColor="text1"/>
                <w:sz w:val="20"/>
                <w:szCs w:val="20"/>
              </w:rPr>
              <w:t xml:space="preserve"> on</w:t>
            </w:r>
            <w:r w:rsidRPr="00391600">
              <w:rPr>
                <w:rFonts w:ascii="Palatino Linotype" w:hAnsi="Palatino Linotype"/>
                <w:bCs/>
                <w:color w:val="000000" w:themeColor="text1"/>
                <w:sz w:val="20"/>
                <w:szCs w:val="20"/>
              </w:rPr>
              <w:t xml:space="preserve"> unspent and encumbered funds, </w:t>
            </w:r>
            <w:r w:rsidRPr="00391600" w:rsidR="0009626A">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w:t>
            </w:r>
            <w:r w:rsidRPr="00391600" w:rsidDel="005018A0">
              <w:rPr>
                <w:rFonts w:ascii="Palatino Linotype" w:hAnsi="Palatino Linotype"/>
                <w:bCs/>
                <w:color w:val="000000" w:themeColor="text1"/>
                <w:sz w:val="20"/>
                <w:szCs w:val="20"/>
              </w:rPr>
              <w:t xml:space="preserve">does not </w:t>
            </w:r>
            <w:r w:rsidRPr="00391600">
              <w:rPr>
                <w:rFonts w:ascii="Palatino Linotype" w:hAnsi="Palatino Linotype"/>
                <w:bCs/>
                <w:color w:val="000000" w:themeColor="text1"/>
                <w:sz w:val="20"/>
                <w:szCs w:val="20"/>
              </w:rPr>
              <w:t xml:space="preserve">provide information on the spending of program administrative </w:t>
            </w:r>
            <w:proofErr w:type="gramStart"/>
            <w:r w:rsidRPr="00391600">
              <w:rPr>
                <w:rFonts w:ascii="Palatino Linotype" w:hAnsi="Palatino Linotype"/>
                <w:bCs/>
                <w:color w:val="000000" w:themeColor="text1"/>
                <w:sz w:val="20"/>
                <w:szCs w:val="20"/>
              </w:rPr>
              <w:t>costs</w:t>
            </w:r>
            <w:proofErr w:type="gramEnd"/>
            <w:r w:rsidRPr="00391600">
              <w:rPr>
                <w:rFonts w:ascii="Palatino Linotype" w:hAnsi="Palatino Linotype"/>
                <w:bCs/>
                <w:color w:val="000000" w:themeColor="text1"/>
                <w:sz w:val="20"/>
                <w:szCs w:val="20"/>
              </w:rPr>
              <w:t xml:space="preserve">. The information provided does not </w:t>
            </w:r>
            <w:r w:rsidRPr="00391600">
              <w:rPr>
                <w:rFonts w:ascii="Palatino Linotype" w:hAnsi="Palatino Linotype"/>
                <w:color w:val="000000" w:themeColor="text1"/>
                <w:sz w:val="20"/>
                <w:szCs w:val="20"/>
              </w:rPr>
              <w:t>demonstrate</w:t>
            </w:r>
            <w:r w:rsidRPr="00391600">
              <w:rPr>
                <w:rFonts w:ascii="Palatino Linotype" w:hAnsi="Palatino Linotype" w:eastAsia="Palatino Linotype" w:cs="Palatino Linotype"/>
                <w:color w:val="000000" w:themeColor="text1"/>
                <w:sz w:val="20"/>
                <w:szCs w:val="20"/>
              </w:rPr>
              <w:t xml:space="preserve"> that </w:t>
            </w:r>
            <w:r w:rsidRPr="00391600" w:rsidR="0009626A">
              <w:rPr>
                <w:rFonts w:ascii="Palatino Linotype" w:hAnsi="Palatino Linotype" w:eastAsia="Palatino Linotype" w:cs="Palatino Linotype"/>
                <w:color w:val="000000" w:themeColor="text1"/>
                <w:sz w:val="20"/>
                <w:szCs w:val="20"/>
              </w:rPr>
              <w:t xml:space="preserve">the </w:t>
            </w:r>
            <w:r w:rsidRPr="00391600">
              <w:rPr>
                <w:rFonts w:ascii="Palatino Linotype" w:hAnsi="Palatino Linotype" w:eastAsia="Palatino Linotype" w:cs="Palatino Linotype"/>
                <w:color w:val="000000" w:themeColor="text1"/>
                <w:sz w:val="20"/>
                <w:szCs w:val="20"/>
              </w:rPr>
              <w:t xml:space="preserve">CEC has spent its cumulative authorized </w:t>
            </w:r>
            <w:r w:rsidRPr="00391600">
              <w:rPr>
                <w:rFonts w:ascii="Palatino Linotype" w:hAnsi="Palatino Linotype" w:eastAsia="Palatino Linotype" w:cs="Palatino Linotype"/>
                <w:color w:val="000000" w:themeColor="text1"/>
                <w:sz w:val="20"/>
                <w:szCs w:val="20"/>
              </w:rPr>
              <w:lastRenderedPageBreak/>
              <w:t>budgets in the areas in which the money was authorized nor provide sufficient accounting on the status of cumulative unspent funds.</w:t>
            </w:r>
            <w:r w:rsidRPr="00391600">
              <w:rPr>
                <w:rFonts w:ascii="Palatino Linotype" w:hAnsi="Palatino Linotype"/>
                <w:bCs/>
                <w:color w:val="000000" w:themeColor="text1"/>
                <w:sz w:val="20"/>
                <w:szCs w:val="20"/>
              </w:rPr>
              <w:t xml:space="preserve"> </w:t>
            </w:r>
            <w:r w:rsidRPr="00391600" w:rsidR="0009626A">
              <w:rPr>
                <w:rFonts w:ascii="Palatino Linotype" w:hAnsi="Palatino Linotype"/>
                <w:b/>
                <w:sz w:val="20"/>
                <w:szCs w:val="20"/>
              </w:rPr>
              <w:t>The</w:t>
            </w:r>
            <w:r w:rsidRPr="00391600" w:rsidR="0009626A">
              <w:rPr>
                <w:rFonts w:ascii="Palatino Linotype" w:hAnsi="Palatino Linotype"/>
                <w:bCs/>
                <w:sz w:val="20"/>
                <w:szCs w:val="20"/>
              </w:rPr>
              <w:t xml:space="preserve"> </w:t>
            </w:r>
            <w:r w:rsidRPr="00391600">
              <w:rPr>
                <w:rFonts w:ascii="Palatino Linotype" w:hAnsi="Palatino Linotype"/>
                <w:b/>
                <w:color w:val="000000" w:themeColor="text1"/>
                <w:sz w:val="20"/>
                <w:szCs w:val="20"/>
              </w:rPr>
              <w:t xml:space="preserve">CEC is </w:t>
            </w:r>
            <w:r w:rsidRPr="00391600">
              <w:rPr>
                <w:rFonts w:ascii="Palatino Linotype" w:hAnsi="Palatino Linotype"/>
                <w:b/>
                <w:i/>
                <w:iCs/>
                <w:color w:val="000000" w:themeColor="text1"/>
                <w:sz w:val="20"/>
                <w:szCs w:val="20"/>
              </w:rPr>
              <w:t>not</w:t>
            </w:r>
            <w:r w:rsidRPr="00391600">
              <w:rPr>
                <w:rFonts w:ascii="Palatino Linotype" w:hAnsi="Palatino Linotype"/>
                <w:b/>
                <w:color w:val="000000" w:themeColor="text1"/>
                <w:sz w:val="20"/>
                <w:szCs w:val="20"/>
              </w:rPr>
              <w:t xml:space="preserve"> compliant with this requirement.  </w:t>
            </w:r>
          </w:p>
          <w:p w:rsidRPr="00391600" w:rsidR="002F78F4" w:rsidP="00BB366A" w:rsidRDefault="002F78F4" w14:paraId="32A30796" w14:textId="77777777">
            <w:pPr>
              <w:rPr>
                <w:rFonts w:ascii="Palatino Linotype" w:hAnsi="Palatino Linotype"/>
                <w:b/>
                <w:color w:val="000000" w:themeColor="text1"/>
                <w:sz w:val="20"/>
                <w:szCs w:val="20"/>
              </w:rPr>
            </w:pPr>
          </w:p>
          <w:p w:rsidRPr="00391600" w:rsidR="002F78F4" w:rsidP="00BB366A" w:rsidRDefault="00962E24" w14:paraId="3366CD33" w14:textId="78ABDA28">
            <w:pPr>
              <w:rPr>
                <w:rFonts w:ascii="Palatino Linotype" w:hAnsi="Palatino Linotype"/>
                <w:bCs/>
                <w:color w:val="A6A6A6" w:themeColor="background1" w:themeShade="A6"/>
                <w:sz w:val="20"/>
                <w:szCs w:val="20"/>
              </w:rPr>
            </w:pPr>
            <w:r w:rsidRPr="00391600">
              <w:rPr>
                <w:rFonts w:ascii="Palatino Linotype" w:hAnsi="Palatino Linotype"/>
                <w:sz w:val="20"/>
                <w:szCs w:val="20"/>
              </w:rPr>
              <w:t>To clearly demonstrate compliance with reporting requirements, the CEC shall utilize the standardized template provided by Energy Division for its Annual Report.</w:t>
            </w:r>
          </w:p>
        </w:tc>
      </w:tr>
      <w:tr w:rsidRPr="00391600" w:rsidR="002F78F4" w:rsidTr="6FAFEDE3" w14:paraId="0641721A" w14:textId="77777777">
        <w:trPr>
          <w:trHeight w:val="638"/>
        </w:trPr>
        <w:tc>
          <w:tcPr>
            <w:tcW w:w="3145" w:type="dxa"/>
          </w:tcPr>
          <w:p w:rsidRPr="00391600" w:rsidR="002F78F4" w:rsidP="00BB366A" w:rsidRDefault="002F78F4" w14:paraId="2F568E13" w14:textId="77777777">
            <w:pPr>
              <w:rPr>
                <w:rFonts w:ascii="Palatino Linotype" w:hAnsi="Palatino Linotype"/>
                <w:bCs/>
                <w:i/>
                <w:iCs/>
                <w:sz w:val="20"/>
                <w:szCs w:val="20"/>
              </w:rPr>
            </w:pPr>
            <w:hyperlink r:id="rId105">
              <w:r w:rsidRPr="00391600">
                <w:rPr>
                  <w:rStyle w:val="Hyperlink"/>
                  <w:rFonts w:ascii="Palatino Linotype" w:hAnsi="Palatino Linotype"/>
                  <w:b/>
                  <w:bCs/>
                  <w:sz w:val="20"/>
                  <w:szCs w:val="20"/>
                </w:rPr>
                <w:t>Resolution G-3571</w:t>
              </w:r>
            </w:hyperlink>
            <w:r w:rsidRPr="00391600">
              <w:rPr>
                <w:rFonts w:ascii="Palatino Linotype" w:hAnsi="Palatino Linotype"/>
                <w:sz w:val="20"/>
                <w:szCs w:val="20"/>
              </w:rPr>
              <w:t xml:space="preserve"> (2020) at OP 5.</w:t>
            </w:r>
            <w:r w:rsidRPr="00391600">
              <w:rPr>
                <w:rFonts w:ascii="Palatino Linotype" w:hAnsi="Palatino Linotype"/>
                <w:i/>
                <w:iCs/>
                <w:sz w:val="20"/>
                <w:szCs w:val="20"/>
              </w:rPr>
              <w:t xml:space="preserve"> In developing all future Natural Gas R&amp;D Plans, the CPUC requests that the CEC:</w:t>
            </w:r>
            <w:r w:rsidRPr="00391600">
              <w:rPr>
                <w:rStyle w:val="FootnoteReference"/>
                <w:rFonts w:ascii="Palatino Linotype" w:hAnsi="Palatino Linotype"/>
                <w:i/>
                <w:iCs/>
                <w:sz w:val="20"/>
                <w:szCs w:val="20"/>
              </w:rPr>
              <w:footnoteReference w:id="265"/>
            </w:r>
            <w:r w:rsidRPr="00391600">
              <w:rPr>
                <w:rFonts w:ascii="Palatino Linotype" w:hAnsi="Palatino Linotype"/>
                <w:i/>
                <w:iCs/>
                <w:sz w:val="20"/>
                <w:szCs w:val="20"/>
              </w:rPr>
              <w:t xml:space="preserve"> </w:t>
            </w:r>
          </w:p>
          <w:p w:rsidRPr="00391600" w:rsidR="002F78F4" w:rsidP="003B475F" w:rsidRDefault="002F78F4" w14:paraId="26952F31" w14:textId="77777777">
            <w:pPr>
              <w:pStyle w:val="ListParagraph"/>
              <w:numPr>
                <w:ilvl w:val="0"/>
                <w:numId w:val="27"/>
              </w:numPr>
              <w:rPr>
                <w:rFonts w:ascii="Palatino Linotype" w:hAnsi="Palatino Linotype"/>
                <w:bCs/>
                <w:i/>
                <w:iCs/>
                <w:sz w:val="20"/>
                <w:szCs w:val="20"/>
              </w:rPr>
            </w:pPr>
            <w:r w:rsidRPr="00391600">
              <w:rPr>
                <w:rFonts w:ascii="Palatino Linotype" w:hAnsi="Palatino Linotype"/>
                <w:bCs/>
                <w:i/>
                <w:iCs/>
                <w:sz w:val="20"/>
                <w:szCs w:val="20"/>
              </w:rPr>
              <w:t xml:space="preserve">Post the Natural Gas Research and Development </w:t>
            </w:r>
            <w:r w:rsidRPr="00391600">
              <w:rPr>
                <w:rFonts w:ascii="Palatino Linotype" w:hAnsi="Palatino Linotype"/>
                <w:bCs/>
                <w:i/>
                <w:iCs/>
                <w:sz w:val="20"/>
                <w:szCs w:val="20"/>
              </w:rPr>
              <w:lastRenderedPageBreak/>
              <w:t xml:space="preserve">Program: Proposed Budget Plan publicly on their website and notify CPUC of the web address when requesting approval of the plan.  </w:t>
            </w:r>
          </w:p>
          <w:p w:rsidRPr="00391600" w:rsidR="002F78F4" w:rsidP="003B475F" w:rsidRDefault="002F78F4" w14:paraId="44403ECC" w14:textId="77777777">
            <w:pPr>
              <w:pStyle w:val="ListParagraph"/>
              <w:numPr>
                <w:ilvl w:val="0"/>
                <w:numId w:val="27"/>
              </w:numPr>
              <w:rPr>
                <w:rFonts w:ascii="Palatino Linotype" w:hAnsi="Palatino Linotype"/>
                <w:bCs/>
                <w:i/>
                <w:iCs/>
                <w:sz w:val="20"/>
                <w:szCs w:val="20"/>
              </w:rPr>
            </w:pPr>
            <w:r w:rsidRPr="00391600">
              <w:rPr>
                <w:rFonts w:ascii="Palatino Linotype" w:hAnsi="Palatino Linotype"/>
                <w:bCs/>
                <w:i/>
                <w:iCs/>
                <w:sz w:val="20"/>
                <w:szCs w:val="20"/>
              </w:rPr>
              <w:t xml:space="preserve">Distribute the Natural Gas Research and Development Program: Proposed Budget Plan through the CEC’s research/R&amp;D community listservs and include the names of the distribution lists served when requesting CPUC’s approval of the plan.  </w:t>
            </w:r>
          </w:p>
          <w:p w:rsidRPr="00391600" w:rsidR="002F78F4" w:rsidP="003B475F" w:rsidRDefault="002F78F4" w14:paraId="6FB5E356" w14:textId="77777777">
            <w:pPr>
              <w:pStyle w:val="ListParagraph"/>
              <w:numPr>
                <w:ilvl w:val="0"/>
                <w:numId w:val="27"/>
              </w:numPr>
              <w:rPr>
                <w:rFonts w:ascii="Palatino Linotype" w:hAnsi="Palatino Linotype"/>
                <w:bCs/>
                <w:i/>
                <w:iCs/>
                <w:sz w:val="20"/>
                <w:szCs w:val="20"/>
              </w:rPr>
            </w:pPr>
            <w:r w:rsidRPr="00391600">
              <w:rPr>
                <w:rFonts w:ascii="Palatino Linotype" w:hAnsi="Palatino Linotype"/>
                <w:i/>
                <w:iCs/>
                <w:sz w:val="20"/>
                <w:szCs w:val="20"/>
              </w:rPr>
              <w:t>Consult with Energy Division staff on which CPUC listservs from ongoing CPUC proceedings the CEC should notice their proposed plan to.</w:t>
            </w:r>
          </w:p>
          <w:p w:rsidRPr="00391600" w:rsidR="002F78F4" w:rsidP="003B475F" w:rsidRDefault="002F78F4" w14:paraId="2FDF422B" w14:textId="77777777">
            <w:pPr>
              <w:pStyle w:val="ListParagraph"/>
              <w:numPr>
                <w:ilvl w:val="0"/>
                <w:numId w:val="27"/>
              </w:numPr>
              <w:rPr>
                <w:rFonts w:ascii="Palatino Linotype" w:hAnsi="Palatino Linotype"/>
                <w:bCs/>
                <w:i/>
                <w:iCs/>
                <w:sz w:val="20"/>
                <w:szCs w:val="20"/>
              </w:rPr>
            </w:pPr>
            <w:r w:rsidRPr="00391600">
              <w:rPr>
                <w:rFonts w:ascii="Palatino Linotype" w:hAnsi="Palatino Linotype"/>
                <w:i/>
                <w:iCs/>
                <w:sz w:val="20"/>
                <w:szCs w:val="20"/>
              </w:rPr>
              <w:t xml:space="preserve">Consult with CPUC staff to allow for the option of presenting the Natural Gas Research and Development Program: Proposed Budget Plan to the CPUC Commissioners during a </w:t>
            </w:r>
            <w:r w:rsidRPr="00391600">
              <w:rPr>
                <w:rFonts w:ascii="Palatino Linotype" w:hAnsi="Palatino Linotype"/>
                <w:i/>
                <w:iCs/>
                <w:sz w:val="20"/>
                <w:szCs w:val="20"/>
              </w:rPr>
              <w:lastRenderedPageBreak/>
              <w:t>CPUC Commissioner Committee Meeting.</w:t>
            </w:r>
          </w:p>
        </w:tc>
        <w:tc>
          <w:tcPr>
            <w:tcW w:w="7920" w:type="dxa"/>
          </w:tcPr>
          <w:p w:rsidRPr="00391600" w:rsidR="002F78F4" w:rsidP="00BB366A" w:rsidRDefault="002F78F4" w14:paraId="22FA4311" w14:textId="10513FA4">
            <w:pPr>
              <w:ind w:left="720"/>
              <w:rPr>
                <w:rFonts w:ascii="Palatino Linotype" w:hAnsi="Palatino Linotype"/>
                <w:color w:val="000000" w:themeColor="text1"/>
                <w:sz w:val="20"/>
                <w:szCs w:val="20"/>
              </w:rPr>
            </w:pPr>
            <w:r w:rsidRPr="00391600">
              <w:rPr>
                <w:rFonts w:ascii="Palatino Linotype" w:hAnsi="Palatino Linotype"/>
                <w:color w:val="000000" w:themeColor="text1"/>
                <w:sz w:val="20"/>
                <w:szCs w:val="20"/>
              </w:rPr>
              <w:lastRenderedPageBreak/>
              <w:t xml:space="preserve">b) </w:t>
            </w:r>
            <w:r w:rsidRPr="00391600" w:rsidR="376CD200">
              <w:rPr>
                <w:rFonts w:ascii="Palatino Linotype" w:hAnsi="Palatino Linotype"/>
                <w:sz w:val="20"/>
                <w:szCs w:val="20"/>
              </w:rPr>
              <w:t xml:space="preserve">The </w:t>
            </w:r>
            <w:r w:rsidRPr="00391600">
              <w:rPr>
                <w:rFonts w:ascii="Palatino Linotype" w:hAnsi="Palatino Linotype"/>
                <w:color w:val="000000" w:themeColor="text1"/>
                <w:sz w:val="20"/>
                <w:szCs w:val="20"/>
              </w:rPr>
              <w:t>CEC states that it posts proposed Plans on “CEC’s website on the page for CEC Energy Research and Development investment plans and annual reports”,</w:t>
            </w:r>
            <w:r w:rsidRPr="00391600">
              <w:rPr>
                <w:rStyle w:val="FootnoteReference"/>
                <w:rFonts w:ascii="Palatino Linotype" w:hAnsi="Palatino Linotype"/>
                <w:color w:val="000000" w:themeColor="text1"/>
                <w:sz w:val="20"/>
                <w:szCs w:val="20"/>
              </w:rPr>
              <w:footnoteReference w:id="266"/>
            </w:r>
            <w:r w:rsidRPr="00391600">
              <w:rPr>
                <w:rFonts w:ascii="Palatino Linotype" w:hAnsi="Palatino Linotype"/>
                <w:color w:val="000000" w:themeColor="text1"/>
                <w:sz w:val="20"/>
                <w:szCs w:val="20"/>
              </w:rPr>
              <w:t xml:space="preserve"> citing California Energy Commission. “Annual Report,” </w:t>
            </w:r>
            <w:hyperlink r:id="rId106">
              <w:r w:rsidRPr="00391600">
                <w:rPr>
                  <w:rStyle w:val="Hyperlink"/>
                  <w:rFonts w:ascii="Palatino Linotype" w:hAnsi="Palatino Linotype"/>
                  <w:sz w:val="20"/>
                  <w:szCs w:val="20"/>
                </w:rPr>
                <w:t>https://www.energy.ca.gov/data-reports/reports/energy-research-and-development-investment-plans-and-annual-reports</w:t>
              </w:r>
            </w:hyperlink>
            <w:r w:rsidRPr="00391600">
              <w:rPr>
                <w:rFonts w:ascii="Palatino Linotype" w:hAnsi="Palatino Linotype"/>
                <w:color w:val="000000" w:themeColor="text1"/>
                <w:sz w:val="20"/>
                <w:szCs w:val="20"/>
              </w:rPr>
              <w:t>.</w:t>
            </w:r>
          </w:p>
          <w:p w:rsidRPr="00391600" w:rsidR="002F78F4" w:rsidP="00BB366A" w:rsidRDefault="002F78F4" w14:paraId="75EB95AD" w14:textId="64ABA370">
            <w:pPr>
              <w:ind w:left="720"/>
              <w:rPr>
                <w:rFonts w:ascii="Palatino Linotype" w:hAnsi="Palatino Linotype"/>
                <w:color w:val="000000" w:themeColor="text1"/>
                <w:sz w:val="20"/>
                <w:szCs w:val="20"/>
              </w:rPr>
            </w:pPr>
            <w:r w:rsidRPr="00391600">
              <w:rPr>
                <w:rFonts w:ascii="Palatino Linotype" w:hAnsi="Palatino Linotype"/>
                <w:color w:val="000000" w:themeColor="text1"/>
                <w:sz w:val="20"/>
                <w:szCs w:val="20"/>
              </w:rPr>
              <w:lastRenderedPageBreak/>
              <w:t xml:space="preserve">c) &amp; d) </w:t>
            </w:r>
            <w:r w:rsidRPr="00391600" w:rsidR="6167BCC0">
              <w:rPr>
                <w:rFonts w:ascii="Palatino Linotype" w:hAnsi="Palatino Linotype"/>
                <w:sz w:val="20"/>
                <w:szCs w:val="20"/>
              </w:rPr>
              <w:t xml:space="preserve">The </w:t>
            </w:r>
            <w:r w:rsidRPr="00391600">
              <w:rPr>
                <w:rFonts w:ascii="Palatino Linotype" w:hAnsi="Palatino Linotype"/>
                <w:color w:val="000000" w:themeColor="text1"/>
                <w:sz w:val="20"/>
                <w:szCs w:val="20"/>
              </w:rPr>
              <w:t>CEC details the noticed CEC lists and CPUC listservs.</w:t>
            </w:r>
            <w:r w:rsidRPr="00391600">
              <w:rPr>
                <w:rStyle w:val="FootnoteReference"/>
                <w:rFonts w:ascii="Palatino Linotype" w:hAnsi="Palatino Linotype"/>
                <w:color w:val="000000" w:themeColor="text1"/>
                <w:sz w:val="20"/>
                <w:szCs w:val="20"/>
              </w:rPr>
              <w:footnoteReference w:id="267"/>
            </w:r>
            <w:r w:rsidRPr="00391600">
              <w:rPr>
                <w:rFonts w:ascii="Palatino Linotype" w:hAnsi="Palatino Linotype"/>
                <w:color w:val="000000" w:themeColor="text1"/>
                <w:sz w:val="20"/>
                <w:szCs w:val="20"/>
              </w:rPr>
              <w:t xml:space="preserve"> </w:t>
            </w:r>
          </w:p>
          <w:p w:rsidRPr="00391600" w:rsidR="002F78F4" w:rsidP="00BB366A" w:rsidRDefault="002F78F4" w14:paraId="69D9F805" w14:textId="3B4FB31A">
            <w:pPr>
              <w:ind w:left="720"/>
              <w:rPr>
                <w:rFonts w:ascii="Palatino Linotype" w:hAnsi="Palatino Linotype"/>
                <w:color w:val="A6A6A6" w:themeColor="background1" w:themeShade="A6"/>
                <w:sz w:val="20"/>
                <w:szCs w:val="20"/>
              </w:rPr>
            </w:pPr>
            <w:r w:rsidRPr="00391600">
              <w:rPr>
                <w:rFonts w:ascii="Palatino Linotype" w:hAnsi="Palatino Linotype"/>
                <w:color w:val="000000" w:themeColor="text1"/>
                <w:sz w:val="20"/>
                <w:szCs w:val="20"/>
              </w:rPr>
              <w:t xml:space="preserve">e) </w:t>
            </w:r>
            <w:r w:rsidRPr="00391600" w:rsidR="6167BCC0">
              <w:rPr>
                <w:rFonts w:ascii="Palatino Linotype" w:hAnsi="Palatino Linotype"/>
                <w:sz w:val="20"/>
                <w:szCs w:val="20"/>
              </w:rPr>
              <w:t xml:space="preserve">The </w:t>
            </w:r>
            <w:r w:rsidRPr="00391600">
              <w:rPr>
                <w:rFonts w:ascii="Palatino Linotype" w:hAnsi="Palatino Linotype"/>
                <w:color w:val="000000" w:themeColor="text1"/>
                <w:sz w:val="20"/>
                <w:szCs w:val="20"/>
              </w:rPr>
              <w:t>CEC states that its “offer to present the proposed budget plan was sent to Energy Division staff on January 22, 2025”.</w:t>
            </w:r>
            <w:r w:rsidRPr="00391600">
              <w:rPr>
                <w:rStyle w:val="FootnoteReference"/>
                <w:rFonts w:ascii="Palatino Linotype" w:hAnsi="Palatino Linotype"/>
                <w:color w:val="000000" w:themeColor="text1"/>
                <w:sz w:val="20"/>
                <w:szCs w:val="20"/>
              </w:rPr>
              <w:footnoteReference w:id="268"/>
            </w:r>
            <w:r w:rsidRPr="00391600">
              <w:rPr>
                <w:rFonts w:ascii="Palatino Linotype" w:hAnsi="Palatino Linotype"/>
                <w:color w:val="000000" w:themeColor="text1"/>
                <w:sz w:val="20"/>
                <w:szCs w:val="20"/>
              </w:rPr>
              <w:t xml:space="preserve"> </w:t>
            </w:r>
            <w:r w:rsidRPr="00391600" w:rsidR="6167BCC0">
              <w:rPr>
                <w:rFonts w:ascii="Palatino Linotype" w:hAnsi="Palatino Linotype"/>
                <w:sz w:val="20"/>
                <w:szCs w:val="20"/>
              </w:rPr>
              <w:t xml:space="preserve">The </w:t>
            </w:r>
            <w:r w:rsidRPr="00391600">
              <w:rPr>
                <w:rFonts w:ascii="Palatino Linotype" w:hAnsi="Palatino Linotype"/>
                <w:color w:val="000000" w:themeColor="text1"/>
                <w:sz w:val="20"/>
                <w:szCs w:val="20"/>
              </w:rPr>
              <w:t>CEC presented its proposed FY 2025-2026 Plan to CPUC Commissioners on June 26, 2025.</w:t>
            </w:r>
          </w:p>
        </w:tc>
        <w:tc>
          <w:tcPr>
            <w:tcW w:w="3240" w:type="dxa"/>
          </w:tcPr>
          <w:p w:rsidRPr="00391600" w:rsidR="002F78F4" w:rsidP="00BB366A" w:rsidRDefault="007C2D2C" w14:paraId="6A0CC07D" w14:textId="3E1FA5D4">
            <w:pPr>
              <w:rPr>
                <w:rFonts w:ascii="Palatino Linotype" w:hAnsi="Palatino Linotype"/>
                <w:b/>
                <w:color w:val="A6A6A6" w:themeColor="background1" w:themeShade="A6"/>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sz w:val="20"/>
                <w:szCs w:val="20"/>
              </w:rPr>
              <w:t>CEC posted its Plan publicly and accessibly</w:t>
            </w:r>
            <w:r w:rsidRPr="00391600" w:rsidR="00391FF2">
              <w:rPr>
                <w:rFonts w:ascii="Palatino Linotype" w:hAnsi="Palatino Linotype"/>
                <w:bCs/>
                <w:sz w:val="20"/>
                <w:szCs w:val="20"/>
              </w:rPr>
              <w:t xml:space="preserve">, </w:t>
            </w:r>
            <w:r w:rsidRPr="00391600" w:rsidR="002F78F4">
              <w:rPr>
                <w:rFonts w:ascii="Palatino Linotype" w:hAnsi="Palatino Linotype"/>
                <w:bCs/>
                <w:sz w:val="20"/>
                <w:szCs w:val="20"/>
              </w:rPr>
              <w:t>distributed on listservs</w:t>
            </w:r>
            <w:r w:rsidRPr="00391600" w:rsidR="00391FF2">
              <w:rPr>
                <w:rFonts w:ascii="Palatino Linotype" w:hAnsi="Palatino Linotype"/>
                <w:bCs/>
                <w:sz w:val="20"/>
                <w:szCs w:val="20"/>
              </w:rPr>
              <w:t xml:space="preserve">, </w:t>
            </w:r>
            <w:r w:rsidRPr="00391600" w:rsidR="002F78F4">
              <w:rPr>
                <w:rFonts w:ascii="Palatino Linotype" w:hAnsi="Palatino Linotype"/>
                <w:bCs/>
                <w:sz w:val="20"/>
                <w:szCs w:val="20"/>
              </w:rPr>
              <w:t>and offered to present to CPUC Commissioners.</w:t>
            </w:r>
            <w:r w:rsidRPr="00391600">
              <w:rPr>
                <w:rFonts w:ascii="Palatino Linotype" w:hAnsi="Palatino Linotype"/>
                <w:bCs/>
                <w:sz w:val="20"/>
                <w:szCs w:val="20"/>
              </w:rPr>
              <w:t xml:space="preserve"> </w:t>
            </w:r>
            <w:r w:rsidRPr="00391600">
              <w:rPr>
                <w:rFonts w:ascii="Palatino Linotype" w:hAnsi="Palatino Linotype"/>
                <w:b/>
                <w:sz w:val="20"/>
                <w:szCs w:val="20"/>
              </w:rPr>
              <w:t>The</w:t>
            </w:r>
            <w:r w:rsidRPr="00391600" w:rsidR="002F78F4">
              <w:rPr>
                <w:rFonts w:ascii="Palatino Linotype" w:hAnsi="Palatino Linotype"/>
                <w:b/>
                <w:sz w:val="20"/>
                <w:szCs w:val="20"/>
              </w:rPr>
              <w:t xml:space="preserve"> CEC is compliant with this requirement. </w:t>
            </w:r>
          </w:p>
        </w:tc>
      </w:tr>
      <w:tr w:rsidRPr="00391600" w:rsidR="002F78F4" w:rsidTr="6FAFEDE3" w14:paraId="44DB8D03" w14:textId="77777777">
        <w:trPr>
          <w:trHeight w:val="638"/>
        </w:trPr>
        <w:tc>
          <w:tcPr>
            <w:tcW w:w="3145" w:type="dxa"/>
          </w:tcPr>
          <w:p w:rsidRPr="00391600" w:rsidR="002F78F4" w:rsidP="00BB366A" w:rsidRDefault="002F78F4" w14:paraId="17C2F822" w14:textId="77777777">
            <w:pPr>
              <w:rPr>
                <w:rFonts w:ascii="Palatino Linotype" w:hAnsi="Palatino Linotype"/>
                <w:b/>
                <w:i/>
                <w:iCs/>
                <w:sz w:val="20"/>
                <w:szCs w:val="20"/>
              </w:rPr>
            </w:pPr>
            <w:hyperlink w:history="1" r:id="rId107">
              <w:r w:rsidRPr="00391600">
                <w:rPr>
                  <w:rStyle w:val="Hyperlink"/>
                  <w:rFonts w:ascii="Palatino Linotype" w:hAnsi="Palatino Linotype"/>
                  <w:b/>
                  <w:sz w:val="20"/>
                  <w:szCs w:val="20"/>
                </w:rPr>
                <w:t>Resolution G-3571</w:t>
              </w:r>
            </w:hyperlink>
            <w:r w:rsidRPr="00391600">
              <w:rPr>
                <w:rFonts w:ascii="Palatino Linotype" w:hAnsi="Palatino Linotype"/>
                <w:bCs/>
                <w:sz w:val="20"/>
                <w:szCs w:val="20"/>
              </w:rPr>
              <w:t xml:space="preserve"> (2020) at OP 6.</w:t>
            </w:r>
            <w:r w:rsidRPr="00391600">
              <w:rPr>
                <w:rFonts w:ascii="Palatino Linotype" w:hAnsi="Palatino Linotype"/>
                <w:bCs/>
                <w:i/>
                <w:iCs/>
                <w:sz w:val="20"/>
                <w:szCs w:val="20"/>
              </w:rPr>
              <w:t xml:space="preserve"> In developing the future Natural Gas R&amp;D Plans, the CPUC requests that the CEC submit future Natural Gas R&amp;D Plans via the Tier 3 Advice Letter/business letter process.</w:t>
            </w:r>
          </w:p>
        </w:tc>
        <w:tc>
          <w:tcPr>
            <w:tcW w:w="7920" w:type="dxa"/>
          </w:tcPr>
          <w:p w:rsidRPr="00391600" w:rsidR="002F78F4" w:rsidP="00BB366A" w:rsidRDefault="00E556F2" w14:paraId="2DB5FC08" w14:textId="06240B93">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The CEC submitted its FY2025-2026 Gas RD&amp;D Investment Plan Tier 3 AL (10-G) on March 28, 2025, and submitted a supplement Tier 3 AL (10-G-A) on October 8, 2025.</w:t>
            </w:r>
          </w:p>
        </w:tc>
        <w:tc>
          <w:tcPr>
            <w:tcW w:w="3240" w:type="dxa"/>
          </w:tcPr>
          <w:p w:rsidRPr="00391600" w:rsidR="002F78F4" w:rsidP="00BB366A" w:rsidRDefault="00AF1E24" w14:paraId="399283EA" w14:textId="61645A26">
            <w:pPr>
              <w:rPr>
                <w:rFonts w:ascii="Palatino Linotype" w:hAnsi="Palatino Linotype"/>
                <w:b/>
                <w:color w:val="A6A6A6" w:themeColor="background1" w:themeShade="A6"/>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CEC submitted its proposed FY 2025-2026 Gas RD&amp;D Plan via Tier 3 AL.</w:t>
            </w:r>
            <w:r w:rsidRPr="00391600" w:rsidR="002F78F4">
              <w:rPr>
                <w:rFonts w:ascii="Palatino Linotype" w:hAnsi="Palatino Linotype"/>
                <w:b/>
                <w:color w:val="000000" w:themeColor="text1"/>
                <w:sz w:val="20"/>
                <w:szCs w:val="20"/>
              </w:rPr>
              <w:t xml:space="preserve"> </w:t>
            </w:r>
            <w:r w:rsidRPr="00391600">
              <w:rPr>
                <w:rFonts w:ascii="Palatino Linotype" w:hAnsi="Palatino Linotype"/>
                <w:b/>
                <w:sz w:val="20"/>
                <w:szCs w:val="20"/>
              </w:rPr>
              <w:t xml:space="preserve">The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1AA370C0" w14:textId="77777777">
        <w:trPr>
          <w:trHeight w:val="638"/>
        </w:trPr>
        <w:tc>
          <w:tcPr>
            <w:tcW w:w="3145" w:type="dxa"/>
          </w:tcPr>
          <w:p w:rsidRPr="00391600" w:rsidR="002F78F4" w:rsidP="00BB366A" w:rsidRDefault="002F78F4" w14:paraId="35BD803C" w14:textId="77777777">
            <w:pPr>
              <w:rPr>
                <w:rFonts w:ascii="Palatino Linotype" w:hAnsi="Palatino Linotype"/>
                <w:sz w:val="20"/>
                <w:szCs w:val="20"/>
              </w:rPr>
            </w:pPr>
            <w:hyperlink r:id="rId108">
              <w:r w:rsidRPr="00391600">
                <w:rPr>
                  <w:rStyle w:val="Hyperlink"/>
                  <w:rFonts w:ascii="Palatino Linotype" w:hAnsi="Palatino Linotype"/>
                  <w:b/>
                  <w:bCs/>
                  <w:sz w:val="20"/>
                  <w:szCs w:val="20"/>
                </w:rPr>
                <w:t>Resolution G-3584</w:t>
              </w:r>
            </w:hyperlink>
            <w:r w:rsidRPr="00391600">
              <w:rPr>
                <w:rFonts w:ascii="Palatino Linotype" w:hAnsi="Palatino Linotype"/>
                <w:sz w:val="20"/>
                <w:szCs w:val="20"/>
              </w:rPr>
              <w:t xml:space="preserve"> (2021) at OP 5. </w:t>
            </w:r>
            <w:r w:rsidRPr="00391600">
              <w:rPr>
                <w:rFonts w:ascii="Palatino Linotype" w:hAnsi="Palatino Linotype"/>
                <w:i/>
                <w:iCs/>
                <w:sz w:val="20"/>
                <w:szCs w:val="20"/>
              </w:rPr>
              <w:t>In developing the Fiscal Year 2022-2023 Gas R&amp;D Plan, the CEC shall: a) Consider the Assembly Bill 3232 (Friedman, 2018) report.</w:t>
            </w:r>
            <w:r w:rsidRPr="00391600">
              <w:rPr>
                <w:rStyle w:val="FootnoteReference"/>
                <w:rFonts w:ascii="Palatino Linotype" w:hAnsi="Palatino Linotype"/>
                <w:i/>
                <w:iCs/>
                <w:sz w:val="20"/>
                <w:szCs w:val="20"/>
              </w:rPr>
              <w:footnoteReference w:id="269"/>
            </w:r>
            <w:r w:rsidRPr="00391600">
              <w:rPr>
                <w:rFonts w:ascii="Palatino Linotype" w:hAnsi="Palatino Linotype"/>
                <w:sz w:val="20"/>
                <w:szCs w:val="20"/>
              </w:rPr>
              <w:t xml:space="preserve">  </w:t>
            </w:r>
          </w:p>
        </w:tc>
        <w:tc>
          <w:tcPr>
            <w:tcW w:w="7920" w:type="dxa"/>
          </w:tcPr>
          <w:p w:rsidRPr="00391600" w:rsidR="002F78F4" w:rsidP="00BB366A" w:rsidRDefault="00AF1E24" w14:paraId="41ED56F6" w14:textId="65B931C6">
            <w:pPr>
              <w:rPr>
                <w:rFonts w:ascii="Palatino Linotype" w:hAnsi="Palatino Linotype"/>
                <w:bCs/>
                <w:color w:val="000000" w:themeColor="text1"/>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 xml:space="preserve">CEC states that it “considered the Assembly Bill 3232 (Friedman, Chapter 373, Statutes of 2018) report in developing the FY 2025-2026 Gas R&amp;D Budget Plan, specifically the seven key strategies to decarbonize residential and commercial buildings outlined in the 2021 report </w:t>
            </w:r>
            <w:r w:rsidRPr="00391600" w:rsidR="002F78F4">
              <w:rPr>
                <w:rFonts w:ascii="Palatino Linotype" w:hAnsi="Palatino Linotype"/>
                <w:bCs/>
                <w:i/>
                <w:iCs/>
                <w:color w:val="000000" w:themeColor="text1"/>
                <w:sz w:val="20"/>
                <w:szCs w:val="20"/>
              </w:rPr>
              <w:t>California Building Decarbonization Assessment</w:t>
            </w:r>
            <w:r w:rsidRPr="00391600" w:rsidR="002F78F4">
              <w:rPr>
                <w:rFonts w:ascii="Palatino Linotype" w:hAnsi="Palatino Linotype"/>
                <w:bCs/>
                <w:color w:val="000000" w:themeColor="text1"/>
                <w:sz w:val="20"/>
                <w:szCs w:val="20"/>
              </w:rPr>
              <w:t xml:space="preserve">. The initiatives in this FY 2025–2026 Gas R&amp;D Budget Plan support several of the recommended </w:t>
            </w:r>
            <w:proofErr w:type="gramStart"/>
            <w:r w:rsidRPr="00391600" w:rsidR="002F78F4">
              <w:rPr>
                <w:rFonts w:ascii="Palatino Linotype" w:hAnsi="Palatino Linotype"/>
                <w:bCs/>
                <w:color w:val="000000" w:themeColor="text1"/>
                <w:sz w:val="20"/>
                <w:szCs w:val="20"/>
              </w:rPr>
              <w:t>strategies[</w:t>
            </w:r>
            <w:proofErr w:type="gramEnd"/>
            <w:r w:rsidRPr="00391600" w:rsidR="002F78F4">
              <w:rPr>
                <w:rFonts w:ascii="Palatino Linotype" w:hAnsi="Palatino Linotype"/>
                <w:bCs/>
                <w:color w:val="000000" w:themeColor="text1"/>
                <w:sz w:val="20"/>
                <w:szCs w:val="20"/>
              </w:rPr>
              <w:t>:]</w:t>
            </w:r>
          </w:p>
          <w:p w:rsidRPr="00391600" w:rsidR="002F78F4" w:rsidP="003B475F" w:rsidRDefault="002F78F4" w14:paraId="492DFB0D" w14:textId="77777777">
            <w:pPr>
              <w:pStyle w:val="ListParagraph"/>
              <w:numPr>
                <w:ilvl w:val="0"/>
                <w:numId w:val="33"/>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The Social Science Research for Gas Decommissioning in the </w:t>
            </w:r>
            <w:proofErr w:type="gramStart"/>
            <w:r w:rsidRPr="00391600">
              <w:rPr>
                <w:rFonts w:ascii="Palatino Linotype" w:hAnsi="Palatino Linotype"/>
                <w:bCs/>
                <w:color w:val="000000" w:themeColor="text1"/>
                <w:sz w:val="20"/>
                <w:szCs w:val="20"/>
              </w:rPr>
              <w:t>Mid and Long Term</w:t>
            </w:r>
            <w:proofErr w:type="gramEnd"/>
            <w:r w:rsidRPr="00391600">
              <w:rPr>
                <w:rFonts w:ascii="Palatino Linotype" w:hAnsi="Palatino Linotype"/>
                <w:bCs/>
                <w:color w:val="000000" w:themeColor="text1"/>
                <w:sz w:val="20"/>
                <w:szCs w:val="20"/>
              </w:rPr>
              <w:t xml:space="preserve"> initiative supports multiple strategies detailed in the report, including “Building End Use Electrification,” “Decarbonizing the Gas System,” and “Decarbonizing the Electricity Generation System.” The initiative will provide analysis, resources, and insights into real-world dynamics of gas use and factors encouraging or dissuading conversion, including to electricity end uses. This initiative would also identify and suggest improvements to coordination gaps between the electricity and gas systems. </w:t>
            </w:r>
          </w:p>
          <w:p w:rsidRPr="00391600" w:rsidR="002F78F4" w:rsidP="003B475F" w:rsidRDefault="002F78F4" w14:paraId="0404F9D8" w14:textId="77777777">
            <w:pPr>
              <w:pStyle w:val="ListParagraph"/>
              <w:numPr>
                <w:ilvl w:val="0"/>
                <w:numId w:val="33"/>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The Pilot Projects to Advance Gas Decommissioning research initiative promotes the goals of “Decarbonizing the Gas System” by supporting the transition away from fossil gas. By strategically decommissioning sections of California’s gas infrastructure and redirecting investment toward renewable energy alternatives, electrification, or both, this effort aims to lower the overall energy costs and GHG emissions in energy supply and end uses. </w:t>
            </w:r>
          </w:p>
          <w:p w:rsidRPr="00391600" w:rsidR="002F78F4" w:rsidP="003B475F" w:rsidRDefault="002F78F4" w14:paraId="4DF177F5" w14:textId="77777777">
            <w:pPr>
              <w:pStyle w:val="ListParagraph"/>
              <w:numPr>
                <w:ilvl w:val="0"/>
                <w:numId w:val="33"/>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lastRenderedPageBreak/>
              <w:t>The Networked Geothermal Heat Pumps (GHPs) initiative supports the strategy of “Distributed Energy Resources” by assessing the feasibility of networked GHPs to provide neighborhood-scale, clean, efficient, distributed energy for heating and cooling as well as the goal of “Decarbonizing the Gas System” by supporting the transition away from fossil gas. Networked geothermal technology is a form of thermal energy network that implements the roughly constant temperature of the bedrock as a source and sink of energy for heat pumps, while balancing the load among a variety of end users in the network, thereby increasing overall thermal efficiency. This initiative aims to investigate the benefits of networked GHPs in the context of California’s climate, geology, population, and policy landscape.”</w:t>
            </w:r>
            <w:r w:rsidRPr="00391600">
              <w:rPr>
                <w:rStyle w:val="FootnoteReference"/>
                <w:rFonts w:ascii="Palatino Linotype" w:hAnsi="Palatino Linotype"/>
                <w:color w:val="000000" w:themeColor="text1"/>
                <w:sz w:val="20"/>
                <w:szCs w:val="20"/>
              </w:rPr>
              <w:footnoteReference w:id="270"/>
            </w:r>
          </w:p>
        </w:tc>
        <w:tc>
          <w:tcPr>
            <w:tcW w:w="3240" w:type="dxa"/>
          </w:tcPr>
          <w:p w:rsidRPr="00391600" w:rsidR="002F78F4" w:rsidP="00BB366A" w:rsidRDefault="00AF1E24" w14:paraId="4393DD74" w14:textId="6741E348">
            <w:pPr>
              <w:rPr>
                <w:rFonts w:ascii="Palatino Linotype" w:hAnsi="Palatino Linotype"/>
                <w:b/>
                <w:color w:val="A6A6A6" w:themeColor="background1" w:themeShade="A6"/>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color w:val="000000" w:themeColor="text1"/>
                <w:sz w:val="20"/>
                <w:szCs w:val="20"/>
              </w:rPr>
              <w:t>CEC demonstrates that it considered the Assembly Bill 3232 report in developing its proposed FY 2025-2026 Plan Initiatives.</w:t>
            </w:r>
            <w:r w:rsidRPr="00391600" w:rsidR="002F78F4">
              <w:rPr>
                <w:rFonts w:ascii="Palatino Linotype" w:hAnsi="Palatino Linotype"/>
                <w:b/>
                <w:color w:val="000000" w:themeColor="text1"/>
                <w:sz w:val="20"/>
                <w:szCs w:val="20"/>
              </w:rPr>
              <w:t xml:space="preserve"> </w:t>
            </w:r>
            <w:r w:rsidRPr="00391600">
              <w:rPr>
                <w:rFonts w:ascii="Palatino Linotype" w:hAnsi="Palatino Linotype"/>
                <w:b/>
                <w:sz w:val="20"/>
                <w:szCs w:val="20"/>
              </w:rPr>
              <w:t>The</w:t>
            </w:r>
            <w:r w:rsidRPr="00391600">
              <w:rPr>
                <w:rFonts w:ascii="Palatino Linotype" w:hAnsi="Palatino Linotype"/>
                <w:bCs/>
                <w:sz w:val="20"/>
                <w:szCs w:val="20"/>
              </w:rPr>
              <w:t xml:space="preserv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5191B6FC" w14:textId="77777777">
        <w:trPr>
          <w:trHeight w:val="638"/>
        </w:trPr>
        <w:tc>
          <w:tcPr>
            <w:tcW w:w="3145" w:type="dxa"/>
          </w:tcPr>
          <w:p w:rsidRPr="00391600" w:rsidR="002F78F4" w:rsidP="00BB366A" w:rsidRDefault="002F78F4" w14:paraId="0B2945C7" w14:textId="77777777">
            <w:pPr>
              <w:rPr>
                <w:rFonts w:ascii="Palatino Linotype" w:hAnsi="Palatino Linotype"/>
                <w:sz w:val="20"/>
                <w:szCs w:val="20"/>
              </w:rPr>
            </w:pPr>
            <w:hyperlink w:tgtFrame="_blank" w:history="1" r:id="rId109">
              <w:r w:rsidRPr="00391600">
                <w:rPr>
                  <w:rStyle w:val="Hyperlink"/>
                  <w:rFonts w:ascii="Palatino Linotype" w:hAnsi="Palatino Linotype"/>
                  <w:b/>
                  <w:bCs/>
                  <w:sz w:val="20"/>
                  <w:szCs w:val="20"/>
                </w:rPr>
                <w:t>Resolution G-3584</w:t>
              </w:r>
            </w:hyperlink>
            <w:r w:rsidRPr="00391600">
              <w:rPr>
                <w:rFonts w:ascii="Palatino Linotype" w:hAnsi="Palatino Linotype"/>
                <w:sz w:val="20"/>
                <w:szCs w:val="20"/>
              </w:rPr>
              <w:t xml:space="preserve"> (2021) at OP 6. </w:t>
            </w:r>
            <w:r w:rsidRPr="00391600">
              <w:rPr>
                <w:rFonts w:ascii="Palatino Linotype" w:hAnsi="Palatino Linotype"/>
                <w:i/>
                <w:iCs/>
                <w:sz w:val="20"/>
                <w:szCs w:val="20"/>
              </w:rPr>
              <w:t>In developing future Gas R&amp;D plans, the CEC shall: a) Consider the Long-Term Technological Development Strategy to Meet Aggressive Statewide Decarbonization Goals as it becomes available.</w:t>
            </w:r>
          </w:p>
        </w:tc>
        <w:tc>
          <w:tcPr>
            <w:tcW w:w="7920" w:type="dxa"/>
          </w:tcPr>
          <w:p w:rsidRPr="00391600" w:rsidR="002F78F4" w:rsidP="00BB366A" w:rsidRDefault="69BD9C5E" w14:paraId="49669678" w14:textId="70FC6B67">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that it considered the Long-Term Gas Research Roadmap, titled Recommendations for the Long-Term Gas Research Strategy to Achieve Aggressive Statewide Carbon Neutrality Goals: “The roadmap includes recommendations, which are organized around 11 initiatives pertaining to communities, equity, and environment; gas end use; and gas supply chain, including production, transport, and storage. These recommendations have helped guide Gas R&amp;D planning”.</w:t>
            </w:r>
            <w:r w:rsidRPr="00391600" w:rsidR="002F78F4">
              <w:rPr>
                <w:rStyle w:val="FootnoteReference"/>
                <w:rFonts w:ascii="Palatino Linotype" w:hAnsi="Palatino Linotype"/>
                <w:color w:val="000000" w:themeColor="text1"/>
                <w:sz w:val="20"/>
                <w:szCs w:val="20"/>
              </w:rPr>
              <w:footnoteReference w:id="271"/>
            </w:r>
          </w:p>
        </w:tc>
        <w:tc>
          <w:tcPr>
            <w:tcW w:w="3240" w:type="dxa"/>
          </w:tcPr>
          <w:p w:rsidRPr="00391600" w:rsidR="002F78F4" w:rsidP="00BB366A" w:rsidRDefault="003F5A79" w14:paraId="7FA755C1" w14:textId="5F29830A">
            <w:pPr>
              <w:rPr>
                <w:rFonts w:ascii="Palatino Linotype" w:hAnsi="Palatino Linotype"/>
                <w:b/>
                <w:color w:val="A6A6A6" w:themeColor="background1" w:themeShade="A6"/>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CEC demonstrate</w:t>
            </w:r>
            <w:r w:rsidRPr="00391600" w:rsidR="00433F7D">
              <w:rPr>
                <w:rFonts w:ascii="Palatino Linotype" w:hAnsi="Palatino Linotype"/>
                <w:bCs/>
                <w:color w:val="000000" w:themeColor="text1"/>
                <w:sz w:val="20"/>
                <w:szCs w:val="20"/>
              </w:rPr>
              <w:t>s</w:t>
            </w:r>
            <w:r w:rsidRPr="00391600" w:rsidR="002F78F4">
              <w:rPr>
                <w:rFonts w:ascii="Palatino Linotype" w:hAnsi="Palatino Linotype"/>
                <w:bCs/>
                <w:color w:val="000000" w:themeColor="text1"/>
                <w:sz w:val="20"/>
                <w:szCs w:val="20"/>
              </w:rPr>
              <w:t xml:space="preserve"> that it considered the Long-Term Technological Development Strategy to Meet Aggressive Statewide Decarbonization Goals</w:t>
            </w:r>
            <w:r w:rsidRPr="00391600" w:rsidR="002F78F4">
              <w:rPr>
                <w:rFonts w:ascii="Palatino Linotype" w:hAnsi="Palatino Linotype"/>
                <w:b/>
                <w:color w:val="000000" w:themeColor="text1"/>
                <w:sz w:val="20"/>
                <w:szCs w:val="20"/>
              </w:rPr>
              <w:t xml:space="preserve"> </w:t>
            </w:r>
            <w:r w:rsidRPr="00391600" w:rsidR="002F78F4">
              <w:rPr>
                <w:rFonts w:ascii="Palatino Linotype" w:hAnsi="Palatino Linotype"/>
                <w:bCs/>
                <w:color w:val="000000" w:themeColor="text1"/>
                <w:sz w:val="20"/>
                <w:szCs w:val="20"/>
              </w:rPr>
              <w:t>in developing its proposed FY 2025-2026 Plan Initiatives</w:t>
            </w:r>
            <w:r w:rsidRPr="00391600" w:rsidR="002F78F4">
              <w:rPr>
                <w:rFonts w:ascii="Palatino Linotype" w:hAnsi="Palatino Linotype"/>
                <w:b/>
                <w:color w:val="000000" w:themeColor="text1"/>
                <w:sz w:val="20"/>
                <w:szCs w:val="20"/>
              </w:rPr>
              <w:t xml:space="preserve">. </w:t>
            </w:r>
            <w:r w:rsidRPr="00391600">
              <w:rPr>
                <w:rFonts w:ascii="Palatino Linotype" w:hAnsi="Palatino Linotype"/>
                <w:b/>
                <w:sz w:val="20"/>
                <w:szCs w:val="20"/>
              </w:rPr>
              <w:t>The</w:t>
            </w:r>
            <w:r w:rsidRPr="00391600">
              <w:rPr>
                <w:rFonts w:ascii="Palatino Linotype" w:hAnsi="Palatino Linotype"/>
                <w:bCs/>
                <w:sz w:val="20"/>
                <w:szCs w:val="20"/>
              </w:rPr>
              <w:t xml:space="preserve"> </w:t>
            </w:r>
            <w:r w:rsidRPr="00391600" w:rsidR="002F78F4">
              <w:rPr>
                <w:rFonts w:ascii="Palatino Linotype" w:hAnsi="Palatino Linotype"/>
                <w:b/>
                <w:color w:val="000000" w:themeColor="text1"/>
                <w:sz w:val="20"/>
                <w:szCs w:val="20"/>
              </w:rPr>
              <w:t>CEC is compliant with this requirement.</w:t>
            </w:r>
          </w:p>
        </w:tc>
      </w:tr>
      <w:tr w:rsidRPr="00391600" w:rsidR="000E561B" w:rsidTr="6FAFEDE3" w14:paraId="22F2684D" w14:textId="77777777">
        <w:trPr>
          <w:trHeight w:val="638"/>
        </w:trPr>
        <w:tc>
          <w:tcPr>
            <w:tcW w:w="3145" w:type="dxa"/>
          </w:tcPr>
          <w:p w:rsidRPr="00391600" w:rsidR="000E561B" w:rsidP="000E561B" w:rsidRDefault="000E561B" w14:paraId="05328089" w14:textId="6E70E150">
            <w:pPr>
              <w:rPr>
                <w:rFonts w:ascii="Palatino Linotype" w:hAnsi="Palatino Linotype"/>
              </w:rPr>
            </w:pPr>
            <w:hyperlink r:id="rId110">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 xml:space="preserve">(2023) at OP 2. </w:t>
            </w:r>
            <w:r w:rsidRPr="00391600">
              <w:rPr>
                <w:rFonts w:ascii="Palatino Linotype" w:hAnsi="Palatino Linotype"/>
                <w:i/>
                <w:iCs/>
                <w:sz w:val="20"/>
                <w:szCs w:val="20"/>
              </w:rPr>
              <w:t>The CEC’s administrative budget is capped at 10 percent of the total budget of $24 million, or $2.4 million.</w:t>
            </w:r>
          </w:p>
        </w:tc>
        <w:tc>
          <w:tcPr>
            <w:tcW w:w="7920" w:type="dxa"/>
          </w:tcPr>
          <w:p w:rsidRPr="00391600" w:rsidR="000E561B" w:rsidP="000E561B" w:rsidRDefault="32491FC9" w14:paraId="7D79B326" w14:textId="499B1F70">
            <w:pPr>
              <w:rPr>
                <w:rFonts w:ascii="Palatino Linotype" w:hAnsi="Palatino Linotype"/>
                <w:bCs/>
                <w:color w:val="000000" w:themeColor="text1"/>
                <w:sz w:val="20"/>
                <w:szCs w:val="20"/>
              </w:rPr>
            </w:pPr>
            <w:r w:rsidRPr="00391600">
              <w:rPr>
                <w:rFonts w:ascii="Palatino Linotype" w:hAnsi="Palatino Linotype"/>
                <w:sz w:val="20"/>
                <w:szCs w:val="20"/>
              </w:rPr>
              <w:t>The</w:t>
            </w:r>
            <w:r w:rsidRPr="00391600">
              <w:rPr>
                <w:rFonts w:ascii="Palatino Linotype" w:hAnsi="Palatino Linotype"/>
                <w:color w:val="000000" w:themeColor="text1"/>
                <w:sz w:val="20"/>
                <w:szCs w:val="20"/>
              </w:rPr>
              <w:t xml:space="preserve"> CEC proposes a total FY 2025-2026 Plan budget of $24 million, including </w:t>
            </w:r>
            <w:r w:rsidRPr="00391600" w:rsidR="31472290">
              <w:rPr>
                <w:rFonts w:ascii="Palatino Linotype" w:hAnsi="Palatino Linotype"/>
                <w:color w:val="000000" w:themeColor="text1"/>
                <w:sz w:val="20"/>
                <w:szCs w:val="20"/>
              </w:rPr>
              <w:t xml:space="preserve">10% for </w:t>
            </w:r>
            <w:r w:rsidRPr="00391600">
              <w:rPr>
                <w:rFonts w:ascii="Palatino Linotype" w:hAnsi="Palatino Linotype"/>
                <w:color w:val="000000" w:themeColor="text1"/>
                <w:sz w:val="20"/>
                <w:szCs w:val="20"/>
              </w:rPr>
              <w:t>Program Administration costs.</w:t>
            </w:r>
            <w:r w:rsidRPr="00391600" w:rsidR="000E561B">
              <w:rPr>
                <w:rStyle w:val="FootnoteReference"/>
                <w:rFonts w:ascii="Palatino Linotype" w:hAnsi="Palatino Linotype"/>
                <w:color w:val="000000" w:themeColor="text1"/>
                <w:sz w:val="20"/>
                <w:szCs w:val="20"/>
              </w:rPr>
              <w:footnoteReference w:id="272"/>
            </w:r>
          </w:p>
        </w:tc>
        <w:tc>
          <w:tcPr>
            <w:tcW w:w="3240" w:type="dxa"/>
          </w:tcPr>
          <w:p w:rsidRPr="00391600" w:rsidR="000E561B" w:rsidP="000E561B" w:rsidRDefault="000E561B" w14:paraId="40DABF87" w14:textId="5DCDBEFE">
            <w:pPr>
              <w:rPr>
                <w:rFonts w:ascii="Palatino Linotype" w:hAnsi="Palatino Linotype"/>
                <w:bCs/>
                <w:color w:val="000000" w:themeColor="text1"/>
                <w:sz w:val="20"/>
                <w:szCs w:val="20"/>
              </w:rPr>
            </w:pPr>
            <w:r w:rsidRPr="00391600">
              <w:rPr>
                <w:rFonts w:ascii="Palatino Linotype" w:hAnsi="Palatino Linotype"/>
                <w:bCs/>
                <w:sz w:val="20"/>
                <w:szCs w:val="20"/>
              </w:rPr>
              <w:t>The CEC proposes a $2.4</w:t>
            </w:r>
            <w:r w:rsidRPr="00391600" w:rsidR="007A7DB0">
              <w:rPr>
                <w:rFonts w:ascii="Palatino Linotype" w:hAnsi="Palatino Linotype"/>
                <w:bCs/>
                <w:sz w:val="20"/>
                <w:szCs w:val="20"/>
              </w:rPr>
              <w:t>M</w:t>
            </w:r>
            <w:r w:rsidRPr="00391600">
              <w:rPr>
                <w:rFonts w:ascii="Palatino Linotype" w:hAnsi="Palatino Linotype"/>
                <w:bCs/>
                <w:sz w:val="20"/>
                <w:szCs w:val="20"/>
              </w:rPr>
              <w:t xml:space="preserve"> budget for Program Administration.</w:t>
            </w:r>
            <w:r w:rsidRPr="00391600">
              <w:rPr>
                <w:rFonts w:ascii="Palatino Linotype" w:hAnsi="Palatino Linotype"/>
                <w:b/>
                <w:sz w:val="20"/>
                <w:szCs w:val="20"/>
              </w:rPr>
              <w:t xml:space="preserve"> The CEC is compliant with this requirement</w:t>
            </w:r>
            <w:r w:rsidRPr="00391600">
              <w:rPr>
                <w:rFonts w:ascii="Palatino Linotype" w:hAnsi="Palatino Linotype"/>
                <w:b/>
                <w:color w:val="000000" w:themeColor="text1"/>
                <w:sz w:val="20"/>
                <w:szCs w:val="20"/>
              </w:rPr>
              <w:t xml:space="preserve">. </w:t>
            </w:r>
            <w:r w:rsidRPr="00391600" w:rsidR="009E485A">
              <w:rPr>
                <w:rFonts w:ascii="Palatino Linotype" w:hAnsi="Palatino Linotype"/>
                <w:bCs/>
                <w:color w:val="000000" w:themeColor="text1"/>
                <w:sz w:val="20"/>
                <w:szCs w:val="20"/>
              </w:rPr>
              <w:t xml:space="preserve">However, given the CEC is repurposing unencumbered and unspent funds associated with previously approved administrative budgets, </w:t>
            </w:r>
            <w:proofErr w:type="gramStart"/>
            <w:r w:rsidRPr="00391600" w:rsidR="009E485A">
              <w:rPr>
                <w:rFonts w:ascii="Palatino Linotype" w:hAnsi="Palatino Linotype"/>
                <w:bCs/>
                <w:color w:val="000000" w:themeColor="text1"/>
                <w:sz w:val="20"/>
                <w:szCs w:val="20"/>
              </w:rPr>
              <w:t>the CPUC’s</w:t>
            </w:r>
            <w:proofErr w:type="gramEnd"/>
            <w:r w:rsidRPr="00391600" w:rsidR="009E485A">
              <w:rPr>
                <w:rFonts w:ascii="Palatino Linotype" w:hAnsi="Palatino Linotype"/>
                <w:bCs/>
                <w:color w:val="000000" w:themeColor="text1"/>
                <w:sz w:val="20"/>
                <w:szCs w:val="20"/>
              </w:rPr>
              <w:t xml:space="preserve"> approval of $2.4M for </w:t>
            </w:r>
            <w:r w:rsidRPr="00391600" w:rsidR="009E485A">
              <w:rPr>
                <w:rFonts w:ascii="Palatino Linotype" w:hAnsi="Palatino Linotype"/>
                <w:bCs/>
                <w:color w:val="000000" w:themeColor="text1"/>
                <w:sz w:val="20"/>
                <w:szCs w:val="20"/>
              </w:rPr>
              <w:lastRenderedPageBreak/>
              <w:t>administrative expenses represents a one-time exception to respond to the CEC’s immediate need for program continuity.</w:t>
            </w:r>
            <w:r w:rsidRPr="00391600" w:rsidR="009E485A">
              <w:rPr>
                <w:rFonts w:ascii="Palatino Linotype" w:hAnsi="Palatino Linotype"/>
                <w:b/>
                <w:color w:val="000000" w:themeColor="text1"/>
                <w:sz w:val="20"/>
                <w:szCs w:val="20"/>
              </w:rPr>
              <w:t xml:space="preserve"> </w:t>
            </w:r>
            <w:r w:rsidRPr="00391600">
              <w:rPr>
                <w:rFonts w:ascii="Palatino Linotype" w:hAnsi="Palatino Linotype"/>
                <w:b/>
                <w:color w:val="000000" w:themeColor="text1"/>
                <w:sz w:val="20"/>
                <w:szCs w:val="20"/>
              </w:rPr>
              <w:t xml:space="preserve"> </w:t>
            </w:r>
          </w:p>
        </w:tc>
      </w:tr>
      <w:tr w:rsidRPr="00391600" w:rsidR="002F78F4" w:rsidTr="6FAFEDE3" w14:paraId="3CB4CE7D" w14:textId="77777777">
        <w:trPr>
          <w:trHeight w:val="638"/>
        </w:trPr>
        <w:tc>
          <w:tcPr>
            <w:tcW w:w="3145" w:type="dxa"/>
          </w:tcPr>
          <w:p w:rsidRPr="00391600" w:rsidR="002F78F4" w:rsidP="00BB366A" w:rsidRDefault="002F78F4" w14:paraId="5E25D4B6" w14:textId="77777777">
            <w:pPr>
              <w:rPr>
                <w:rFonts w:ascii="Palatino Linotype" w:hAnsi="Palatino Linotype"/>
                <w:sz w:val="20"/>
                <w:szCs w:val="20"/>
              </w:rPr>
            </w:pPr>
            <w:hyperlink r:id="rId111">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(2023) at OP 5a.</w:t>
            </w:r>
            <w:r w:rsidRPr="00391600">
              <w:rPr>
                <w:rFonts w:ascii="Palatino Linotype" w:hAnsi="Palatino Linotype"/>
                <w:i/>
                <w:iCs/>
                <w:sz w:val="20"/>
                <w:szCs w:val="20"/>
              </w:rPr>
              <w:t xml:space="preserve"> Identify and engage appropriate disadvantaged community stakeholders to provide increased input on how to administer the program equitably. The CEC shall include details on how disadvantaged community stakeholders and DACAG input </w:t>
            </w:r>
            <w:proofErr w:type="gramStart"/>
            <w:r w:rsidRPr="00391600">
              <w:rPr>
                <w:rFonts w:ascii="Palatino Linotype" w:hAnsi="Palatino Linotype"/>
                <w:i/>
                <w:iCs/>
                <w:sz w:val="20"/>
                <w:szCs w:val="20"/>
              </w:rPr>
              <w:t>was</w:t>
            </w:r>
            <w:proofErr w:type="gramEnd"/>
            <w:r w:rsidRPr="00391600">
              <w:rPr>
                <w:rFonts w:ascii="Palatino Linotype" w:hAnsi="Palatino Linotype"/>
                <w:i/>
                <w:iCs/>
                <w:sz w:val="20"/>
                <w:szCs w:val="20"/>
              </w:rPr>
              <w:t xml:space="preserve"> incorporated into each Gas R&amp;D theme, as relevant to their input.</w:t>
            </w:r>
          </w:p>
        </w:tc>
        <w:tc>
          <w:tcPr>
            <w:tcW w:w="7920" w:type="dxa"/>
          </w:tcPr>
          <w:p w:rsidRPr="00391600" w:rsidR="002F78F4" w:rsidP="00BB366A" w:rsidRDefault="002F78F4" w14:paraId="6C5E2AEC" w14:textId="779157E3">
            <w:p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In an Equity Framework Matrix, </w:t>
            </w:r>
            <w:r w:rsidRPr="00391600" w:rsidR="69BD9C5E">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identifies the direct and indirect Health &amp; Safety; Access &amp; Education; Financial; and Economic Development benefits across RD&amp;D Topics.</w:t>
            </w:r>
            <w:r w:rsidRPr="00391600">
              <w:rPr>
                <w:rStyle w:val="FootnoteReference"/>
                <w:rFonts w:ascii="Palatino Linotype" w:hAnsi="Palatino Linotype"/>
                <w:color w:val="000000" w:themeColor="text1"/>
                <w:sz w:val="20"/>
                <w:szCs w:val="20"/>
              </w:rPr>
              <w:footnoteReference w:id="273"/>
            </w:r>
            <w:r w:rsidRPr="00391600">
              <w:rPr>
                <w:rFonts w:ascii="Palatino Linotype" w:hAnsi="Palatino Linotype"/>
                <w:color w:val="000000" w:themeColor="text1"/>
                <w:sz w:val="20"/>
                <w:szCs w:val="20"/>
              </w:rPr>
              <w:t xml:space="preserve"> </w:t>
            </w:r>
            <w:r w:rsidRPr="00391600" w:rsidR="69BD9C5E">
              <w:rPr>
                <w:rFonts w:ascii="Palatino Linotype" w:hAnsi="Palatino Linotype"/>
                <w:sz w:val="20"/>
                <w:szCs w:val="20"/>
              </w:rPr>
              <w:t xml:space="preserve">The </w:t>
            </w:r>
            <w:r w:rsidRPr="00391600">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Pr>
                <w:rStyle w:val="FootnoteReference"/>
                <w:rFonts w:ascii="Palatino Linotype" w:hAnsi="Palatino Linotype"/>
                <w:color w:val="000000" w:themeColor="text1"/>
                <w:sz w:val="20"/>
                <w:szCs w:val="20"/>
              </w:rPr>
              <w:footnoteReference w:id="274"/>
            </w:r>
            <w:r w:rsidRPr="00391600">
              <w:rPr>
                <w:rFonts w:ascii="Palatino Linotype" w:hAnsi="Palatino Linotype"/>
                <w:color w:val="000000" w:themeColor="text1"/>
                <w:sz w:val="20"/>
                <w:szCs w:val="20"/>
              </w:rPr>
              <w:t xml:space="preserve"> including coordination with the DACAG. CEC describes its Equitable Program Administration, including “CEC DACAG liaisons [supporting] technical staff in informing funding and focal areas and identifying engagement opportunities with the DACAG.”</w:t>
            </w:r>
            <w:r w:rsidRPr="00391600">
              <w:rPr>
                <w:rStyle w:val="FootnoteReference"/>
                <w:rFonts w:ascii="Palatino Linotype" w:hAnsi="Palatino Linotype"/>
                <w:color w:val="000000" w:themeColor="text1"/>
                <w:sz w:val="20"/>
                <w:szCs w:val="20"/>
              </w:rPr>
              <w:footnoteReference w:id="275"/>
            </w:r>
            <w:r w:rsidRPr="00391600">
              <w:rPr>
                <w:rFonts w:ascii="Palatino Linotype" w:hAnsi="Palatino Linotype"/>
                <w:color w:val="000000" w:themeColor="text1"/>
                <w:sz w:val="20"/>
                <w:szCs w:val="20"/>
              </w:rPr>
              <w:t xml:space="preserve"> </w:t>
            </w:r>
            <w:r w:rsidRPr="00391600" w:rsidR="69BD9C5E">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lists the following equity-centered outreach efforts: </w:t>
            </w:r>
          </w:p>
          <w:p w:rsidRPr="00391600" w:rsidR="002F78F4" w:rsidP="003B475F" w:rsidRDefault="002F78F4" w14:paraId="73A193A5" w14:textId="77777777">
            <w:pPr>
              <w:pStyle w:val="ListParagraph"/>
              <w:numPr>
                <w:ilvl w:val="0"/>
                <w:numId w:val="30"/>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“Requesting comments to elicit public input on how to center equity in the proposed initiatives in the 2025–2026 Gas R&amp;D Program following the February 7, 2025, public workshop.” </w:t>
            </w:r>
          </w:p>
          <w:p w:rsidRPr="00391600" w:rsidR="002F78F4" w:rsidP="003B475F" w:rsidRDefault="002F78F4" w14:paraId="18AA2125" w14:textId="77777777">
            <w:pPr>
              <w:pStyle w:val="ListParagraph"/>
              <w:numPr>
                <w:ilvl w:val="0"/>
                <w:numId w:val="30"/>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“Briefing DACAG SMEs on the initial list of proposed initiatives August 19, 2024” </w:t>
            </w:r>
          </w:p>
          <w:p w:rsidRPr="00391600" w:rsidR="002F78F4" w:rsidP="003B475F" w:rsidRDefault="002F78F4" w14:paraId="51C65A30" w14:textId="77777777">
            <w:pPr>
              <w:pStyle w:val="ListParagraph"/>
              <w:numPr>
                <w:ilvl w:val="0"/>
                <w:numId w:val="30"/>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“Presenting and soliciting feedback on the proposed initiatives of the Gas R&amp;D Program and the proposed equity engagement approach at the DACAG meeting January 17, 2025.” CEC details and responds to feedback from the DACAG in Appendix D.</w:t>
            </w:r>
            <w:r w:rsidRPr="00391600">
              <w:rPr>
                <w:rStyle w:val="FootnoteReference"/>
                <w:rFonts w:ascii="Palatino Linotype" w:hAnsi="Palatino Linotype"/>
                <w:color w:val="000000" w:themeColor="text1"/>
                <w:sz w:val="20"/>
                <w:szCs w:val="20"/>
              </w:rPr>
              <w:footnoteReference w:id="276"/>
            </w:r>
          </w:p>
          <w:p w:rsidRPr="00391600" w:rsidR="002F78F4" w:rsidP="003B475F" w:rsidRDefault="002F78F4" w14:paraId="417EC3CC" w14:textId="77777777">
            <w:pPr>
              <w:pStyle w:val="ListParagraph"/>
              <w:numPr>
                <w:ilvl w:val="0"/>
                <w:numId w:val="30"/>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“Presenting and soliciting feedback on the proposed initiatives of the Gas R&amp;D Program at an environmental justice roundtable October 11, 2024, with representatives from seven organizations.”</w:t>
            </w:r>
            <w:r w:rsidRPr="00391600">
              <w:rPr>
                <w:rStyle w:val="FootnoteReference"/>
                <w:rFonts w:ascii="Palatino Linotype" w:hAnsi="Palatino Linotype"/>
                <w:color w:val="000000" w:themeColor="text1"/>
                <w:sz w:val="20"/>
                <w:szCs w:val="20"/>
              </w:rPr>
              <w:footnoteReference w:id="277"/>
            </w:r>
            <w:r w:rsidRPr="00391600">
              <w:rPr>
                <w:rFonts w:ascii="Palatino Linotype" w:hAnsi="Palatino Linotype"/>
                <w:color w:val="000000" w:themeColor="text1"/>
                <w:sz w:val="20"/>
                <w:szCs w:val="20"/>
              </w:rPr>
              <w:t xml:space="preserve"> CEC details and responds to feedback from this roundtable in Appendix D.</w:t>
            </w:r>
            <w:r w:rsidRPr="00391600">
              <w:rPr>
                <w:rStyle w:val="FootnoteReference"/>
                <w:rFonts w:ascii="Palatino Linotype" w:hAnsi="Palatino Linotype"/>
                <w:color w:val="000000" w:themeColor="text1"/>
                <w:sz w:val="20"/>
                <w:szCs w:val="20"/>
              </w:rPr>
              <w:footnoteReference w:id="278"/>
            </w:r>
          </w:p>
          <w:p w:rsidRPr="00391600" w:rsidR="002F78F4" w:rsidP="00BB366A" w:rsidRDefault="002F78F4" w14:paraId="372A3337" w14:textId="2350CEF1">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lastRenderedPageBreak/>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Social Science Research for Gas Decommissioning in the Mid and Long Term</w:t>
            </w:r>
            <w:r w:rsidRPr="00391600">
              <w:rPr>
                <w:rFonts w:ascii="Palatino Linotype" w:hAnsi="Palatino Linotype"/>
                <w:color w:val="000000" w:themeColor="text1"/>
                <w:sz w:val="20"/>
                <w:szCs w:val="20"/>
              </w:rPr>
              <w:t xml:space="preserve">: </w:t>
            </w:r>
            <w:r w:rsidRPr="00391600" w:rsidR="69BD9C5E">
              <w:rPr>
                <w:rFonts w:ascii="Palatino Linotype" w:hAnsi="Palatino Linotype"/>
                <w:sz w:val="20"/>
                <w:szCs w:val="20"/>
              </w:rPr>
              <w:t xml:space="preserve">The </w:t>
            </w:r>
            <w:r w:rsidRPr="00391600">
              <w:rPr>
                <w:rFonts w:ascii="Palatino Linotype" w:hAnsi="Palatino Linotype"/>
                <w:color w:val="000000" w:themeColor="text1"/>
                <w:sz w:val="20"/>
                <w:szCs w:val="20"/>
              </w:rPr>
              <w:t>CEC affirms a shared interest with the DACAG in supporting equitable neighborhood-scale decommissioning while addressing the obligation to serve as this Initiative includes "research that estimates the degree and societal distribution of potential energy cost effects associated with gas decommissioning."</w:t>
            </w:r>
            <w:r w:rsidRPr="00391600">
              <w:rPr>
                <w:rStyle w:val="FootnoteReference"/>
                <w:rFonts w:ascii="Palatino Linotype" w:hAnsi="Palatino Linotype"/>
                <w:color w:val="000000" w:themeColor="text1"/>
                <w:sz w:val="20"/>
                <w:szCs w:val="20"/>
              </w:rPr>
              <w:footnoteReference w:id="279"/>
            </w:r>
            <w:r w:rsidRPr="00391600">
              <w:rPr>
                <w:rFonts w:ascii="Palatino Linotype" w:hAnsi="Palatino Linotype"/>
                <w:color w:val="000000" w:themeColor="text1"/>
                <w:sz w:val="20"/>
                <w:szCs w:val="20"/>
              </w:rPr>
              <w:t xml:space="preserve"> The DACAG also  expressed interest in </w:t>
            </w:r>
            <w:r w:rsidRPr="00391600" w:rsidR="69BD9C5E">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gathering "data on actual savings to updated modeled/projected bill impacts"</w:t>
            </w:r>
            <w:r w:rsidRPr="00391600">
              <w:rPr>
                <w:rStyle w:val="FootnoteReference"/>
                <w:rFonts w:ascii="Palatino Linotype" w:hAnsi="Palatino Linotype"/>
                <w:color w:val="000000" w:themeColor="text1"/>
                <w:sz w:val="20"/>
                <w:szCs w:val="20"/>
              </w:rPr>
              <w:footnoteReference w:id="280"/>
            </w:r>
            <w:r w:rsidRPr="00391600">
              <w:rPr>
                <w:rFonts w:ascii="Palatino Linotype" w:hAnsi="Palatino Linotype"/>
                <w:color w:val="000000" w:themeColor="text1"/>
                <w:sz w:val="20"/>
                <w:szCs w:val="20"/>
              </w:rPr>
              <w:t xml:space="preserve"> and </w:t>
            </w:r>
            <w:r w:rsidRPr="00391600" w:rsidR="69BD9C5E">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states that this Initiative would promote affordability by "[providing] information to planners on costs and risks of different decommissioning pathways, supporting decisions on transition pathway management and on setting gas and electricity rates."</w:t>
            </w:r>
            <w:r w:rsidRPr="00391600">
              <w:rPr>
                <w:rStyle w:val="FootnoteReference"/>
                <w:rFonts w:ascii="Palatino Linotype" w:hAnsi="Palatino Linotype"/>
                <w:color w:val="000000" w:themeColor="text1"/>
                <w:sz w:val="20"/>
                <w:szCs w:val="20"/>
              </w:rPr>
              <w:footnoteReference w:id="281"/>
            </w:r>
            <w:r w:rsidRPr="00391600">
              <w:rPr>
                <w:rFonts w:ascii="Palatino Linotype" w:hAnsi="Palatino Linotype"/>
                <w:color w:val="000000" w:themeColor="text1"/>
                <w:sz w:val="20"/>
                <w:szCs w:val="20"/>
              </w:rPr>
              <w:t xml:space="preserve"> </w:t>
            </w:r>
          </w:p>
          <w:p w:rsidRPr="00391600" w:rsidR="002F78F4" w:rsidP="00BB366A" w:rsidRDefault="002F78F4" w14:paraId="68FB911B" w14:textId="05F80F63">
            <w:pPr>
              <w:rPr>
                <w:rFonts w:ascii="Palatino Linotype" w:hAnsi="Palatino Linotype"/>
                <w:bCs/>
                <w:color w:val="000000" w:themeColor="text1"/>
                <w:sz w:val="20"/>
                <w:szCs w:val="20"/>
              </w:rPr>
            </w:pPr>
            <w:r w:rsidRPr="00391600">
              <w:rPr>
                <w:rFonts w:ascii="Palatino Linotype" w:hAnsi="Palatino Linotype"/>
                <w:b/>
                <w:bCs/>
                <w:color w:val="A6A6A6" w:themeColor="background1" w:themeShade="A6"/>
                <w:sz w:val="20"/>
                <w:szCs w:val="20"/>
              </w:rPr>
              <w:t xml:space="preserve">    </w:t>
            </w:r>
            <w:r w:rsidRPr="00391600">
              <w:rPr>
                <w:rFonts w:ascii="Palatino Linotype" w:hAnsi="Palatino Linotype"/>
                <w:b/>
                <w:bCs/>
                <w:color w:val="000000" w:themeColor="text1"/>
                <w:sz w:val="20"/>
                <w:szCs w:val="20"/>
              </w:rPr>
              <w:t>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Pilot Projects to Advance Gas Decommissioning</w:t>
            </w:r>
            <w:r w:rsidRPr="00391600">
              <w:rPr>
                <w:rFonts w:ascii="Palatino Linotype" w:hAnsi="Palatino Linotype"/>
                <w:color w:val="000000" w:themeColor="text1"/>
                <w:sz w:val="20"/>
                <w:szCs w:val="20"/>
              </w:rPr>
              <w:t xml:space="preserve">: </w:t>
            </w:r>
            <w:r w:rsidRPr="00391600" w:rsidR="69BD9C5E">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reports that an Environmental Justice (EJ) Representative emphasized the need to provide equitable opportunities and resources to Spanish-speaking renters to overcome additional barriers to electrification; </w:t>
            </w:r>
            <w:r w:rsidRPr="00391600" w:rsidR="69BD9C5E">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"effective community engagement must be tailored to meet the unique needs of each community."</w:t>
            </w:r>
            <w:r w:rsidRPr="00391600">
              <w:rPr>
                <w:rStyle w:val="FootnoteReference"/>
                <w:rFonts w:ascii="Palatino Linotype" w:hAnsi="Palatino Linotype"/>
                <w:color w:val="000000" w:themeColor="text1"/>
                <w:sz w:val="20"/>
                <w:szCs w:val="20"/>
              </w:rPr>
              <w:footnoteReference w:id="282"/>
            </w:r>
          </w:p>
          <w:p w:rsidRPr="00391600" w:rsidR="002F78F4" w:rsidP="00BB366A" w:rsidRDefault="002F78F4" w14:paraId="15FAA7A1" w14:textId="1A5AB73C">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Networked Geothermal Heat Pumps</w:t>
            </w:r>
            <w:r w:rsidRPr="00391600">
              <w:rPr>
                <w:rFonts w:ascii="Palatino Linotype" w:hAnsi="Palatino Linotype"/>
                <w:color w:val="000000" w:themeColor="text1"/>
                <w:sz w:val="20"/>
                <w:szCs w:val="20"/>
              </w:rPr>
              <w:t>: In response to concerns from an EJ Representative over water usage,</w:t>
            </w:r>
            <w:r w:rsidRPr="00391600" w:rsidR="69BD9C5E">
              <w:rPr>
                <w:rFonts w:ascii="Palatino Linotype" w:hAnsi="Palatino Linotype"/>
                <w:color w:val="000000" w:themeColor="text1"/>
                <w:sz w:val="20"/>
                <w:szCs w:val="20"/>
              </w:rPr>
              <w:t xml:space="preserve"> the</w:t>
            </w:r>
            <w:r w:rsidRPr="00391600">
              <w:rPr>
                <w:rFonts w:ascii="Palatino Linotype" w:hAnsi="Palatino Linotype"/>
                <w:color w:val="000000" w:themeColor="text1"/>
                <w:sz w:val="20"/>
                <w:szCs w:val="20"/>
              </w:rPr>
              <w:t xml:space="preserve"> CEC </w:t>
            </w:r>
            <w:r w:rsidRPr="00391600" w:rsidR="69BD9C5E">
              <w:rPr>
                <w:rFonts w:ascii="Palatino Linotype" w:hAnsi="Palatino Linotype"/>
                <w:color w:val="000000" w:themeColor="text1"/>
                <w:sz w:val="20"/>
                <w:szCs w:val="20"/>
              </w:rPr>
              <w:t>stated</w:t>
            </w:r>
            <w:r w:rsidRPr="00391600">
              <w:rPr>
                <w:rFonts w:ascii="Palatino Linotype" w:hAnsi="Palatino Linotype"/>
                <w:color w:val="000000" w:themeColor="text1"/>
                <w:sz w:val="20"/>
                <w:szCs w:val="20"/>
              </w:rPr>
              <w:t xml:space="preserve"> that "[w]</w:t>
            </w:r>
            <w:proofErr w:type="spellStart"/>
            <w:r w:rsidRPr="00391600">
              <w:rPr>
                <w:rFonts w:ascii="Palatino Linotype" w:hAnsi="Palatino Linotype"/>
                <w:color w:val="000000" w:themeColor="text1"/>
                <w:sz w:val="20"/>
                <w:szCs w:val="20"/>
              </w:rPr>
              <w:t>ater</w:t>
            </w:r>
            <w:proofErr w:type="spellEnd"/>
            <w:r w:rsidRPr="00391600">
              <w:rPr>
                <w:rFonts w:ascii="Palatino Linotype" w:hAnsi="Palatino Linotype"/>
                <w:color w:val="000000" w:themeColor="text1"/>
                <w:sz w:val="20"/>
                <w:szCs w:val="20"/>
              </w:rPr>
              <w:t xml:space="preserve"> use and potential savings will be studied in the suitability and benefits of this technology in California" and that the Building Decarbonization Coalition reported </w:t>
            </w:r>
            <w:proofErr w:type="gramStart"/>
            <w:r w:rsidRPr="00391600">
              <w:rPr>
                <w:rFonts w:ascii="Palatino Linotype" w:hAnsi="Palatino Linotype"/>
                <w:color w:val="000000" w:themeColor="text1"/>
                <w:sz w:val="20"/>
                <w:szCs w:val="20"/>
              </w:rPr>
              <w:t>a</w:t>
            </w:r>
            <w:proofErr w:type="gramEnd"/>
            <w:r w:rsidRPr="00391600">
              <w:rPr>
                <w:rFonts w:ascii="Palatino Linotype" w:hAnsi="Palatino Linotype"/>
                <w:color w:val="000000" w:themeColor="text1"/>
                <w:sz w:val="20"/>
                <w:szCs w:val="20"/>
              </w:rPr>
              <w:t xml:space="preserve"> 18 to 46 percent reduction in water consumption by geothermal energy networks as opposed to cooling towers. [D-8 to D-9]. In response to concerns from the DACAG on the cost-effectiveness of networked geothermal heat pumps, </w:t>
            </w:r>
            <w:r w:rsidRPr="00391600" w:rsidR="5B59AE8D">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"the efficiency and economic favorability of thermal energy networks in</w:t>
            </w:r>
            <w:r w:rsidRPr="00391600" w:rsidR="69BD9C5E">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rPr>
              <w:t>general directly correlate with population density" and "a California-specific study of networked GHPs and their performance comparison with established technologies (both economically and in terms of non-economic metrics) will be further explored as part of this initiative."</w:t>
            </w:r>
            <w:r w:rsidRPr="00391600">
              <w:rPr>
                <w:rStyle w:val="FootnoteReference"/>
                <w:rFonts w:ascii="Palatino Linotype" w:hAnsi="Palatino Linotype"/>
                <w:color w:val="000000" w:themeColor="text1"/>
                <w:sz w:val="20"/>
                <w:szCs w:val="20"/>
              </w:rPr>
              <w:footnoteReference w:id="283"/>
            </w:r>
            <w:r w:rsidRPr="00391600">
              <w:rPr>
                <w:rFonts w:ascii="Palatino Linotype" w:hAnsi="Palatino Linotype"/>
                <w:color w:val="000000" w:themeColor="text1"/>
                <w:sz w:val="20"/>
                <w:szCs w:val="20"/>
              </w:rPr>
              <w:t xml:space="preserve"> </w:t>
            </w:r>
          </w:p>
        </w:tc>
        <w:tc>
          <w:tcPr>
            <w:tcW w:w="3240" w:type="dxa"/>
          </w:tcPr>
          <w:p w:rsidRPr="00391600" w:rsidR="002F78F4" w:rsidP="00BB366A" w:rsidRDefault="002F78F4" w14:paraId="4BFD97C4" w14:textId="23E6AF0F">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 xml:space="preserve">    </w:t>
            </w:r>
            <w:r w:rsidRPr="00391600">
              <w:rPr>
                <w:rFonts w:ascii="Palatino Linotype" w:hAnsi="Palatino Linotype"/>
                <w:b/>
                <w:color w:val="000000" w:themeColor="text1"/>
                <w:sz w:val="20"/>
                <w:szCs w:val="20"/>
              </w:rPr>
              <w:t>1</w:t>
            </w:r>
            <w:r w:rsidRPr="00391600">
              <w:rPr>
                <w:rFonts w:ascii="Palatino Linotype" w:hAnsi="Palatino Linotype"/>
                <w:bCs/>
                <w:color w:val="000000" w:themeColor="text1"/>
                <w:sz w:val="20"/>
                <w:szCs w:val="20"/>
              </w:rPr>
              <w:t xml:space="preserve">. </w:t>
            </w:r>
            <w:r w:rsidRPr="00391600" w:rsidR="003F5A79">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describes how this Initiative relates to </w:t>
            </w:r>
            <w:proofErr w:type="gramStart"/>
            <w:r w:rsidRPr="00391600">
              <w:rPr>
                <w:rFonts w:ascii="Palatino Linotype" w:hAnsi="Palatino Linotype"/>
                <w:bCs/>
                <w:color w:val="000000" w:themeColor="text1"/>
                <w:sz w:val="20"/>
                <w:szCs w:val="20"/>
              </w:rPr>
              <w:t>the DACAG's</w:t>
            </w:r>
            <w:proofErr w:type="gramEnd"/>
            <w:r w:rsidRPr="00391600">
              <w:rPr>
                <w:rFonts w:ascii="Palatino Linotype" w:hAnsi="Palatino Linotype"/>
                <w:bCs/>
                <w:color w:val="000000" w:themeColor="text1"/>
                <w:sz w:val="20"/>
                <w:szCs w:val="20"/>
              </w:rPr>
              <w:t xml:space="preserve"> </w:t>
            </w:r>
            <w:proofErr w:type="gramStart"/>
            <w:r w:rsidRPr="00391600">
              <w:rPr>
                <w:rFonts w:ascii="Palatino Linotype" w:hAnsi="Palatino Linotype"/>
                <w:bCs/>
                <w:color w:val="000000" w:themeColor="text1"/>
                <w:sz w:val="20"/>
                <w:szCs w:val="20"/>
              </w:rPr>
              <w:t>interests, but</w:t>
            </w:r>
            <w:proofErr w:type="gramEnd"/>
            <w:r w:rsidRPr="00391600">
              <w:rPr>
                <w:rFonts w:ascii="Palatino Linotype" w:hAnsi="Palatino Linotype"/>
                <w:bCs/>
                <w:color w:val="000000" w:themeColor="text1"/>
                <w:sz w:val="20"/>
                <w:szCs w:val="20"/>
              </w:rPr>
              <w:t xml:space="preserve"> </w:t>
            </w:r>
            <w:r w:rsidRPr="00391600" w:rsidR="00075198">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continue to consider how to more directly support the DACAG's specific requests for discrete data.</w:t>
            </w:r>
          </w:p>
          <w:p w:rsidRPr="00391600" w:rsidR="002F78F4" w:rsidP="00BB366A" w:rsidRDefault="002F78F4" w14:paraId="5AB41098" w14:textId="6D48DFC4">
            <w:p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    </w:t>
            </w:r>
            <w:r w:rsidRPr="00391600">
              <w:rPr>
                <w:rFonts w:ascii="Palatino Linotype" w:hAnsi="Palatino Linotype"/>
                <w:b/>
                <w:color w:val="000000" w:themeColor="text1"/>
                <w:sz w:val="20"/>
                <w:szCs w:val="20"/>
              </w:rPr>
              <w:t>2</w:t>
            </w:r>
            <w:r w:rsidRPr="00391600">
              <w:rPr>
                <w:rFonts w:ascii="Palatino Linotype" w:hAnsi="Palatino Linotype"/>
                <w:bCs/>
                <w:color w:val="000000" w:themeColor="text1"/>
                <w:sz w:val="20"/>
                <w:szCs w:val="20"/>
              </w:rPr>
              <w:t xml:space="preserve">. </w:t>
            </w:r>
            <w:r w:rsidRPr="00391600" w:rsidR="003F5A79">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generally commits to addressing the EJ Representatives concerns with this </w:t>
            </w:r>
            <w:proofErr w:type="gramStart"/>
            <w:r w:rsidRPr="00391600">
              <w:rPr>
                <w:rFonts w:ascii="Palatino Linotype" w:hAnsi="Palatino Linotype"/>
                <w:bCs/>
                <w:color w:val="000000" w:themeColor="text1"/>
                <w:sz w:val="20"/>
                <w:szCs w:val="20"/>
              </w:rPr>
              <w:t>Initiative, but</w:t>
            </w:r>
            <w:proofErr w:type="gramEnd"/>
            <w:r w:rsidRPr="00391600">
              <w:rPr>
                <w:rFonts w:ascii="Palatino Linotype" w:hAnsi="Palatino Linotype"/>
                <w:bCs/>
                <w:color w:val="000000" w:themeColor="text1"/>
                <w:sz w:val="20"/>
                <w:szCs w:val="20"/>
              </w:rPr>
              <w:t xml:space="preserve"> </w:t>
            </w:r>
            <w:r w:rsidRPr="00391600" w:rsidR="00075198">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continue to consider how to more directly support the specific request for assistance to overcome unique barriers by demographic.</w:t>
            </w:r>
          </w:p>
          <w:p w:rsidRPr="00391600" w:rsidR="002F78F4" w:rsidP="00BB366A" w:rsidRDefault="002F78F4" w14:paraId="48ED819E" w14:textId="079ADA4F">
            <w:pPr>
              <w:rPr>
                <w:rFonts w:ascii="Palatino Linotype" w:hAnsi="Palatino Linotype"/>
                <w:bCs/>
                <w:color w:val="000000" w:themeColor="text1"/>
                <w:sz w:val="20"/>
                <w:szCs w:val="20"/>
              </w:rPr>
            </w:pPr>
            <w:r w:rsidRPr="00391600">
              <w:rPr>
                <w:rFonts w:ascii="Palatino Linotype" w:hAnsi="Palatino Linotype"/>
                <w:bCs/>
                <w:color w:val="A6A6A6" w:themeColor="background1" w:themeShade="A6"/>
                <w:sz w:val="20"/>
                <w:szCs w:val="20"/>
              </w:rPr>
              <w:t xml:space="preserve">    </w:t>
            </w:r>
            <w:r w:rsidRPr="00391600">
              <w:rPr>
                <w:rFonts w:ascii="Palatino Linotype" w:hAnsi="Palatino Linotype"/>
                <w:b/>
                <w:color w:val="000000" w:themeColor="text1"/>
                <w:sz w:val="20"/>
                <w:szCs w:val="20"/>
              </w:rPr>
              <w:t>3</w:t>
            </w:r>
            <w:r w:rsidRPr="00391600">
              <w:rPr>
                <w:rFonts w:ascii="Palatino Linotype" w:hAnsi="Palatino Linotype"/>
                <w:bCs/>
                <w:color w:val="000000" w:themeColor="text1"/>
                <w:sz w:val="20"/>
                <w:szCs w:val="20"/>
              </w:rPr>
              <w:t xml:space="preserve">. </w:t>
            </w:r>
            <w:r w:rsidRPr="00391600" w:rsidR="003F5A79">
              <w:rPr>
                <w:rFonts w:ascii="Palatino Linotype" w:hAnsi="Palatino Linotype"/>
                <w:bCs/>
                <w:sz w:val="20"/>
                <w:szCs w:val="20"/>
              </w:rPr>
              <w:t xml:space="preserve">The </w:t>
            </w:r>
            <w:r w:rsidRPr="00391600">
              <w:rPr>
                <w:rFonts w:ascii="Palatino Linotype" w:hAnsi="Palatino Linotype"/>
                <w:bCs/>
                <w:color w:val="000000" w:themeColor="text1"/>
                <w:sz w:val="20"/>
                <w:szCs w:val="20"/>
              </w:rPr>
              <w:t>CEC appears to have engaged and considered the concerns of EJ representatives and the DACAG related to this Initiative.</w:t>
            </w:r>
          </w:p>
          <w:p w:rsidRPr="00391600" w:rsidR="002F78F4" w:rsidP="00BB366A" w:rsidRDefault="003F5A79" w14:paraId="5A92618A" w14:textId="3C3926C6">
            <w:pPr>
              <w:rPr>
                <w:rFonts w:ascii="Palatino Linotype" w:hAnsi="Palatino Linotype"/>
                <w:bCs/>
                <w:color w:val="A6A6A6" w:themeColor="background1" w:themeShade="A6"/>
                <w:sz w:val="20"/>
                <w:szCs w:val="20"/>
              </w:rPr>
            </w:pPr>
            <w:r w:rsidRPr="00391600">
              <w:rPr>
                <w:rFonts w:ascii="Palatino Linotype" w:hAnsi="Palatino Linotype"/>
                <w:b/>
                <w:sz w:val="20"/>
                <w:szCs w:val="20"/>
              </w:rPr>
              <w:t>The</w:t>
            </w:r>
            <w:r w:rsidRPr="00391600">
              <w:rPr>
                <w:rFonts w:ascii="Palatino Linotype" w:hAnsi="Palatino Linotype"/>
                <w:bCs/>
                <w:sz w:val="20"/>
                <w:szCs w:val="20"/>
              </w:rPr>
              <w:t xml:space="preserv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38735212" w14:textId="77777777">
        <w:trPr>
          <w:trHeight w:val="638"/>
        </w:trPr>
        <w:tc>
          <w:tcPr>
            <w:tcW w:w="3145" w:type="dxa"/>
          </w:tcPr>
          <w:p w:rsidRPr="00391600" w:rsidR="002F78F4" w:rsidP="00BB366A" w:rsidRDefault="002F78F4" w14:paraId="7F6265B3" w14:textId="77777777">
            <w:pPr>
              <w:rPr>
                <w:rFonts w:ascii="Palatino Linotype" w:hAnsi="Palatino Linotype"/>
                <w:b/>
                <w:i/>
                <w:iCs/>
                <w:sz w:val="20"/>
                <w:szCs w:val="20"/>
              </w:rPr>
            </w:pPr>
            <w:hyperlink w:history="1" r:id="rId112">
              <w:r w:rsidRPr="00391600">
                <w:rPr>
                  <w:rStyle w:val="Hyperlink"/>
                  <w:rFonts w:ascii="Palatino Linotype" w:hAnsi="Palatino Linotype"/>
                  <w:b/>
                  <w:sz w:val="20"/>
                  <w:szCs w:val="20"/>
                </w:rPr>
                <w:t>Resolution G-3592</w:t>
              </w:r>
            </w:hyperlink>
            <w:r w:rsidRPr="00391600">
              <w:rPr>
                <w:rFonts w:ascii="Palatino Linotype" w:hAnsi="Palatino Linotype"/>
                <w:b/>
                <w:sz w:val="20"/>
                <w:szCs w:val="20"/>
              </w:rPr>
              <w:t xml:space="preserve"> </w:t>
            </w:r>
            <w:r w:rsidRPr="00391600">
              <w:rPr>
                <w:rFonts w:ascii="Palatino Linotype" w:hAnsi="Palatino Linotype"/>
                <w:bCs/>
                <w:sz w:val="20"/>
                <w:szCs w:val="20"/>
              </w:rPr>
              <w:t>(2023) at OP 5c &amp; d.</w:t>
            </w:r>
            <w:r w:rsidRPr="00391600">
              <w:rPr>
                <w:rFonts w:ascii="Palatino Linotype" w:hAnsi="Palatino Linotype"/>
                <w:bCs/>
                <w:i/>
                <w:iCs/>
                <w:sz w:val="20"/>
                <w:szCs w:val="20"/>
              </w:rPr>
              <w:t xml:space="preserve"> Describe its process for seeking collaborative and co-funding opportunities, detailed proposals for such opportunities, or explain why it did not consider collaborative and co-funding opportunities [and] include information on coordination with the IOUs and other research stakeholders at both a high-level on coordination process and project level details of partnership, costs, and co-funding within the body of the research plan.  </w:t>
            </w:r>
          </w:p>
        </w:tc>
        <w:tc>
          <w:tcPr>
            <w:tcW w:w="7920" w:type="dxa"/>
          </w:tcPr>
          <w:p w:rsidRPr="00391600" w:rsidR="002F78F4" w:rsidP="00BB366A" w:rsidRDefault="5B59AE8D" w14:paraId="7CE4917D" w14:textId="23C0F6E4">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describes its public engagement: “The CEC holds an annual public workshop to solicit feedback on the draft budget plan for that year. The Proposed FY 2025–2026 Gas R&amp;D Budget Plan was presented at a public workshop February 27, 2025. Approximately 70 people attended the workshop, not including CEC staff, and the CEC received around 30 attendee questions and comments during the workshop discussion. The CEC considered and responded to public comments associated with budget plan development. (See Appendices C and D for the workshop presentation and a summary of public comments and CEC staff responses, respectively).”</w:t>
            </w:r>
            <w:r w:rsidRPr="00391600" w:rsidR="002F78F4">
              <w:rPr>
                <w:rStyle w:val="FootnoteReference"/>
                <w:rFonts w:ascii="Palatino Linotype" w:hAnsi="Palatino Linotype"/>
                <w:color w:val="000000" w:themeColor="text1"/>
                <w:sz w:val="20"/>
                <w:szCs w:val="20"/>
              </w:rPr>
              <w:footnoteReference w:id="284"/>
            </w:r>
            <w:r w:rsidRPr="00391600" w:rsidR="002F78F4">
              <w:rPr>
                <w:rFonts w:ascii="Palatino Linotype" w:hAnsi="Palatino Linotype"/>
                <w:color w:val="000000" w:themeColor="text1"/>
                <w:sz w:val="20"/>
                <w:szCs w:val="20"/>
              </w:rPr>
              <w:t xml:space="preserve"> Under the </w:t>
            </w:r>
            <w:proofErr w:type="spellStart"/>
            <w:r w:rsidRPr="00391600" w:rsidR="002F78F4">
              <w:rPr>
                <w:rFonts w:ascii="Palatino Linotype" w:hAnsi="Palatino Linotype"/>
                <w:color w:val="000000" w:themeColor="text1"/>
                <w:sz w:val="20"/>
                <w:szCs w:val="20"/>
              </w:rPr>
              <w:t>Cofunding</w:t>
            </w:r>
            <w:proofErr w:type="spellEnd"/>
            <w:r w:rsidRPr="00391600" w:rsidR="002F78F4">
              <w:rPr>
                <w:rFonts w:ascii="Palatino Linotype" w:hAnsi="Palatino Linotype"/>
                <w:color w:val="000000" w:themeColor="text1"/>
                <w:sz w:val="20"/>
                <w:szCs w:val="20"/>
              </w:rPr>
              <w:t xml:space="preserve"> Opportunities Section,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 xml:space="preserve">CEC states that it “leverages </w:t>
            </w:r>
            <w:proofErr w:type="spellStart"/>
            <w:r w:rsidRPr="00391600" w:rsidR="002F78F4">
              <w:rPr>
                <w:rFonts w:ascii="Palatino Linotype" w:hAnsi="Palatino Linotype"/>
                <w:color w:val="000000" w:themeColor="text1"/>
                <w:sz w:val="20"/>
                <w:szCs w:val="20"/>
              </w:rPr>
              <w:t>cofunding</w:t>
            </w:r>
            <w:proofErr w:type="spellEnd"/>
            <w:r w:rsidRPr="00391600" w:rsidR="002F78F4">
              <w:rPr>
                <w:rFonts w:ascii="Palatino Linotype" w:hAnsi="Palatino Linotype"/>
                <w:color w:val="000000" w:themeColor="text1"/>
                <w:sz w:val="20"/>
                <w:szCs w:val="20"/>
              </w:rPr>
              <w:t xml:space="preserve"> opportunities by either requiring applicants for competitive solicitations to secure match funding (usually 10–20 percent), providing additional scoring preferences for applications that exceed the minimum match funding requirement, or both. The cumulative match investments and project successes of the program are summarized in the Gas R&amp;D Program Annual Report. As an example, the FY 2021–2022 Budget Plan resulted in competitively awarded projects that catalyzed nearly $8 million in match funds to expand the impact of these projects, effectively increasing the program funding level by 33 percent. A total of $1.5 million of these match funds came from IOUs (such as SoCalGas), $1.23 million from community- or publicly funded entities (for example, the South Coast Air Quality Management District), and $5.1 million from private entities.”</w:t>
            </w:r>
            <w:r w:rsidRPr="00391600" w:rsidR="002F78F4">
              <w:rPr>
                <w:rStyle w:val="FootnoteReference"/>
                <w:rFonts w:ascii="Palatino Linotype" w:hAnsi="Palatino Linotype"/>
                <w:color w:val="000000" w:themeColor="text1"/>
                <w:sz w:val="20"/>
                <w:szCs w:val="20"/>
              </w:rPr>
              <w:footnoteReference w:id="285"/>
            </w:r>
            <w:r w:rsidRPr="00391600" w:rsidR="002F78F4">
              <w:rPr>
                <w:rFonts w:ascii="Palatino Linotype" w:hAnsi="Palatino Linotype"/>
                <w:color w:val="000000" w:themeColor="text1"/>
                <w:sz w:val="20"/>
                <w:szCs w:val="20"/>
              </w:rPr>
              <w:t xml:space="preserve"> See also: CEC Response in AL 10-G-A to </w:t>
            </w:r>
            <w:hyperlink r:id="rId113">
              <w:r w:rsidRPr="00391600" w:rsidR="002F78F4">
                <w:rPr>
                  <w:rStyle w:val="Hyperlink"/>
                  <w:rFonts w:ascii="Palatino Linotype" w:hAnsi="Palatino Linotype"/>
                  <w:sz w:val="20"/>
                  <w:szCs w:val="20"/>
                </w:rPr>
                <w:t>Resolution G-3603</w:t>
              </w:r>
            </w:hyperlink>
            <w:r w:rsidRPr="00391600" w:rsidR="002F78F4">
              <w:rPr>
                <w:rFonts w:ascii="Palatino Linotype" w:hAnsi="Palatino Linotype"/>
                <w:color w:val="000000" w:themeColor="text1"/>
                <w:sz w:val="20"/>
                <w:szCs w:val="20"/>
              </w:rPr>
              <w:t xml:space="preserve"> (2024) at OP 4.</w:t>
            </w:r>
          </w:p>
        </w:tc>
        <w:tc>
          <w:tcPr>
            <w:tcW w:w="3240" w:type="dxa"/>
          </w:tcPr>
          <w:p w:rsidRPr="00F51E26" w:rsidR="002F78F4" w:rsidP="00BB366A" w:rsidRDefault="00D74F56" w14:paraId="289424EC" w14:textId="2193A90B">
            <w:pPr>
              <w:rPr>
                <w:rFonts w:ascii="Palatino Linotype" w:hAnsi="Palatino Linotype"/>
                <w:bCs/>
                <w:color w:val="000000" w:themeColor="text1"/>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 xml:space="preserve">CEC describes the multiple avenues in which it seeks and utilizes co-funding. See also: Compliance Assessment of </w:t>
            </w:r>
            <w:hyperlink w:history="1" r:id="rId114">
              <w:r w:rsidRPr="00391600" w:rsidR="002F78F4">
                <w:rPr>
                  <w:rStyle w:val="Hyperlink"/>
                  <w:rFonts w:ascii="Palatino Linotype" w:hAnsi="Palatino Linotype"/>
                  <w:bCs/>
                  <w:sz w:val="20"/>
                  <w:szCs w:val="20"/>
                </w:rPr>
                <w:t>Resolution G-3603</w:t>
              </w:r>
            </w:hyperlink>
            <w:r w:rsidRPr="00391600" w:rsidR="002F78F4">
              <w:rPr>
                <w:rFonts w:ascii="Palatino Linotype" w:hAnsi="Palatino Linotype"/>
                <w:bCs/>
                <w:color w:val="000000" w:themeColor="text1"/>
                <w:sz w:val="20"/>
                <w:szCs w:val="20"/>
              </w:rPr>
              <w:t xml:space="preserve"> (2024) at OP 4. </w:t>
            </w:r>
            <w:r w:rsidRPr="00391600">
              <w:rPr>
                <w:rFonts w:ascii="Palatino Linotype" w:hAnsi="Palatino Linotype"/>
                <w:b/>
                <w:color w:val="000000" w:themeColor="text1"/>
                <w:sz w:val="20"/>
                <w:szCs w:val="20"/>
              </w:rPr>
              <w:t>The</w:t>
            </w:r>
            <w:r w:rsidRPr="00391600">
              <w:rPr>
                <w:rFonts w:ascii="Palatino Linotype" w:hAnsi="Palatino Linotype"/>
                <w:bCs/>
                <w:color w:val="000000" w:themeColor="text1"/>
                <w:sz w:val="20"/>
                <w:szCs w:val="20"/>
              </w:rPr>
              <w:t xml:space="preserve"> </w:t>
            </w:r>
            <w:r w:rsidRPr="00391600" w:rsidR="002F78F4">
              <w:rPr>
                <w:rFonts w:ascii="Palatino Linotype" w:hAnsi="Palatino Linotype"/>
                <w:b/>
                <w:color w:val="000000" w:themeColor="text1"/>
                <w:sz w:val="20"/>
                <w:szCs w:val="20"/>
              </w:rPr>
              <w:t>CEC is compliant with this requirement.</w:t>
            </w:r>
          </w:p>
          <w:p w:rsidRPr="00391600" w:rsidR="002F78F4" w:rsidP="00F51E26" w:rsidRDefault="002F78F4" w14:paraId="56593C83" w14:textId="0F7C921F">
            <w:pPr>
              <w:spacing w:before="240"/>
              <w:rPr>
                <w:rFonts w:ascii="Palatino Linotype" w:hAnsi="Palatino Linotype"/>
                <w:bCs/>
                <w:sz w:val="20"/>
                <w:szCs w:val="20"/>
              </w:rPr>
            </w:pPr>
            <w:r w:rsidRPr="00391600">
              <w:rPr>
                <w:rFonts w:ascii="Palatino Linotype" w:hAnsi="Palatino Linotype"/>
                <w:color w:val="000000" w:themeColor="text1"/>
                <w:sz w:val="20"/>
                <w:szCs w:val="20"/>
              </w:rPr>
              <w:t xml:space="preserve">However, to clearly demonstrate compliance with co-funding requirements, the CEC </w:t>
            </w:r>
            <w:r w:rsidRPr="00391600" w:rsidR="00075198">
              <w:rPr>
                <w:rFonts w:ascii="Palatino Linotype" w:hAnsi="Palatino Linotype"/>
                <w:color w:val="000000" w:themeColor="text1"/>
                <w:sz w:val="20"/>
                <w:szCs w:val="20"/>
              </w:rPr>
              <w:t>must</w:t>
            </w:r>
            <w:r w:rsidRPr="00391600">
              <w:rPr>
                <w:rFonts w:ascii="Palatino Linotype" w:hAnsi="Palatino Linotype"/>
                <w:color w:val="000000" w:themeColor="text1"/>
                <w:sz w:val="20"/>
                <w:szCs w:val="20"/>
              </w:rPr>
              <w:t xml:space="preserve"> utilize Energy Division guidance, including the Annual Report Template, to detail project level details of partnership, costs, and co-funding. </w:t>
            </w:r>
          </w:p>
        </w:tc>
      </w:tr>
      <w:tr w:rsidRPr="00391600" w:rsidR="002F78F4" w:rsidTr="6FAFEDE3" w14:paraId="3A2657E7" w14:textId="77777777">
        <w:trPr>
          <w:trHeight w:val="638"/>
        </w:trPr>
        <w:tc>
          <w:tcPr>
            <w:tcW w:w="3145" w:type="dxa"/>
          </w:tcPr>
          <w:p w:rsidRPr="00391600" w:rsidR="002F78F4" w:rsidP="00BB366A" w:rsidRDefault="002F78F4" w14:paraId="3B204645" w14:textId="77777777">
            <w:pPr>
              <w:rPr>
                <w:rFonts w:ascii="Palatino Linotype" w:hAnsi="Palatino Linotype"/>
                <w:b/>
                <w:sz w:val="20"/>
                <w:szCs w:val="20"/>
              </w:rPr>
            </w:pPr>
            <w:hyperlink r:id="rId115">
              <w:r w:rsidRPr="00391600">
                <w:rPr>
                  <w:rStyle w:val="Hyperlink"/>
                  <w:rFonts w:ascii="Palatino Linotype" w:hAnsi="Palatino Linotype"/>
                  <w:b/>
                  <w:bCs/>
                  <w:sz w:val="20"/>
                  <w:szCs w:val="20"/>
                </w:rPr>
                <w:t>Resolution G-3592</w:t>
              </w:r>
            </w:hyperlink>
            <w:r w:rsidRPr="00391600">
              <w:rPr>
                <w:rFonts w:ascii="Palatino Linotype" w:hAnsi="Palatino Linotype"/>
                <w:sz w:val="20"/>
                <w:szCs w:val="20"/>
              </w:rPr>
              <w:t xml:space="preserve"> (2023) at OP 5e</w:t>
            </w:r>
            <w:r w:rsidRPr="00391600">
              <w:rPr>
                <w:rFonts w:ascii="Palatino Linotype" w:hAnsi="Palatino Linotype"/>
                <w:i/>
                <w:iCs/>
                <w:sz w:val="20"/>
                <w:szCs w:val="20"/>
              </w:rPr>
              <w:t>. Use the EPIC administrative budget template.</w:t>
            </w:r>
            <w:r w:rsidRPr="00391600">
              <w:rPr>
                <w:rStyle w:val="FootnoteReference"/>
                <w:rFonts w:ascii="Palatino Linotype" w:hAnsi="Palatino Linotype"/>
                <w:i/>
                <w:iCs/>
                <w:sz w:val="20"/>
                <w:szCs w:val="20"/>
              </w:rPr>
              <w:footnoteReference w:id="286"/>
            </w:r>
          </w:p>
        </w:tc>
        <w:tc>
          <w:tcPr>
            <w:tcW w:w="7920" w:type="dxa"/>
          </w:tcPr>
          <w:p w:rsidRPr="00391600" w:rsidR="002F78F4" w:rsidP="00BB366A" w:rsidRDefault="00D74F56" w14:paraId="603494B7" w14:textId="3CCC4479">
            <w:pPr>
              <w:rPr>
                <w:rFonts w:ascii="Palatino Linotype" w:hAnsi="Palatino Linotype"/>
                <w:bCs/>
                <w:color w:val="A6A6A6" w:themeColor="background1" w:themeShade="A6"/>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CEC presents its proposed Estimated Administrative Costs delineated by Program Administrative Cost Budget Items in Appendix F.</w:t>
            </w:r>
          </w:p>
        </w:tc>
        <w:tc>
          <w:tcPr>
            <w:tcW w:w="3240" w:type="dxa"/>
          </w:tcPr>
          <w:p w:rsidRPr="00391600" w:rsidR="002F78F4" w:rsidP="00BB366A" w:rsidRDefault="00D74F56" w14:paraId="5C3A0D8A" w14:textId="52E29233">
            <w:pPr>
              <w:rPr>
                <w:rFonts w:ascii="Palatino Linotype" w:hAnsi="Palatino Linotype"/>
                <w:b/>
                <w:color w:val="A6A6A6" w:themeColor="background1" w:themeShade="A6"/>
                <w:sz w:val="20"/>
                <w:szCs w:val="20"/>
              </w:rPr>
            </w:pPr>
            <w:r w:rsidRPr="00391600">
              <w:rPr>
                <w:rFonts w:ascii="Palatino Linotype" w:hAnsi="Palatino Linotype"/>
                <w:bCs/>
                <w:sz w:val="20"/>
                <w:szCs w:val="20"/>
              </w:rPr>
              <w:t xml:space="preserve">The </w:t>
            </w:r>
            <w:r w:rsidRPr="00391600" w:rsidR="002F78F4">
              <w:rPr>
                <w:rFonts w:ascii="Palatino Linotype" w:hAnsi="Palatino Linotype"/>
                <w:bCs/>
                <w:color w:val="000000" w:themeColor="text1"/>
                <w:sz w:val="20"/>
                <w:szCs w:val="20"/>
              </w:rPr>
              <w:t>CEC’s proposed administrative budget utilizes the required EPIC template.</w:t>
            </w:r>
            <w:r w:rsidRPr="00391600" w:rsidR="002F78F4">
              <w:rPr>
                <w:rFonts w:ascii="Palatino Linotype" w:hAnsi="Palatino Linotype"/>
                <w:b/>
                <w:color w:val="000000" w:themeColor="text1"/>
                <w:sz w:val="20"/>
                <w:szCs w:val="20"/>
              </w:rPr>
              <w:t xml:space="preserve"> </w:t>
            </w:r>
            <w:r w:rsidRPr="00391600">
              <w:rPr>
                <w:rFonts w:ascii="Palatino Linotype" w:hAnsi="Palatino Linotype"/>
                <w:b/>
                <w:sz w:val="20"/>
                <w:szCs w:val="20"/>
              </w:rPr>
              <w:t>The</w:t>
            </w:r>
            <w:r w:rsidRPr="00391600">
              <w:rPr>
                <w:rFonts w:ascii="Palatino Linotype" w:hAnsi="Palatino Linotype"/>
                <w:bCs/>
                <w:sz w:val="20"/>
                <w:szCs w:val="20"/>
              </w:rPr>
              <w:t xml:space="preserv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1DCAED12" w14:textId="77777777">
        <w:trPr>
          <w:trHeight w:val="48"/>
        </w:trPr>
        <w:tc>
          <w:tcPr>
            <w:tcW w:w="3145" w:type="dxa"/>
          </w:tcPr>
          <w:p w:rsidRPr="00391600" w:rsidR="002F78F4" w:rsidP="00BB366A" w:rsidRDefault="002F78F4" w14:paraId="6C06FA8E" w14:textId="77777777">
            <w:pPr>
              <w:rPr>
                <w:rFonts w:ascii="Palatino Linotype" w:hAnsi="Palatino Linotype"/>
                <w:b/>
                <w:bCs/>
                <w:sz w:val="20"/>
                <w:szCs w:val="20"/>
              </w:rPr>
            </w:pPr>
            <w:hyperlink r:id="rId116">
              <w:r w:rsidRPr="00391600">
                <w:rPr>
                  <w:rStyle w:val="Hyperlink"/>
                  <w:rFonts w:ascii="Palatino Linotype" w:hAnsi="Palatino Linotype"/>
                  <w:b/>
                  <w:bCs/>
                  <w:sz w:val="20"/>
                  <w:szCs w:val="20"/>
                </w:rPr>
                <w:t>Resolution G-3592</w:t>
              </w:r>
            </w:hyperlink>
            <w:r w:rsidRPr="00391600">
              <w:rPr>
                <w:rFonts w:ascii="Palatino Linotype" w:hAnsi="Palatino Linotype"/>
                <w:b/>
                <w:bCs/>
                <w:sz w:val="20"/>
                <w:szCs w:val="20"/>
              </w:rPr>
              <w:t xml:space="preserve"> </w:t>
            </w:r>
            <w:r w:rsidRPr="00391600">
              <w:rPr>
                <w:rFonts w:ascii="Palatino Linotype" w:hAnsi="Palatino Linotype"/>
                <w:sz w:val="20"/>
                <w:szCs w:val="20"/>
              </w:rPr>
              <w:t>(2023) at OP 7.</w:t>
            </w:r>
            <w:r w:rsidRPr="00391600">
              <w:rPr>
                <w:rFonts w:ascii="Palatino Linotype" w:hAnsi="Palatino Linotype"/>
                <w:i/>
                <w:iCs/>
                <w:sz w:val="20"/>
                <w:szCs w:val="20"/>
              </w:rPr>
              <w:t xml:space="preserve"> In Fiscal Year 2023-2024 and all </w:t>
            </w:r>
            <w:proofErr w:type="gramStart"/>
            <w:r w:rsidRPr="00391600">
              <w:rPr>
                <w:rFonts w:ascii="Palatino Linotype" w:hAnsi="Palatino Linotype"/>
                <w:i/>
                <w:iCs/>
                <w:sz w:val="20"/>
                <w:szCs w:val="20"/>
              </w:rPr>
              <w:t>future plans</w:t>
            </w:r>
            <w:proofErr w:type="gramEnd"/>
            <w:r w:rsidRPr="00391600">
              <w:rPr>
                <w:rFonts w:ascii="Palatino Linotype" w:hAnsi="Palatino Linotype"/>
                <w:i/>
                <w:iCs/>
                <w:sz w:val="20"/>
                <w:szCs w:val="20"/>
              </w:rPr>
              <w:t xml:space="preserve">, the CEC shall identify </w:t>
            </w:r>
            <w:r w:rsidRPr="00391600">
              <w:rPr>
                <w:rFonts w:ascii="Palatino Linotype" w:hAnsi="Palatino Linotype"/>
                <w:i/>
                <w:iCs/>
                <w:sz w:val="20"/>
                <w:szCs w:val="20"/>
              </w:rPr>
              <w:lastRenderedPageBreak/>
              <w:t>unspent funds proposed in previous plans in the Public Interest Research Development and Demonstration Natural Gas Subaccount. The CEC shall ensure that requests to use encumbered and unspent funds for any new projects will identify the respective research areas for which the CPUC originally authorized the funding. The CEC shall also list all spent, encumbered, and uncommitted funds organized by Gas R&amp;D initiative. Unencumbered and unspent funds shall be utilized prior to the utilization of new and/or additional ratepayer funds.</w:t>
            </w:r>
          </w:p>
          <w:p w:rsidRPr="00391600" w:rsidR="002F78F4" w:rsidP="00BB366A" w:rsidRDefault="002F78F4" w14:paraId="62C6F7EB" w14:textId="77777777">
            <w:pPr>
              <w:rPr>
                <w:rFonts w:ascii="Palatino Linotype" w:hAnsi="Palatino Linotype"/>
                <w:i/>
                <w:iCs/>
                <w:sz w:val="20"/>
                <w:szCs w:val="20"/>
              </w:rPr>
            </w:pPr>
          </w:p>
          <w:p w:rsidRPr="00391600" w:rsidR="002F78F4" w:rsidP="00BB366A" w:rsidRDefault="002F78F4" w14:paraId="0621E697" w14:textId="77777777">
            <w:pPr>
              <w:rPr>
                <w:rFonts w:ascii="Palatino Linotype" w:hAnsi="Palatino Linotype" w:eastAsia="Palatino Linotype" w:cs="Palatino Linotype"/>
                <w:sz w:val="20"/>
                <w:szCs w:val="20"/>
              </w:rPr>
            </w:pPr>
            <w:r w:rsidRPr="00391600">
              <w:rPr>
                <w:rFonts w:ascii="Palatino Linotype" w:hAnsi="Palatino Linotype"/>
                <w:sz w:val="20"/>
                <w:szCs w:val="20"/>
              </w:rPr>
              <w:t>See also:</w:t>
            </w:r>
            <w:r w:rsidRPr="00391600">
              <w:rPr>
                <w:rFonts w:ascii="Palatino Linotype" w:hAnsi="Palatino Linotype"/>
                <w:i/>
                <w:iCs/>
                <w:sz w:val="20"/>
                <w:szCs w:val="20"/>
              </w:rPr>
              <w:t xml:space="preserve"> </w:t>
            </w:r>
            <w:hyperlink r:id="rId117">
              <w:r w:rsidRPr="00391600">
                <w:rPr>
                  <w:rStyle w:val="Hyperlink"/>
                  <w:rFonts w:ascii="Palatino Linotype" w:hAnsi="Palatino Linotype" w:eastAsia="Palatino Linotype" w:cs="Palatino Linotype"/>
                  <w:sz w:val="20"/>
                  <w:szCs w:val="20"/>
                </w:rPr>
                <w:t>Resolution G-3484</w:t>
              </w:r>
            </w:hyperlink>
            <w:r w:rsidRPr="00391600">
              <w:rPr>
                <w:rFonts w:ascii="Palatino Linotype" w:hAnsi="Palatino Linotype" w:eastAsia="Palatino Linotype" w:cs="Palatino Linotype"/>
                <w:color w:val="000000" w:themeColor="text1"/>
                <w:sz w:val="20"/>
                <w:szCs w:val="20"/>
              </w:rPr>
              <w:t xml:space="preserve"> (2013) at p. 5-6.  </w:t>
            </w:r>
          </w:p>
        </w:tc>
        <w:tc>
          <w:tcPr>
            <w:tcW w:w="7920" w:type="dxa"/>
          </w:tcPr>
          <w:p w:rsidRPr="00391600" w:rsidR="002F78F4" w:rsidP="00BB366A" w:rsidRDefault="00D74F56" w14:paraId="5D97D7C4" w14:textId="0F44B282">
            <w:pPr>
              <w:rPr>
                <w:rFonts w:ascii="Palatino Linotype" w:hAnsi="Palatino Linotype"/>
                <w:bCs/>
                <w:color w:val="000000" w:themeColor="text1"/>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color w:val="000000" w:themeColor="text1"/>
                <w:sz w:val="20"/>
                <w:szCs w:val="20"/>
              </w:rPr>
              <w:t>CEC provides balances of encumbered and unspent funds from CEC’s Plans from FY 2014-2015 through FY 2023-2024 as of January 2025 in Appendix B, including:</w:t>
            </w:r>
          </w:p>
          <w:p w:rsidRPr="00391600" w:rsidR="002F78F4" w:rsidP="003B475F" w:rsidRDefault="002F78F4" w14:paraId="253D5ACA"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$26.14M unspent from its FY 2023-2024 Plan, including approved supplemental funds:</w:t>
            </w:r>
          </w:p>
          <w:p w:rsidRPr="00391600" w:rsidR="002F78F4" w:rsidP="003B475F" w:rsidRDefault="002F78F4" w14:paraId="3DD0B007"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$1.23M from its FY 2020-2021 Plan.</w:t>
            </w:r>
          </w:p>
          <w:p w:rsidRPr="00391600" w:rsidR="002F78F4" w:rsidP="003B475F" w:rsidRDefault="002F78F4" w14:paraId="09FDE2AD"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$3.81 from its FY 2016-2017 Plan.</w:t>
            </w:r>
          </w:p>
          <w:p w:rsidRPr="00391600" w:rsidR="002F78F4" w:rsidP="003B475F" w:rsidRDefault="002F78F4" w14:paraId="6BEDAA10" w14:textId="77777777">
            <w:pPr>
              <w:pStyle w:val="ListParagraph"/>
              <w:numPr>
                <w:ilvl w:val="1"/>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$1.5M from its FY 2015-2016 Plan.</w:t>
            </w:r>
          </w:p>
          <w:p w:rsidRPr="00391600" w:rsidR="002F78F4" w:rsidP="003B475F" w:rsidRDefault="002F78F4" w14:paraId="17A20FE4"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$5.30M unspent from its FY 2022-2023 Plan, including $3.4M and $1.9M for which solicitations are anticipated in FY 2025 and $7,772 anticipated for a supplemental Plan.</w:t>
            </w:r>
          </w:p>
          <w:p w:rsidRPr="00391600" w:rsidR="002F78F4" w:rsidP="003B475F" w:rsidRDefault="002F78F4" w14:paraId="3F485CD8" w14:textId="77777777">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$865,642 unspent from its FY 2017-2018 Plan anticipated for a supplemental Plan. </w:t>
            </w:r>
          </w:p>
          <w:p w:rsidRPr="00F51E26" w:rsidR="002F78F4" w:rsidP="00BB366A" w:rsidRDefault="002F78F4" w14:paraId="6F30AC47" w14:textId="511A1D73">
            <w:pPr>
              <w:pStyle w:val="ListParagraph"/>
              <w:numPr>
                <w:ilvl w:val="0"/>
                <w:numId w:val="2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$0 unspent, meaning all funds encumbered, from its FYs 2014-2015, 2018-2019, 2019-2020, and 2021-2022 Plans.</w:t>
            </w:r>
          </w:p>
          <w:p w:rsidRPr="00391600" w:rsidR="002F78F4" w:rsidP="00F51E26" w:rsidRDefault="002F78F4" w14:paraId="394E015A" w14:textId="3D03FC96">
            <w:pPr>
              <w:spacing w:before="240"/>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However, </w:t>
            </w:r>
            <w:r w:rsidRPr="00391600" w:rsidR="00D74F56">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also responded to a Spring 2026 CPUC </w:t>
            </w:r>
            <w:r w:rsidRPr="00391600" w:rsidR="0056763F">
              <w:rPr>
                <w:rFonts w:ascii="Palatino Linotype" w:hAnsi="Palatino Linotype"/>
                <w:bCs/>
                <w:color w:val="000000" w:themeColor="text1"/>
                <w:sz w:val="20"/>
                <w:szCs w:val="20"/>
              </w:rPr>
              <w:t>d</w:t>
            </w:r>
            <w:r w:rsidRPr="00391600">
              <w:rPr>
                <w:rFonts w:ascii="Palatino Linotype" w:hAnsi="Palatino Linotype"/>
                <w:bCs/>
                <w:color w:val="000000" w:themeColor="text1"/>
                <w:sz w:val="20"/>
                <w:szCs w:val="20"/>
              </w:rPr>
              <w:t xml:space="preserve">ata </w:t>
            </w:r>
            <w:r w:rsidRPr="00391600" w:rsidR="0056763F">
              <w:rPr>
                <w:rFonts w:ascii="Palatino Linotype" w:hAnsi="Palatino Linotype"/>
                <w:bCs/>
                <w:color w:val="000000" w:themeColor="text1"/>
                <w:sz w:val="20"/>
                <w:szCs w:val="20"/>
              </w:rPr>
              <w:t>r</w:t>
            </w:r>
            <w:r w:rsidRPr="00391600">
              <w:rPr>
                <w:rFonts w:ascii="Palatino Linotype" w:hAnsi="Palatino Linotype"/>
                <w:bCs/>
                <w:color w:val="000000" w:themeColor="text1"/>
                <w:sz w:val="20"/>
                <w:szCs w:val="20"/>
              </w:rPr>
              <w:t xml:space="preserve">equest with updated balances of spent and unspent encumbered funds and unencumbered funds from previously approved Gas RD&amp;D Plans from FY 2015-2016 to present to supplement information provided in its Plan appendices. </w:t>
            </w:r>
            <w:r w:rsidRPr="00391600" w:rsidR="00D74F56">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reports a total of $31,076,691 in Unspent Encumbered Funds and Unencumbered Funds </w:t>
            </w:r>
            <w:r w:rsidRPr="00391600" w:rsidR="00FB3638">
              <w:rPr>
                <w:rFonts w:ascii="Palatino Linotype" w:hAnsi="Palatino Linotype"/>
                <w:bCs/>
                <w:color w:val="000000" w:themeColor="text1"/>
                <w:sz w:val="20"/>
                <w:szCs w:val="20"/>
              </w:rPr>
              <w:t>outside encumbrance and spending windows</w:t>
            </w:r>
            <w:r w:rsidRPr="00391600">
              <w:rPr>
                <w:rFonts w:ascii="Palatino Linotype" w:hAnsi="Palatino Linotype"/>
                <w:bCs/>
                <w:color w:val="000000" w:themeColor="text1"/>
                <w:sz w:val="20"/>
                <w:szCs w:val="20"/>
              </w:rPr>
              <w:t xml:space="preserve"> per this requirement: </w:t>
            </w:r>
            <w:r w:rsidRPr="00391600">
              <w:rPr>
                <w:rFonts w:ascii="Palatino Linotype" w:hAnsi="Palatino Linotype"/>
                <w:sz w:val="20"/>
                <w:szCs w:val="20"/>
              </w:rPr>
              <w:t>See Resolution G-</w:t>
            </w:r>
            <w:r w:rsidRPr="00391600" w:rsidR="002E0702">
              <w:rPr>
                <w:rFonts w:ascii="Palatino Linotype" w:hAnsi="Palatino Linotype"/>
                <w:sz w:val="20"/>
                <w:szCs w:val="20"/>
              </w:rPr>
              <w:t>3622</w:t>
            </w:r>
            <w:r w:rsidRPr="00391600">
              <w:rPr>
                <w:rFonts w:ascii="Palatino Linotype" w:hAnsi="Palatino Linotype"/>
                <w:sz w:val="20"/>
                <w:szCs w:val="20"/>
              </w:rPr>
              <w:t xml:space="preserve"> at Appendix </w:t>
            </w:r>
            <w:r w:rsidRPr="00391600" w:rsidR="004A55C8">
              <w:rPr>
                <w:rFonts w:ascii="Palatino Linotype" w:hAnsi="Palatino Linotype"/>
                <w:sz w:val="20"/>
                <w:szCs w:val="20"/>
              </w:rPr>
              <w:t>F</w:t>
            </w:r>
            <w:r w:rsidRPr="00391600">
              <w:rPr>
                <w:rFonts w:ascii="Palatino Linotype" w:hAnsi="Palatino Linotype"/>
                <w:sz w:val="20"/>
                <w:szCs w:val="20"/>
              </w:rPr>
              <w:t xml:space="preserve">: </w:t>
            </w:r>
            <w:r w:rsidRPr="00391600">
              <w:rPr>
                <w:rFonts w:ascii="Palatino Linotype" w:hAnsi="Palatino Linotype"/>
                <w:color w:val="000000" w:themeColor="text1"/>
                <w:sz w:val="20"/>
                <w:szCs w:val="20"/>
              </w:rPr>
              <w:t>CEC Balances of Unspent Funds from Previously Approved Gas RD&amp;D Plans.</w:t>
            </w:r>
          </w:p>
          <w:p w:rsidRPr="00391600" w:rsidR="002F78F4" w:rsidP="00BB366A" w:rsidRDefault="5B59AE8D" w14:paraId="0096A05B" w14:textId="1E589ECE">
            <w:pPr>
              <w:spacing w:before="240"/>
              <w:rPr>
                <w:rFonts w:ascii="Palatino Linotype" w:hAnsi="Palatino Linotype"/>
                <w:bCs/>
                <w:color w:val="A6A6A6" w:themeColor="background1" w:themeShade="A6"/>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does not request to use unspent funds for any new projects in its FY 2025-2026 Plan, but states that it “will ensure that for any use of encumbered and unspent funds that the CEC requests for new projects, the request will identify the respective research areas for which the CPUC originally authorized the funding.”</w:t>
            </w:r>
            <w:r w:rsidRPr="00391600" w:rsidR="002F78F4">
              <w:rPr>
                <w:rStyle w:val="FootnoteReference"/>
                <w:rFonts w:ascii="Palatino Linotype" w:hAnsi="Palatino Linotype"/>
                <w:color w:val="000000" w:themeColor="text1"/>
                <w:sz w:val="20"/>
                <w:szCs w:val="20"/>
              </w:rPr>
              <w:footnoteReference w:id="287"/>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also states that, “[p]er Resolutions G-3584 and G-3592, the CEC will ensure that for any unspent funds that the CEC has identified and seeks to use for new Gas R&amp;D projects, the CEC will apply this unused funding before any new or additional ratepayer funds are used.”</w:t>
            </w:r>
            <w:r w:rsidRPr="00391600" w:rsidR="002F78F4">
              <w:rPr>
                <w:rStyle w:val="FootnoteReference"/>
                <w:rFonts w:ascii="Palatino Linotype" w:hAnsi="Palatino Linotype"/>
                <w:color w:val="000000" w:themeColor="text1"/>
                <w:sz w:val="20"/>
                <w:szCs w:val="20"/>
              </w:rPr>
              <w:footnoteReference w:id="288"/>
            </w:r>
            <w:r w:rsidRPr="00391600" w:rsidR="002F78F4">
              <w:rPr>
                <w:rFonts w:ascii="Palatino Linotype" w:hAnsi="Palatino Linotype"/>
                <w:color w:val="000000" w:themeColor="text1"/>
                <w:sz w:val="20"/>
                <w:szCs w:val="20"/>
              </w:rPr>
              <w:t xml:space="preserve"> </w:t>
            </w:r>
          </w:p>
          <w:p w:rsidRPr="00391600" w:rsidR="002F78F4" w:rsidP="00BB366A" w:rsidRDefault="5B59AE8D" w14:paraId="2D92818D" w14:textId="48D1136F">
            <w:pPr>
              <w:spacing w:before="240"/>
              <w:rPr>
                <w:rFonts w:ascii="Palatino Linotype" w:hAnsi="Palatino Linotype"/>
                <w:bCs/>
                <w:color w:val="A6A6A6" w:themeColor="background1" w:themeShade="A6"/>
                <w:sz w:val="20"/>
                <w:szCs w:val="20"/>
              </w:rPr>
            </w:pPr>
            <w:r w:rsidRPr="00391600">
              <w:rPr>
                <w:rFonts w:ascii="Palatino Linotype" w:hAnsi="Palatino Linotype"/>
                <w:sz w:val="20"/>
                <w:szCs w:val="20"/>
              </w:rPr>
              <w:lastRenderedPageBreak/>
              <w:t xml:space="preserve">The </w:t>
            </w:r>
            <w:r w:rsidRPr="00391600" w:rsidR="002F78F4">
              <w:rPr>
                <w:rFonts w:ascii="Palatino Linotype" w:hAnsi="Palatino Linotype"/>
                <w:color w:val="000000" w:themeColor="text1"/>
                <w:sz w:val="20"/>
                <w:szCs w:val="20"/>
              </w:rPr>
              <w:t xml:space="preserve">CEC also lists $3.6M under “CPUC FY 2022-23 </w:t>
            </w:r>
            <w:r w:rsidRPr="00391600" w:rsidR="002F78F4">
              <w:rPr>
                <w:rFonts w:ascii="Palatino Linotype" w:hAnsi="Palatino Linotype"/>
                <w:i/>
                <w:iCs/>
                <w:color w:val="000000" w:themeColor="text1"/>
                <w:sz w:val="20"/>
                <w:szCs w:val="20"/>
              </w:rPr>
              <w:t>Approved</w:t>
            </w:r>
            <w:r w:rsidRPr="00391600" w:rsidR="002F78F4">
              <w:rPr>
                <w:rFonts w:ascii="Palatino Linotype" w:hAnsi="Palatino Linotype"/>
                <w:color w:val="000000" w:themeColor="text1"/>
                <w:sz w:val="20"/>
                <w:szCs w:val="20"/>
              </w:rPr>
              <w:t xml:space="preserve"> Budget Plan” versus $0 under “FY 2022-23 </w:t>
            </w:r>
            <w:r w:rsidRPr="00391600" w:rsidR="002F78F4">
              <w:rPr>
                <w:rFonts w:ascii="Palatino Linotype" w:hAnsi="Palatino Linotype"/>
                <w:i/>
                <w:iCs/>
                <w:color w:val="000000" w:themeColor="text1"/>
                <w:sz w:val="20"/>
                <w:szCs w:val="20"/>
              </w:rPr>
              <w:t>Current</w:t>
            </w:r>
            <w:r w:rsidRPr="00391600" w:rsidR="002F78F4">
              <w:rPr>
                <w:rFonts w:ascii="Palatino Linotype" w:hAnsi="Palatino Linotype"/>
                <w:color w:val="000000" w:themeColor="text1"/>
                <w:sz w:val="20"/>
                <w:szCs w:val="20"/>
              </w:rPr>
              <w:t xml:space="preserve"> Budget Plan” for an Entrepreneur Development Initiative, noting “CPUC modified the $3.6 million budget for Entrepreneur Development (</w:t>
            </w:r>
            <w:proofErr w:type="spellStart"/>
            <w:r w:rsidRPr="00391600" w:rsidR="002F78F4">
              <w:rPr>
                <w:rFonts w:ascii="Palatino Linotype" w:hAnsi="Palatino Linotype"/>
                <w:color w:val="000000" w:themeColor="text1"/>
                <w:sz w:val="20"/>
                <w:szCs w:val="20"/>
              </w:rPr>
              <w:t>CalSEED</w:t>
            </w:r>
            <w:proofErr w:type="spellEnd"/>
            <w:r w:rsidRPr="00391600" w:rsidR="002F78F4">
              <w:rPr>
                <w:rFonts w:ascii="Palatino Linotype" w:hAnsi="Palatino Linotype"/>
                <w:color w:val="000000" w:themeColor="text1"/>
                <w:sz w:val="20"/>
                <w:szCs w:val="20"/>
              </w:rPr>
              <w:t xml:space="preserve"> Initiative) and directed the CEC to submit a new proposal for reallocating the $3.6 million via a Tier 2 Advice Letter. CPUC approved CEC’s request to reallocate $600,000 to Targeted Gas System Decommissioning and $3,000,000 to Gas Pipeline Safety and Integrity.”</w:t>
            </w:r>
            <w:r w:rsidRPr="00391600" w:rsidR="002F78F4">
              <w:rPr>
                <w:rStyle w:val="FootnoteReference"/>
                <w:rFonts w:ascii="Palatino Linotype" w:hAnsi="Palatino Linotype"/>
                <w:color w:val="000000" w:themeColor="text1"/>
                <w:sz w:val="20"/>
                <w:szCs w:val="20"/>
              </w:rPr>
              <w:footnoteReference w:id="289"/>
            </w:r>
          </w:p>
        </w:tc>
        <w:tc>
          <w:tcPr>
            <w:tcW w:w="3240" w:type="dxa"/>
          </w:tcPr>
          <w:p w:rsidRPr="00391600" w:rsidR="002F78F4" w:rsidP="00BB366A" w:rsidRDefault="002F78F4" w14:paraId="2EFC9CDF" w14:textId="59CAC5FB">
            <w:pPr>
              <w:rPr>
                <w:rFonts w:ascii="Palatino Linotype" w:hAnsi="Palatino Linotype"/>
                <w:b/>
                <w:color w:val="000000" w:themeColor="text1"/>
                <w:sz w:val="20"/>
                <w:szCs w:val="20"/>
              </w:rPr>
            </w:pPr>
            <w:r w:rsidRPr="00391600">
              <w:rPr>
                <w:rFonts w:ascii="Palatino Linotype" w:hAnsi="Palatino Linotype"/>
                <w:color w:val="000000" w:themeColor="text1"/>
                <w:sz w:val="20"/>
                <w:szCs w:val="20"/>
              </w:rPr>
              <w:lastRenderedPageBreak/>
              <w:t xml:space="preserve">Though </w:t>
            </w:r>
            <w:r w:rsidRPr="00391600" w:rsidR="5B59AE8D">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reports unspent and encumbered funds, </w:t>
            </w:r>
            <w:r w:rsidRPr="00391600" w:rsidR="5B59AE8D">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does not provide balances of </w:t>
            </w:r>
            <w:proofErr w:type="gramStart"/>
            <w:r w:rsidRPr="00391600">
              <w:rPr>
                <w:rFonts w:ascii="Palatino Linotype" w:hAnsi="Palatino Linotype"/>
                <w:color w:val="000000" w:themeColor="text1"/>
                <w:sz w:val="20"/>
                <w:szCs w:val="20"/>
              </w:rPr>
              <w:lastRenderedPageBreak/>
              <w:t>spent</w:t>
            </w:r>
            <w:proofErr w:type="gramEnd"/>
            <w:r w:rsidRPr="00391600">
              <w:rPr>
                <w:rFonts w:ascii="Palatino Linotype" w:hAnsi="Palatino Linotype"/>
                <w:color w:val="000000" w:themeColor="text1"/>
                <w:sz w:val="20"/>
                <w:szCs w:val="20"/>
              </w:rPr>
              <w:t xml:space="preserve"> and unencumbered funds for these</w:t>
            </w:r>
            <w:r w:rsidRPr="00391600" w:rsidDel="00DD0918">
              <w:rPr>
                <w:rFonts w:ascii="Palatino Linotype" w:hAnsi="Palatino Linotype"/>
                <w:color w:val="000000" w:themeColor="text1"/>
                <w:sz w:val="20"/>
                <w:szCs w:val="20"/>
              </w:rPr>
              <w:t xml:space="preserve"> </w:t>
            </w:r>
            <w:r w:rsidRPr="00391600" w:rsidR="0580EE81">
              <w:rPr>
                <w:rFonts w:ascii="Palatino Linotype" w:hAnsi="Palatino Linotype"/>
                <w:color w:val="000000" w:themeColor="text1"/>
                <w:sz w:val="20"/>
                <w:szCs w:val="20"/>
              </w:rPr>
              <w:t>years</w:t>
            </w:r>
            <w:r w:rsidRPr="00391600">
              <w:rPr>
                <w:rFonts w:ascii="Palatino Linotype" w:hAnsi="Palatino Linotype"/>
                <w:color w:val="000000" w:themeColor="text1"/>
                <w:sz w:val="20"/>
                <w:szCs w:val="20"/>
              </w:rPr>
              <w:t xml:space="preserve">. </w:t>
            </w:r>
            <w:r w:rsidRPr="00391600" w:rsidR="5B59AE8D">
              <w:rPr>
                <w:rFonts w:ascii="Palatino Linotype" w:hAnsi="Palatino Linotype"/>
                <w:sz w:val="20"/>
                <w:szCs w:val="20"/>
              </w:rPr>
              <w:t xml:space="preserve">The </w:t>
            </w:r>
            <w:r w:rsidRPr="00391600">
              <w:rPr>
                <w:rFonts w:ascii="Palatino Linotype" w:hAnsi="Palatino Linotype"/>
                <w:color w:val="000000" w:themeColor="text1"/>
                <w:sz w:val="20"/>
                <w:szCs w:val="20"/>
              </w:rPr>
              <w:t>CEC does not demonstrate th</w:t>
            </w:r>
            <w:r w:rsidRPr="00391600" w:rsidR="209DBAAC">
              <w:rPr>
                <w:rFonts w:ascii="Palatino Linotype" w:hAnsi="Palatino Linotype"/>
                <w:color w:val="000000" w:themeColor="text1"/>
                <w:sz w:val="20"/>
                <w:szCs w:val="20"/>
              </w:rPr>
              <w:t xml:space="preserve">at unspent funds </w:t>
            </w:r>
            <w:r w:rsidRPr="00391600">
              <w:rPr>
                <w:rFonts w:ascii="Palatino Linotype" w:hAnsi="Palatino Linotype"/>
                <w:color w:val="000000" w:themeColor="text1"/>
                <w:sz w:val="20"/>
                <w:szCs w:val="20"/>
              </w:rPr>
              <w:t>have been or are being used to offset new or additional ratepayer costs</w:t>
            </w:r>
            <w:r w:rsidRPr="00391600" w:rsidR="66A834BD">
              <w:rPr>
                <w:rFonts w:ascii="Palatino Linotype" w:hAnsi="Palatino Linotype"/>
                <w:color w:val="000000" w:themeColor="text1"/>
                <w:sz w:val="20"/>
                <w:szCs w:val="20"/>
              </w:rPr>
              <w:t xml:space="preserve">. </w:t>
            </w:r>
            <w:r w:rsidRPr="00391600" w:rsidR="5B59AE8D">
              <w:rPr>
                <w:rFonts w:ascii="Palatino Linotype" w:hAnsi="Palatino Linotype"/>
                <w:sz w:val="20"/>
                <w:szCs w:val="20"/>
              </w:rPr>
              <w:t>The</w:t>
            </w:r>
            <w:r w:rsidRPr="00391600">
              <w:rPr>
                <w:rFonts w:ascii="Palatino Linotype" w:hAnsi="Palatino Linotype"/>
                <w:color w:val="000000" w:themeColor="text1"/>
                <w:sz w:val="20"/>
                <w:szCs w:val="20"/>
              </w:rPr>
              <w:t xml:space="preserve"> CEC shall apply</w:t>
            </w:r>
            <w:r w:rsidRPr="00391600" w:rsidR="200AAFC1">
              <w:rPr>
                <w:rFonts w:ascii="Palatino Linotype" w:hAnsi="Palatino Linotype"/>
                <w:color w:val="000000" w:themeColor="text1"/>
                <w:sz w:val="20"/>
                <w:szCs w:val="20"/>
              </w:rPr>
              <w:t xml:space="preserve"> unspent</w:t>
            </w:r>
            <w:r w:rsidRPr="00391600">
              <w:rPr>
                <w:rFonts w:ascii="Palatino Linotype" w:hAnsi="Palatino Linotype"/>
                <w:color w:val="000000" w:themeColor="text1"/>
                <w:sz w:val="20"/>
                <w:szCs w:val="20"/>
              </w:rPr>
              <w:t xml:space="preserve"> funds from previous cycles to future funding requests</w:t>
            </w:r>
            <w:r w:rsidRPr="00391600" w:rsidR="3496B435">
              <w:rPr>
                <w:rFonts w:ascii="Palatino Linotype" w:hAnsi="Palatino Linotype"/>
                <w:color w:val="000000" w:themeColor="text1"/>
                <w:sz w:val="20"/>
                <w:szCs w:val="20"/>
              </w:rPr>
              <w:t xml:space="preserve"> according to the methods described in this Resolution</w:t>
            </w:r>
            <w:r w:rsidRPr="00391600">
              <w:rPr>
                <w:rFonts w:ascii="Palatino Linotype" w:hAnsi="Palatino Linotype"/>
                <w:color w:val="000000" w:themeColor="text1"/>
                <w:sz w:val="20"/>
                <w:szCs w:val="20"/>
              </w:rPr>
              <w:t>, which will result in reducing the amount the CEC will need to draw out of the program funds for that cycle.</w:t>
            </w:r>
            <w:r w:rsidRPr="00391600">
              <w:rPr>
                <w:rStyle w:val="FootnoteReference"/>
                <w:rFonts w:ascii="Palatino Linotype" w:hAnsi="Palatino Linotype"/>
                <w:color w:val="000000" w:themeColor="text1"/>
                <w:sz w:val="20"/>
                <w:szCs w:val="20"/>
              </w:rPr>
              <w:footnoteReference w:id="290"/>
            </w:r>
            <w:r w:rsidRPr="00391600">
              <w:rPr>
                <w:rFonts w:ascii="Palatino Linotype" w:hAnsi="Palatino Linotype"/>
                <w:color w:val="000000" w:themeColor="text1"/>
                <w:sz w:val="20"/>
                <w:szCs w:val="20"/>
              </w:rPr>
              <w:t xml:space="preserve"> </w:t>
            </w:r>
            <w:r w:rsidRPr="00391600" w:rsidR="5B59AE8D">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also does not appear to accurately report CPUC-approved budget allocations for each Plan in Appendix B. </w:t>
            </w:r>
            <w:r w:rsidRPr="00391600" w:rsidR="5B59AE8D">
              <w:rPr>
                <w:rFonts w:ascii="Palatino Linotype" w:hAnsi="Palatino Linotype"/>
                <w:b/>
                <w:bCs/>
                <w:sz w:val="20"/>
                <w:szCs w:val="20"/>
              </w:rPr>
              <w:t xml:space="preserve">The </w:t>
            </w:r>
            <w:r w:rsidRPr="00391600">
              <w:rPr>
                <w:rFonts w:ascii="Palatino Linotype" w:hAnsi="Palatino Linotype"/>
                <w:b/>
                <w:bCs/>
                <w:color w:val="000000" w:themeColor="text1"/>
                <w:sz w:val="20"/>
                <w:szCs w:val="20"/>
              </w:rPr>
              <w:t xml:space="preserve">CEC is </w:t>
            </w:r>
            <w:r w:rsidRPr="00391600">
              <w:rPr>
                <w:rFonts w:ascii="Palatino Linotype" w:hAnsi="Palatino Linotype"/>
                <w:b/>
                <w:bCs/>
                <w:i/>
                <w:iCs/>
                <w:color w:val="000000" w:themeColor="text1"/>
                <w:sz w:val="20"/>
                <w:szCs w:val="20"/>
              </w:rPr>
              <w:t>not</w:t>
            </w:r>
            <w:r w:rsidRPr="00391600">
              <w:rPr>
                <w:rFonts w:ascii="Palatino Linotype" w:hAnsi="Palatino Linotype"/>
                <w:b/>
                <w:bCs/>
                <w:color w:val="000000" w:themeColor="text1"/>
                <w:sz w:val="20"/>
                <w:szCs w:val="20"/>
              </w:rPr>
              <w:t xml:space="preserve"> compliant with this requirement. </w:t>
            </w:r>
          </w:p>
          <w:p w:rsidRPr="00391600" w:rsidR="002F78F4" w:rsidP="00F51E26" w:rsidRDefault="002F78F4" w14:paraId="2C1ADE32" w14:textId="6EB31718">
            <w:pPr>
              <w:spacing w:before="240"/>
              <w:rPr>
                <w:rFonts w:ascii="Palatino Linotype" w:hAnsi="Palatino Linotype"/>
                <w:color w:val="A6A6A6" w:themeColor="background1" w:themeShade="A6"/>
                <w:sz w:val="20"/>
                <w:szCs w:val="20"/>
              </w:rPr>
            </w:pPr>
            <w:r w:rsidRPr="00391600">
              <w:rPr>
                <w:rFonts w:ascii="Palatino Linotype" w:hAnsi="Palatino Linotype"/>
                <w:bCs/>
                <w:color w:val="000000" w:themeColor="text1"/>
                <w:sz w:val="20"/>
                <w:szCs w:val="20"/>
              </w:rPr>
              <w:t>The CEC</w:t>
            </w:r>
            <w:r w:rsidRPr="00391600" w:rsidR="00075198">
              <w:rPr>
                <w:rFonts w:ascii="Palatino Linotype" w:hAnsi="Palatino Linotype"/>
                <w:bCs/>
                <w:color w:val="000000" w:themeColor="text1"/>
                <w:sz w:val="20"/>
                <w:szCs w:val="20"/>
              </w:rPr>
              <w:t xml:space="preserve"> must</w:t>
            </w:r>
            <w:r w:rsidRPr="00391600">
              <w:rPr>
                <w:rFonts w:ascii="Palatino Linotype" w:hAnsi="Palatino Linotype"/>
                <w:bCs/>
                <w:color w:val="000000" w:themeColor="text1"/>
                <w:sz w:val="20"/>
                <w:szCs w:val="20"/>
              </w:rPr>
              <w:t xml:space="preserve"> ensure fund balances are listed by specific Gas RD&amp;D Initiative rather than broader “Initiative Themes</w:t>
            </w:r>
            <w:r w:rsidRPr="00391600" w:rsidR="00440C8D">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rPr>
              <w:t xml:space="preserve">To clearly demonstrate compliance with reporting requirements, the CEC </w:t>
            </w:r>
            <w:r w:rsidRPr="00391600" w:rsidR="00075198">
              <w:rPr>
                <w:rFonts w:ascii="Palatino Linotype" w:hAnsi="Palatino Linotype"/>
                <w:color w:val="000000" w:themeColor="text1"/>
                <w:sz w:val="20"/>
                <w:szCs w:val="20"/>
              </w:rPr>
              <w:t>must</w:t>
            </w:r>
            <w:r w:rsidRPr="00391600">
              <w:rPr>
                <w:rFonts w:ascii="Palatino Linotype" w:hAnsi="Palatino Linotype"/>
                <w:color w:val="000000" w:themeColor="text1"/>
                <w:sz w:val="20"/>
                <w:szCs w:val="20"/>
              </w:rPr>
              <w:t xml:space="preserve"> also utilize Energy Division guidance, including the Annual Report Template.</w:t>
            </w:r>
          </w:p>
        </w:tc>
      </w:tr>
      <w:tr w:rsidRPr="00391600" w:rsidR="002F78F4" w:rsidTr="6FAFEDE3" w14:paraId="10008120" w14:textId="77777777">
        <w:trPr>
          <w:trHeight w:val="638"/>
        </w:trPr>
        <w:tc>
          <w:tcPr>
            <w:tcW w:w="3145" w:type="dxa"/>
          </w:tcPr>
          <w:p w:rsidRPr="00391600" w:rsidR="002F78F4" w:rsidP="00BB366A" w:rsidRDefault="002F78F4" w14:paraId="0CF59B44" w14:textId="77777777">
            <w:pPr>
              <w:rPr>
                <w:rFonts w:ascii="Palatino Linotype" w:hAnsi="Palatino Linotype"/>
                <w:b/>
                <w:sz w:val="20"/>
                <w:szCs w:val="20"/>
              </w:rPr>
            </w:pPr>
            <w:hyperlink w:history="1" r:id="rId118">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4. </w:t>
            </w:r>
            <w:r w:rsidRPr="00391600">
              <w:rPr>
                <w:rFonts w:ascii="Palatino Linotype" w:hAnsi="Palatino Linotype"/>
                <w:bCs/>
                <w:i/>
                <w:iCs/>
                <w:sz w:val="20"/>
                <w:szCs w:val="20"/>
              </w:rPr>
              <w:t>[The CEC] shall be proactive and specific in articulating its coordination and collaboration with the Investor-Owned Utilities (IOUs), and other Gas Research and Development (R&amp;D) entities, in advance of commencing its plan. The CEC shall meet with the administrators of other Gas R&amp;D programs and describe in its annual plan how its research complements other Gas R&amp;D research occurring in California, consistent with CPUC policies and proceedings.</w:t>
            </w:r>
            <w:r w:rsidRPr="00391600">
              <w:rPr>
                <w:rFonts w:ascii="Palatino Linotype" w:hAnsi="Palatino Linotype"/>
                <w:b/>
                <w:sz w:val="20"/>
                <w:szCs w:val="20"/>
              </w:rPr>
              <w:t xml:space="preserve">  </w:t>
            </w:r>
          </w:p>
        </w:tc>
        <w:tc>
          <w:tcPr>
            <w:tcW w:w="7920" w:type="dxa"/>
          </w:tcPr>
          <w:p w:rsidRPr="00391600" w:rsidR="002F78F4" w:rsidP="00BB366A" w:rsidRDefault="2DFBABD3" w14:paraId="45523D5E" w14:textId="4CBB77B4">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 xml:space="preserve">CEC includes a Public Workshop and </w:t>
            </w:r>
            <w:proofErr w:type="gramStart"/>
            <w:r w:rsidRPr="00391600" w:rsidR="002F78F4">
              <w:rPr>
                <w:rFonts w:ascii="Palatino Linotype" w:hAnsi="Palatino Linotype"/>
                <w:color w:val="000000" w:themeColor="text1"/>
                <w:sz w:val="20"/>
                <w:szCs w:val="20"/>
              </w:rPr>
              <w:t>Written</w:t>
            </w:r>
            <w:proofErr w:type="gramEnd"/>
            <w:r w:rsidRPr="00391600" w:rsidR="002F78F4">
              <w:rPr>
                <w:rFonts w:ascii="Palatino Linotype" w:hAnsi="Palatino Linotype"/>
                <w:color w:val="000000" w:themeColor="text1"/>
                <w:sz w:val="20"/>
                <w:szCs w:val="20"/>
              </w:rPr>
              <w:t xml:space="preserve"> Public Comment Summary and CEC Responses, including IOU comments,</w:t>
            </w:r>
            <w:r w:rsidRPr="00391600" w:rsidR="002F78F4">
              <w:rPr>
                <w:rStyle w:val="FootnoteReference"/>
                <w:rFonts w:ascii="Palatino Linotype" w:hAnsi="Palatino Linotype"/>
                <w:color w:val="000000" w:themeColor="text1"/>
                <w:sz w:val="20"/>
                <w:szCs w:val="20"/>
              </w:rPr>
              <w:footnoteReference w:id="291"/>
            </w:r>
            <w:r w:rsidRPr="00391600" w:rsidR="002F78F4">
              <w:rPr>
                <w:rFonts w:ascii="Palatino Linotype" w:hAnsi="Palatino Linotype"/>
                <w:color w:val="000000" w:themeColor="text1"/>
                <w:sz w:val="20"/>
                <w:szCs w:val="20"/>
              </w:rPr>
              <w:t xml:space="preserve"> and lists the following stakeholder events:</w:t>
            </w:r>
            <w:r w:rsidRPr="00391600" w:rsidR="002F78F4">
              <w:rPr>
                <w:rStyle w:val="FootnoteReference"/>
                <w:rFonts w:ascii="Palatino Linotype" w:hAnsi="Palatino Linotype"/>
                <w:color w:val="000000" w:themeColor="text1"/>
                <w:sz w:val="20"/>
                <w:szCs w:val="20"/>
              </w:rPr>
              <w:footnoteReference w:id="292"/>
            </w:r>
            <w:r w:rsidRPr="00391600" w:rsidR="002F78F4">
              <w:rPr>
                <w:rFonts w:ascii="Palatino Linotype" w:hAnsi="Palatino Linotype"/>
                <w:color w:val="000000" w:themeColor="text1"/>
                <w:sz w:val="20"/>
                <w:szCs w:val="20"/>
              </w:rPr>
              <w:t xml:space="preserve"> </w:t>
            </w:r>
          </w:p>
          <w:p w:rsidRPr="00391600" w:rsidR="002F78F4" w:rsidP="003B475F" w:rsidRDefault="002F78F4" w14:paraId="7F092BCA" w14:textId="6789E336">
            <w:pPr>
              <w:pStyle w:val="ListParagraph"/>
              <w:numPr>
                <w:ilvl w:val="0"/>
                <w:numId w:val="31"/>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“On August 12, 2024, CEC staff met with representatives from Southern California Gas Company (SoCalGas), Pacific Gas &amp; Electric (PG&amp;E), and Southwest Gas to gather feedback on the initial broad set of potential initiatives</w:t>
            </w:r>
            <w:r w:rsidRPr="00391600" w:rsidR="00440C8D">
              <w:rPr>
                <w:rFonts w:ascii="Palatino Linotype" w:hAnsi="Palatino Linotype"/>
                <w:bCs/>
                <w:color w:val="000000" w:themeColor="text1"/>
                <w:sz w:val="20"/>
                <w:szCs w:val="20"/>
              </w:rPr>
              <w:t>.</w:t>
            </w:r>
            <w:r w:rsidRPr="00391600">
              <w:rPr>
                <w:rFonts w:ascii="Palatino Linotype" w:hAnsi="Palatino Linotype"/>
                <w:bCs/>
                <w:color w:val="000000" w:themeColor="text1"/>
                <w:sz w:val="20"/>
                <w:szCs w:val="20"/>
              </w:rPr>
              <w:t xml:space="preserve">” </w:t>
            </w:r>
          </w:p>
          <w:p w:rsidRPr="00391600" w:rsidR="002F78F4" w:rsidP="003B475F" w:rsidRDefault="002F78F4" w14:paraId="1DE1F320" w14:textId="77777777">
            <w:pPr>
              <w:pStyle w:val="ListParagraph"/>
              <w:numPr>
                <w:ilvl w:val="0"/>
                <w:numId w:val="31"/>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“On October 9, 2024, CEC staff met with representatives from SoCalGas, Sempra, and PG&amp;E to gather further feedback on the selected proposed initiatives included in the Budget Plan.” </w:t>
            </w:r>
          </w:p>
          <w:p w:rsidRPr="00391600" w:rsidR="002F78F4" w:rsidP="003B475F" w:rsidRDefault="002F78F4" w14:paraId="0038C727" w14:textId="77777777">
            <w:pPr>
              <w:pStyle w:val="ListParagraph"/>
              <w:numPr>
                <w:ilvl w:val="0"/>
                <w:numId w:val="31"/>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“On February 7, 2025, CEC staff held a public workshop and invited additional written public comments on the proposed research initiatives.”</w:t>
            </w:r>
          </w:p>
          <w:p w:rsidRPr="00391600" w:rsidR="002F78F4" w:rsidP="00BB366A" w:rsidRDefault="2DFBABD3" w14:paraId="1D3CE34F" w14:textId="1187F7CE">
            <w:pPr>
              <w:rPr>
                <w:rFonts w:ascii="Palatino Linotype" w:hAnsi="Palatino Linotype"/>
                <w:bCs/>
                <w:color w:val="A6A6A6" w:themeColor="background1" w:themeShade="A6"/>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sidR="002F78F4">
              <w:rPr>
                <w:rStyle w:val="FootnoteReference"/>
                <w:rFonts w:ascii="Palatino Linotype" w:hAnsi="Palatino Linotype"/>
                <w:color w:val="000000" w:themeColor="text1"/>
                <w:sz w:val="20"/>
                <w:szCs w:val="20"/>
              </w:rPr>
              <w:footnoteReference w:id="293"/>
            </w:r>
            <w:r w:rsidRPr="00391600" w:rsidR="002F78F4">
              <w:rPr>
                <w:rFonts w:ascii="Palatino Linotype" w:hAnsi="Palatino Linotype"/>
                <w:color w:val="000000" w:themeColor="text1"/>
                <w:sz w:val="20"/>
                <w:szCs w:val="20"/>
              </w:rPr>
              <w:t xml:space="preserve"> including coordination with IOUs and a public workshop.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describes Coordination and Strategic Partnerships primarily at the program and Plan levels, including regular outreach meetings and general initiative coordination with the IOUs on August 12 and October 9, 2024.</w:t>
            </w:r>
            <w:r w:rsidRPr="00391600" w:rsidR="002F78F4">
              <w:rPr>
                <w:rStyle w:val="FootnoteReference"/>
                <w:rFonts w:ascii="Palatino Linotype" w:hAnsi="Palatino Linotype"/>
                <w:color w:val="000000" w:themeColor="text1"/>
                <w:sz w:val="20"/>
                <w:szCs w:val="20"/>
              </w:rPr>
              <w:footnoteReference w:id="294"/>
            </w:r>
          </w:p>
          <w:p w:rsidRPr="00391600" w:rsidR="002F78F4" w:rsidP="00BB366A" w:rsidRDefault="002F78F4" w14:paraId="43E913C2" w14:textId="79D1A94E">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Social Science Research for Gas Decommissioning in the Mid and Long Term:</w:t>
            </w:r>
            <w:r w:rsidRPr="00391600">
              <w:rPr>
                <w:rFonts w:ascii="Palatino Linotype" w:hAnsi="Palatino Linotype"/>
                <w:color w:val="000000" w:themeColor="text1"/>
                <w:sz w:val="20"/>
                <w:szCs w:val="20"/>
              </w:rPr>
              <w:t xml:space="preserve"> Earthjustice commented that CEC should explore barriers and solution related to: </w:t>
            </w:r>
            <w:r w:rsidRPr="00391600">
              <w:rPr>
                <w:rFonts w:ascii="Palatino Linotype" w:hAnsi="Palatino Linotype"/>
                <w:color w:val="000000" w:themeColor="text1"/>
                <w:sz w:val="20"/>
                <w:szCs w:val="20"/>
              </w:rPr>
              <w:lastRenderedPageBreak/>
              <w:t xml:space="preserve">Structural or infrastructure constraints; Multifamily residential and renter barriers; Up-front costs and bill impacts; Resilience concerns and potential resilience benefits; and Customer attitudes and unfamiliarity with technologies </w:t>
            </w:r>
            <w:r w:rsidRPr="00391600" w:rsidR="2DFBABD3">
              <w:rPr>
                <w:rFonts w:ascii="Palatino Linotype" w:hAnsi="Palatino Linotype"/>
                <w:color w:val="000000" w:themeColor="text1"/>
                <w:sz w:val="20"/>
                <w:szCs w:val="20"/>
              </w:rPr>
              <w:t>–</w:t>
            </w:r>
            <w:r w:rsidRPr="00391600">
              <w:rPr>
                <w:rFonts w:ascii="Palatino Linotype" w:hAnsi="Palatino Linotype"/>
                <w:color w:val="000000" w:themeColor="text1"/>
                <w:sz w:val="20"/>
                <w:szCs w:val="20"/>
              </w:rPr>
              <w:t xml:space="preserve">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the "topics and considerations mentioned are well aligned with the types of investigation covered in the initiative."</w:t>
            </w:r>
            <w:r w:rsidRPr="00391600">
              <w:rPr>
                <w:rStyle w:val="FootnoteReference"/>
                <w:rFonts w:ascii="Palatino Linotype" w:hAnsi="Palatino Linotype"/>
                <w:color w:val="000000" w:themeColor="text1"/>
                <w:sz w:val="20"/>
                <w:szCs w:val="20"/>
              </w:rPr>
              <w:footnoteReference w:id="295"/>
            </w:r>
            <w:r w:rsidRPr="00391600">
              <w:rPr>
                <w:rFonts w:ascii="Palatino Linotype" w:hAnsi="Palatino Linotype"/>
                <w:color w:val="000000" w:themeColor="text1"/>
                <w:sz w:val="20"/>
                <w:szCs w:val="20"/>
              </w:rPr>
              <w:t xml:space="preserve">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recommended that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consider technologies and solutions to address "where there may be challenges to meeting increasing electric demand through the grid" when targeting gas decommissioning, and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projects will be "designed to accommodate consideration of varied technological possibilities and recognition of favorable opportunities for developing their potential as aligned with state goals."</w:t>
            </w:r>
            <w:r w:rsidRPr="00391600">
              <w:rPr>
                <w:rStyle w:val="FootnoteReference"/>
                <w:rFonts w:ascii="Palatino Linotype" w:hAnsi="Palatino Linotype"/>
                <w:color w:val="000000" w:themeColor="text1"/>
                <w:sz w:val="20"/>
                <w:szCs w:val="20"/>
              </w:rPr>
              <w:footnoteReference w:id="296"/>
            </w:r>
            <w:r w:rsidRPr="00391600">
              <w:rPr>
                <w:rFonts w:ascii="Palatino Linotype" w:hAnsi="Palatino Linotype"/>
                <w:color w:val="000000" w:themeColor="text1"/>
                <w:sz w:val="20"/>
                <w:szCs w:val="20"/>
              </w:rPr>
              <w:t xml:space="preserve"> </w:t>
            </w:r>
            <w:r w:rsidRPr="00391600" w:rsidR="2DFBABD3">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details recommendations from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and PG&amp;E for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to lead and document coordination on similar RD&amp;D activities, including: </w:t>
            </w:r>
          </w:p>
          <w:p w:rsidRPr="00391600" w:rsidR="002F78F4" w:rsidP="003B475F" w:rsidRDefault="002F78F4" w14:paraId="5FA7DB55" w14:textId="77777777">
            <w:pPr>
              <w:pStyle w:val="ListParagraph"/>
              <w:numPr>
                <w:ilvl w:val="0"/>
                <w:numId w:val="3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"[P]</w:t>
            </w:r>
            <w:proofErr w:type="spellStart"/>
            <w:r w:rsidRPr="00391600">
              <w:rPr>
                <w:rFonts w:ascii="Palatino Linotype" w:hAnsi="Palatino Linotype"/>
                <w:color w:val="000000" w:themeColor="text1"/>
                <w:sz w:val="20"/>
                <w:szCs w:val="20"/>
              </w:rPr>
              <w:t>revious</w:t>
            </w:r>
            <w:proofErr w:type="spellEnd"/>
            <w:r w:rsidRPr="00391600">
              <w:rPr>
                <w:rFonts w:ascii="Palatino Linotype" w:hAnsi="Palatino Linotype"/>
                <w:color w:val="000000" w:themeColor="text1"/>
                <w:sz w:val="20"/>
                <w:szCs w:val="20"/>
              </w:rPr>
              <w:t xml:space="preserve"> CEC projects that assessed gas decommissioning in Environmental and Social Justice (ESJ) communities in Northern and Southern California. The ongoing Southern California-focused gas decommissioning study was co-funded by SoCalGas and overseen by the RAND Corporation. The results of this recent Southern California study, which </w:t>
            </w:r>
            <w:proofErr w:type="gramStart"/>
            <w:r w:rsidRPr="00391600">
              <w:rPr>
                <w:rFonts w:ascii="Palatino Linotype" w:hAnsi="Palatino Linotype"/>
                <w:color w:val="000000" w:themeColor="text1"/>
                <w:sz w:val="20"/>
                <w:szCs w:val="20"/>
              </w:rPr>
              <w:t>have</w:t>
            </w:r>
            <w:proofErr w:type="gramEnd"/>
            <w:r w:rsidRPr="00391600">
              <w:rPr>
                <w:rFonts w:ascii="Palatino Linotype" w:hAnsi="Palatino Linotype"/>
                <w:color w:val="000000" w:themeColor="text1"/>
                <w:sz w:val="20"/>
                <w:szCs w:val="20"/>
              </w:rPr>
              <w:t xml:space="preserve"> not yet been published by CEC, should help guide any follow-on research regarding gas decommissioning. The CEC also previously worked with PG&amp;E on a targeted gas decommissioning study focused on Northern California", which identified that the "obligation to serve (Public Utilities Code Section 4515) makes gas decommissioning projects very challenging to develop at any significant scale." CEC responded that this "initiative is intended to contribute to a more comprehensive understanding of the planned transition from fossil gas, generating results that help bridge energy system planning, policy and programs, decommissioning efforts, and fair, </w:t>
            </w:r>
            <w:proofErr w:type="gramStart"/>
            <w:r w:rsidRPr="00391600">
              <w:rPr>
                <w:rFonts w:ascii="Palatino Linotype" w:hAnsi="Palatino Linotype"/>
                <w:color w:val="000000" w:themeColor="text1"/>
                <w:sz w:val="20"/>
                <w:szCs w:val="20"/>
              </w:rPr>
              <w:t>empirically-centered</w:t>
            </w:r>
            <w:proofErr w:type="gramEnd"/>
            <w:r w:rsidRPr="00391600">
              <w:rPr>
                <w:rFonts w:ascii="Palatino Linotype" w:hAnsi="Palatino Linotype"/>
                <w:color w:val="000000" w:themeColor="text1"/>
                <w:sz w:val="20"/>
                <w:szCs w:val="20"/>
              </w:rPr>
              <w:t xml:space="preserve"> assessments of associated environmental, economic, and social impacts."</w:t>
            </w:r>
            <w:r w:rsidRPr="00391600">
              <w:rPr>
                <w:rStyle w:val="FootnoteReference"/>
                <w:rFonts w:ascii="Palatino Linotype" w:hAnsi="Palatino Linotype"/>
                <w:color w:val="000000" w:themeColor="text1"/>
                <w:sz w:val="20"/>
                <w:szCs w:val="20"/>
              </w:rPr>
              <w:footnoteReference w:id="297"/>
            </w:r>
            <w:r w:rsidRPr="00391600">
              <w:rPr>
                <w:rFonts w:ascii="Palatino Linotype" w:hAnsi="Palatino Linotype"/>
                <w:color w:val="000000" w:themeColor="text1"/>
                <w:sz w:val="20"/>
                <w:szCs w:val="20"/>
              </w:rPr>
              <w:t xml:space="preserve"> </w:t>
            </w:r>
          </w:p>
          <w:p w:rsidRPr="00391600" w:rsidR="002F78F4" w:rsidP="003B475F" w:rsidRDefault="002F78F4" w14:paraId="45962E42" w14:textId="77777777">
            <w:pPr>
              <w:pStyle w:val="ListParagraph"/>
              <w:numPr>
                <w:ilvl w:val="0"/>
                <w:numId w:val="36"/>
              </w:num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PG&amp;E efforts to approach electrification by considering 1) cost-effectiveness 2) capacity 3) and customer willingness to convert in targeting upcoming distribution pipeline replacement projects as recommended by E3 via the CEC-funded project, </w:t>
            </w:r>
            <w:r w:rsidRPr="00391600">
              <w:rPr>
                <w:rFonts w:ascii="Palatino Linotype" w:hAnsi="Palatino Linotype"/>
                <w:color w:val="000000" w:themeColor="text1"/>
                <w:sz w:val="20"/>
                <w:szCs w:val="20"/>
              </w:rPr>
              <w:lastRenderedPageBreak/>
              <w:t>“Analytical Framework Results for Strategic Gas Infrastructure Decommissioning in Northern CA.” PG&amp;E states that there may be "learnings there that can be applied to future projects, especially with the community outreach findings." CEC responded that "[s]</w:t>
            </w:r>
            <w:proofErr w:type="spellStart"/>
            <w:r w:rsidRPr="00391600">
              <w:rPr>
                <w:rFonts w:ascii="Palatino Linotype" w:hAnsi="Palatino Linotype"/>
                <w:color w:val="000000" w:themeColor="text1"/>
                <w:sz w:val="20"/>
                <w:szCs w:val="20"/>
              </w:rPr>
              <w:t>taff</w:t>
            </w:r>
            <w:proofErr w:type="spellEnd"/>
            <w:r w:rsidRPr="00391600">
              <w:rPr>
                <w:rFonts w:ascii="Palatino Linotype" w:hAnsi="Palatino Linotype"/>
                <w:color w:val="000000" w:themeColor="text1"/>
                <w:sz w:val="20"/>
                <w:szCs w:val="20"/>
              </w:rPr>
              <w:t xml:space="preserve"> are familiar with the E3 study and the approach of targeting properties based on distribution pipeline conditions as well as other infrastructural and community conditions (e.g., partly laid out in CPUC’s Staff Proposal on Gas Distribution Infrastructure Decommissioning Framework) and agree that E3’s study will be very useful for informing research resulting from these initiatives."</w:t>
            </w:r>
            <w:r w:rsidRPr="00391600">
              <w:rPr>
                <w:rStyle w:val="FootnoteReference"/>
                <w:rFonts w:ascii="Palatino Linotype" w:hAnsi="Palatino Linotype"/>
                <w:color w:val="000000" w:themeColor="text1"/>
                <w:sz w:val="20"/>
                <w:szCs w:val="20"/>
              </w:rPr>
              <w:footnoteReference w:id="298"/>
            </w:r>
            <w:r w:rsidRPr="00391600">
              <w:rPr>
                <w:rFonts w:ascii="Palatino Linotype" w:hAnsi="Palatino Linotype"/>
                <w:color w:val="000000" w:themeColor="text1"/>
                <w:sz w:val="20"/>
                <w:szCs w:val="20"/>
              </w:rPr>
              <w:t xml:space="preserve"> </w:t>
            </w:r>
          </w:p>
          <w:p w:rsidRPr="00391600" w:rsidR="002F78F4" w:rsidP="00BB366A" w:rsidRDefault="2DFBABD3" w14:paraId="2D7986C6" w14:textId="75AD9FB4">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 xml:space="preserve">CEC includes "a summary of the progression of the portfolio of gas decommissioning research projects and initiatives to date", reflective of the efforts mentioned by </w:t>
            </w:r>
            <w:r w:rsidRPr="00391600" w:rsidR="00D86396">
              <w:rPr>
                <w:rFonts w:ascii="Palatino Linotype" w:hAnsi="Palatino Linotype"/>
                <w:color w:val="000000" w:themeColor="text1"/>
                <w:sz w:val="20"/>
                <w:szCs w:val="20"/>
              </w:rPr>
              <w:t>SoCalGas</w:t>
            </w:r>
            <w:r w:rsidRPr="00391600" w:rsidR="002F78F4">
              <w:rPr>
                <w:rFonts w:ascii="Palatino Linotype" w:hAnsi="Palatino Linotype"/>
                <w:color w:val="000000" w:themeColor="text1"/>
                <w:sz w:val="20"/>
                <w:szCs w:val="20"/>
              </w:rPr>
              <w:t xml:space="preserve"> and PG&amp;E.</w:t>
            </w:r>
            <w:r w:rsidRPr="00391600" w:rsidR="002F78F4">
              <w:rPr>
                <w:rStyle w:val="FootnoteReference"/>
                <w:rFonts w:ascii="Palatino Linotype" w:hAnsi="Palatino Linotype"/>
                <w:color w:val="000000" w:themeColor="text1"/>
                <w:sz w:val="20"/>
                <w:szCs w:val="20"/>
              </w:rPr>
              <w:footnoteReference w:id="299"/>
            </w:r>
            <w:r w:rsidRPr="00391600" w:rsidR="002F78F4">
              <w:rPr>
                <w:rFonts w:ascii="Palatino Linotype" w:hAnsi="Palatino Linotype"/>
                <w:color w:val="000000" w:themeColor="text1"/>
                <w:sz w:val="20"/>
                <w:szCs w:val="20"/>
              </w:rPr>
              <w:t xml:space="preserve"> In Appendix C: List of Gas R&amp;D Events,</w:t>
            </w:r>
            <w:r w:rsidRPr="00391600">
              <w:rPr>
                <w:rFonts w:ascii="Palatino Linotype" w:hAnsi="Palatino Linotype"/>
                <w:color w:val="000000" w:themeColor="text1"/>
                <w:sz w:val="20"/>
                <w:szCs w:val="20"/>
              </w:rPr>
              <w:t xml:space="preserve"> the</w:t>
            </w:r>
            <w:r w:rsidRPr="00391600" w:rsidR="002F78F4">
              <w:rPr>
                <w:rFonts w:ascii="Palatino Linotype" w:hAnsi="Palatino Linotype"/>
                <w:color w:val="000000" w:themeColor="text1"/>
                <w:sz w:val="20"/>
                <w:szCs w:val="20"/>
              </w:rPr>
              <w:t xml:space="preserve"> CEC lists the following gas decommissioning-related events: </w:t>
            </w:r>
          </w:p>
          <w:p w:rsidRPr="00391600" w:rsidR="002F78F4" w:rsidP="003B475F" w:rsidRDefault="002F78F4" w14:paraId="2A3429E1" w14:textId="133FEDD9">
            <w:pPr>
              <w:pStyle w:val="ListParagraph"/>
              <w:numPr>
                <w:ilvl w:val="0"/>
                <w:numId w:val="37"/>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February 2024: </w:t>
            </w:r>
            <w:hyperlink w:history="1" r:id="rId119">
              <w:r w:rsidRPr="00391600">
                <w:rPr>
                  <w:rStyle w:val="Hyperlink"/>
                  <w:rFonts w:ascii="Palatino Linotype" w:hAnsi="Palatino Linotype"/>
                  <w:bCs/>
                  <w:sz w:val="20"/>
                  <w:szCs w:val="20"/>
                </w:rPr>
                <w:t>Workshop on Analytical Framework Results for Strategic Gas Infrastructure Decommissioning in Northern California</w:t>
              </w:r>
            </w:hyperlink>
            <w:r w:rsidRPr="00391600">
              <w:rPr>
                <w:rFonts w:ascii="Palatino Linotype" w:hAnsi="Palatino Linotype"/>
                <w:bCs/>
                <w:color w:val="000000" w:themeColor="text1"/>
                <w:sz w:val="20"/>
                <w:szCs w:val="20"/>
              </w:rPr>
              <w:t xml:space="preserve">, coordinated by </w:t>
            </w:r>
            <w:r w:rsidRPr="00391600" w:rsidR="002304B7">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E3 presented </w:t>
            </w:r>
            <w:proofErr w:type="gramStart"/>
            <w:r w:rsidRPr="00391600">
              <w:rPr>
                <w:rFonts w:ascii="Palatino Linotype" w:hAnsi="Palatino Linotype"/>
                <w:bCs/>
                <w:color w:val="000000" w:themeColor="text1"/>
                <w:sz w:val="20"/>
                <w:szCs w:val="20"/>
              </w:rPr>
              <w:t>final results</w:t>
            </w:r>
            <w:proofErr w:type="gramEnd"/>
            <w:r w:rsidRPr="00391600">
              <w:rPr>
                <w:rFonts w:ascii="Palatino Linotype" w:hAnsi="Palatino Linotype"/>
                <w:bCs/>
                <w:color w:val="000000" w:themeColor="text1"/>
                <w:sz w:val="20"/>
                <w:szCs w:val="20"/>
              </w:rPr>
              <w:t xml:space="preserve"> (PIR-20-009).</w:t>
            </w:r>
          </w:p>
          <w:p w:rsidRPr="00391600" w:rsidR="002F78F4" w:rsidP="003B475F" w:rsidRDefault="002F78F4" w14:paraId="2E376F50" w14:textId="77777777">
            <w:pPr>
              <w:pStyle w:val="ListParagraph"/>
              <w:numPr>
                <w:ilvl w:val="0"/>
                <w:numId w:val="37"/>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March 2024: </w:t>
            </w:r>
            <w:hyperlink w:history="1" w:anchor=":%7E:text=The%20California%20Energy%20Commission%20%28CEC%29%20will%20host%20a,research%20addressing%20location-specific%20aspects%20of%20long-term%20gas%20decommissioning." r:id="rId120">
              <w:r w:rsidRPr="00391600">
                <w:rPr>
                  <w:rStyle w:val="Hyperlink"/>
                  <w:rFonts w:ascii="Palatino Linotype" w:hAnsi="Palatino Linotype"/>
                  <w:bCs/>
                  <w:sz w:val="20"/>
                  <w:szCs w:val="20"/>
                </w:rPr>
                <w:t>Scoping Workshop</w:t>
              </w:r>
            </w:hyperlink>
            <w:r w:rsidRPr="00391600">
              <w:rPr>
                <w:rFonts w:ascii="Palatino Linotype" w:hAnsi="Palatino Linotype"/>
                <w:bCs/>
                <w:color w:val="000000" w:themeColor="text1"/>
                <w:sz w:val="20"/>
                <w:szCs w:val="20"/>
              </w:rPr>
              <w:t>: Location-Specific Gas System Decommissioning.</w:t>
            </w:r>
          </w:p>
          <w:p w:rsidRPr="00391600" w:rsidR="002F78F4" w:rsidP="003B475F" w:rsidRDefault="002F78F4" w14:paraId="1FB609FC" w14:textId="77777777">
            <w:pPr>
              <w:pStyle w:val="ListParagraph"/>
              <w:numPr>
                <w:ilvl w:val="0"/>
                <w:numId w:val="37"/>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October 2024: </w:t>
            </w:r>
            <w:hyperlink w:history="1" r:id="rId121">
              <w:r w:rsidRPr="00391600">
                <w:rPr>
                  <w:rStyle w:val="Hyperlink"/>
                  <w:rFonts w:ascii="Palatino Linotype" w:hAnsi="Palatino Linotype"/>
                  <w:bCs/>
                  <w:sz w:val="20"/>
                  <w:szCs w:val="20"/>
                </w:rPr>
                <w:t>Community Workshop</w:t>
              </w:r>
            </w:hyperlink>
            <w:r w:rsidRPr="00391600">
              <w:rPr>
                <w:rFonts w:ascii="Palatino Linotype" w:hAnsi="Palatino Linotype"/>
                <w:bCs/>
                <w:color w:val="000000" w:themeColor="text1"/>
                <w:sz w:val="20"/>
                <w:szCs w:val="20"/>
              </w:rPr>
              <w:t>: Mindful Gas Decommissioning Study Workshop hosted by recipient, DNV-GL, to provide project updates and a beta tool demonstration and receive additional community input (PIR-22-002)</w:t>
            </w:r>
          </w:p>
          <w:p w:rsidRPr="00391600" w:rsidR="002F78F4" w:rsidP="003B475F" w:rsidRDefault="002F78F4" w14:paraId="25A9CBAF" w14:textId="77777777">
            <w:pPr>
              <w:pStyle w:val="ListParagraph"/>
              <w:numPr>
                <w:ilvl w:val="0"/>
                <w:numId w:val="37"/>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November 2024: CEC Healthy, Equitable Energy Transition (HEET) Working Group Meeting, covering asocial science approach to the residential transition from gas to electric and the role of energy sufficiency.</w:t>
            </w:r>
          </w:p>
          <w:p w:rsidRPr="00391600" w:rsidR="002F78F4" w:rsidP="00BB366A" w:rsidRDefault="002F78F4" w14:paraId="7DF7C8D2" w14:textId="06942D01">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Pilot Projects to Advance Gas Decommissioning</w:t>
            </w:r>
            <w:r w:rsidRPr="00391600">
              <w:rPr>
                <w:rFonts w:ascii="Palatino Linotype" w:hAnsi="Palatino Linotype"/>
                <w:color w:val="000000" w:themeColor="text1"/>
                <w:sz w:val="20"/>
                <w:szCs w:val="20"/>
              </w:rPr>
              <w:t xml:space="preserve">: </w:t>
            </w:r>
            <w:r w:rsidRPr="00391600" w:rsidR="2DFBABD3">
              <w:rPr>
                <w:rFonts w:ascii="Palatino Linotype" w:hAnsi="Palatino Linotype"/>
                <w:sz w:val="20"/>
                <w:szCs w:val="20"/>
              </w:rPr>
              <w:t xml:space="preserve">The </w:t>
            </w:r>
            <w:r w:rsidRPr="00391600">
              <w:rPr>
                <w:rFonts w:ascii="Palatino Linotype" w:hAnsi="Palatino Linotype"/>
                <w:color w:val="000000" w:themeColor="text1"/>
                <w:sz w:val="20"/>
                <w:szCs w:val="20"/>
              </w:rPr>
              <w:t>CEC states that "staff are tracking current efforts across other states as well as internationally and will explore opportunities for exchanging information, such as data, best practices, and lessons learned."</w:t>
            </w:r>
            <w:r w:rsidRPr="00391600">
              <w:rPr>
                <w:rStyle w:val="FootnoteReference"/>
                <w:rFonts w:ascii="Palatino Linotype" w:hAnsi="Palatino Linotype"/>
                <w:color w:val="000000" w:themeColor="text1"/>
                <w:sz w:val="20"/>
                <w:szCs w:val="20"/>
              </w:rPr>
              <w:footnoteReference w:id="300"/>
            </w:r>
            <w:r w:rsidRPr="00391600">
              <w:rPr>
                <w:rFonts w:ascii="Palatino Linotype" w:hAnsi="Palatino Linotype"/>
                <w:color w:val="000000" w:themeColor="text1"/>
                <w:sz w:val="20"/>
                <w:szCs w:val="20"/>
              </w:rPr>
              <w:t xml:space="preserve"> </w:t>
            </w:r>
            <w:r w:rsidRPr="00391600" w:rsidR="2DFBABD3">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includes a "a summary of the progression of the portfolio of gas decommissioning research projects and initiatives to date", reflective of the efforts mentioned by Earthjustice,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and PG&amp;E.</w:t>
            </w:r>
            <w:r w:rsidRPr="00391600">
              <w:rPr>
                <w:rStyle w:val="FootnoteReference"/>
                <w:rFonts w:ascii="Palatino Linotype" w:hAnsi="Palatino Linotype"/>
                <w:color w:val="000000" w:themeColor="text1"/>
                <w:sz w:val="20"/>
                <w:szCs w:val="20"/>
              </w:rPr>
              <w:footnoteReference w:id="301"/>
            </w:r>
            <w:r w:rsidRPr="00391600">
              <w:rPr>
                <w:rFonts w:ascii="Palatino Linotype" w:hAnsi="Palatino Linotype"/>
                <w:color w:val="000000" w:themeColor="text1"/>
                <w:sz w:val="20"/>
                <w:szCs w:val="20"/>
              </w:rPr>
              <w:t xml:space="preserve"> In contrast to the previous </w:t>
            </w:r>
            <w:r w:rsidRPr="00391600">
              <w:rPr>
                <w:rFonts w:ascii="Palatino Linotype" w:hAnsi="Palatino Linotype"/>
                <w:color w:val="000000" w:themeColor="text1"/>
                <w:sz w:val="20"/>
                <w:szCs w:val="20"/>
              </w:rPr>
              <w:lastRenderedPageBreak/>
              <w:t xml:space="preserve">Initiative,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states this Initiative "aims to demonstrate decommissioning at street segment or neighborhood scales. These pilots will consider and leverage previous and ongoing efforts, such as existing site-selection framework tools, census or pre-evaluated sites, and SB 1221 implementation for gas conversion. The pilots will provide real world data on performance, costs, and challenges. Additionally, information resulting from these pilots can inform models, templates, and best practices for future decommissioning efforts. Successful demonstrations can also help to build customer confidence, fostering higher levels of consent within neighborhoods, counties, and cities and encouraging them to pursue similar decommissioning efforts."</w:t>
            </w:r>
            <w:r w:rsidRPr="00391600">
              <w:rPr>
                <w:rStyle w:val="FootnoteReference"/>
                <w:rFonts w:ascii="Palatino Linotype" w:hAnsi="Palatino Linotype"/>
                <w:color w:val="000000" w:themeColor="text1"/>
                <w:sz w:val="20"/>
                <w:szCs w:val="20"/>
              </w:rPr>
              <w:footnoteReference w:id="302"/>
            </w:r>
          </w:p>
          <w:p w:rsidRPr="00391600" w:rsidR="002F78F4" w:rsidP="00BB366A" w:rsidRDefault="002F78F4" w14:paraId="25E00EBC" w14:textId="515EA2FD">
            <w:p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In response to concern expressed by the public on data availability to ensure project success,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 xml:space="preserve">CEC states that it "will utilize data from previous and ongoing studies as well as resources resulting from SB 1221, such as zonal maps. The zonal maps developed are anticipated to include information on potential gas distribution pipeline replacement projects to inform pilot project site selection. "In alignment with Earthjustice's recommendation,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states that "[p]</w:t>
            </w:r>
            <w:proofErr w:type="spellStart"/>
            <w:r w:rsidRPr="00391600">
              <w:rPr>
                <w:rFonts w:ascii="Palatino Linotype" w:hAnsi="Palatino Linotype"/>
                <w:color w:val="000000" w:themeColor="text1"/>
                <w:sz w:val="20"/>
                <w:szCs w:val="20"/>
              </w:rPr>
              <w:t>rojects</w:t>
            </w:r>
            <w:proofErr w:type="spellEnd"/>
            <w:r w:rsidRPr="00391600">
              <w:rPr>
                <w:rFonts w:ascii="Palatino Linotype" w:hAnsi="Palatino Linotype"/>
                <w:color w:val="000000" w:themeColor="text1"/>
                <w:sz w:val="20"/>
                <w:szCs w:val="20"/>
              </w:rPr>
              <w:t xml:space="preserve"> funded under this initiative will consider existing research and emerging experience in a range of low-carbon technologies and leverage work under SB 1221 where feasible." In response to </w:t>
            </w:r>
            <w:proofErr w:type="spellStart"/>
            <w:r w:rsidRPr="00391600">
              <w:rPr>
                <w:rFonts w:ascii="Palatino Linotype" w:hAnsi="Palatino Linotype"/>
                <w:color w:val="000000" w:themeColor="text1"/>
                <w:sz w:val="20"/>
                <w:szCs w:val="20"/>
              </w:rPr>
              <w:t>Biovind's</w:t>
            </w:r>
            <w:proofErr w:type="spellEnd"/>
            <w:r w:rsidRPr="00391600">
              <w:rPr>
                <w:rFonts w:ascii="Palatino Linotype" w:hAnsi="Palatino Linotype"/>
                <w:color w:val="000000" w:themeColor="text1"/>
                <w:sz w:val="20"/>
                <w:szCs w:val="20"/>
              </w:rPr>
              <w:t xml:space="preserve"> recommendation that decommissioning efforts should utilize "a standardized, risk-based framework that integrates corrosion detection, predictive modeling, and equity considerations in determining pilot site selection",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it "will consider them as this initiative is further refined during the solicitation scoping process" and that "staff will be working with the CPUC to position the gas decommissioning research to inform and support efforts related to SB 1221."</w:t>
            </w:r>
            <w:r w:rsidRPr="00391600">
              <w:rPr>
                <w:rStyle w:val="FootnoteReference"/>
                <w:rFonts w:ascii="Palatino Linotype" w:hAnsi="Palatino Linotype"/>
                <w:color w:val="000000" w:themeColor="text1"/>
                <w:sz w:val="20"/>
                <w:szCs w:val="20"/>
              </w:rPr>
              <w:footnoteReference w:id="303"/>
            </w:r>
            <w:r w:rsidRPr="00391600">
              <w:rPr>
                <w:rFonts w:ascii="Palatino Linotype" w:hAnsi="Palatino Linotype"/>
                <w:color w:val="000000" w:themeColor="text1"/>
                <w:sz w:val="20"/>
                <w:szCs w:val="20"/>
              </w:rPr>
              <w:t xml:space="preserve"> </w:t>
            </w:r>
          </w:p>
          <w:p w:rsidRPr="00391600" w:rsidR="002F78F4" w:rsidP="00BB366A" w:rsidRDefault="002F78F4" w14:paraId="1FA2123F" w14:textId="584C5EAD">
            <w:pPr>
              <w:rPr>
                <w:rFonts w:ascii="Palatino Linotype" w:hAnsi="Palatino Linotype"/>
                <w:bCs/>
                <w:color w:val="000000" w:themeColor="text1"/>
                <w:sz w:val="20"/>
                <w:szCs w:val="20"/>
              </w:rPr>
            </w:pPr>
            <w:r w:rsidRPr="00391600">
              <w:rPr>
                <w:rFonts w:ascii="Palatino Linotype" w:hAnsi="Palatino Linotype"/>
                <w:b/>
                <w:bCs/>
                <w:color w:val="A6A6A6" w:themeColor="background1" w:themeShade="A6"/>
                <w:sz w:val="20"/>
                <w:szCs w:val="20"/>
              </w:rPr>
              <w:t xml:space="preserve">    </w:t>
            </w:r>
            <w:r w:rsidRPr="00391600">
              <w:rPr>
                <w:rFonts w:ascii="Palatino Linotype" w:hAnsi="Palatino Linotype"/>
                <w:b/>
                <w:bCs/>
                <w:color w:val="000000" w:themeColor="text1"/>
                <w:sz w:val="20"/>
                <w:szCs w:val="20"/>
              </w:rPr>
              <w:t>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Networked Geothermal Heat Pumps</w:t>
            </w:r>
            <w:r w:rsidRPr="00391600">
              <w:rPr>
                <w:rFonts w:ascii="Palatino Linotype" w:hAnsi="Palatino Linotype"/>
                <w:color w:val="000000" w:themeColor="text1"/>
                <w:sz w:val="20"/>
                <w:szCs w:val="20"/>
              </w:rPr>
              <w:t>:</w:t>
            </w:r>
            <w:r w:rsidRPr="00391600" w:rsidR="2DFBABD3">
              <w:rPr>
                <w:rFonts w:ascii="Palatino Linotype" w:hAnsi="Palatino Linotype"/>
                <w:color w:val="000000" w:themeColor="text1"/>
                <w:sz w:val="20"/>
                <w:szCs w:val="20"/>
              </w:rPr>
              <w:t xml:space="preserve"> </w:t>
            </w:r>
            <w:r w:rsidRPr="00391600" w:rsidR="2DFBABD3">
              <w:rPr>
                <w:rFonts w:ascii="Palatino Linotype" w:hAnsi="Palatino Linotype"/>
                <w:sz w:val="20"/>
                <w:szCs w:val="20"/>
              </w:rPr>
              <w:t>The</w:t>
            </w:r>
            <w:r w:rsidRPr="00391600">
              <w:rPr>
                <w:rFonts w:ascii="Palatino Linotype" w:hAnsi="Palatino Linotype"/>
                <w:color w:val="000000" w:themeColor="text1"/>
                <w:sz w:val="20"/>
                <w:szCs w:val="20"/>
              </w:rPr>
              <w:t xml:space="preserve"> CEC states that "[t]o ensure CEC is tracking and learning from these various efforts, CEC along with CPUC staff participate in the Geothermal Network Regulator Forum."</w:t>
            </w:r>
            <w:r w:rsidRPr="00391600">
              <w:rPr>
                <w:rStyle w:val="FootnoteReference"/>
                <w:rFonts w:ascii="Palatino Linotype" w:hAnsi="Palatino Linotype"/>
                <w:color w:val="000000" w:themeColor="text1"/>
                <w:sz w:val="20"/>
                <w:szCs w:val="20"/>
              </w:rPr>
              <w:footnoteReference w:id="304"/>
            </w:r>
            <w:r w:rsidRPr="00391600">
              <w:rPr>
                <w:rFonts w:ascii="Palatino Linotype" w:hAnsi="Palatino Linotype"/>
                <w:color w:val="000000" w:themeColor="text1"/>
                <w:sz w:val="20"/>
                <w:szCs w:val="20"/>
              </w:rPr>
              <w:t xml:space="preserve"> </w:t>
            </w:r>
            <w:r w:rsidRPr="00391600" w:rsidR="2DFBABD3">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affirms it will employ "SB 1221 maps to identify potential sites for near- and medium-term </w:t>
            </w:r>
            <w:r w:rsidRPr="00391600">
              <w:rPr>
                <w:rFonts w:ascii="Palatino Linotype" w:hAnsi="Palatino Linotype"/>
                <w:color w:val="000000" w:themeColor="text1"/>
                <w:sz w:val="20"/>
                <w:szCs w:val="20"/>
              </w:rPr>
              <w:lastRenderedPageBreak/>
              <w:t>networked GHP pilots" (per Earthjustice's recommendation)</w:t>
            </w:r>
            <w:r w:rsidRPr="00391600">
              <w:rPr>
                <w:rStyle w:val="FootnoteReference"/>
                <w:rFonts w:ascii="Palatino Linotype" w:hAnsi="Palatino Linotype"/>
                <w:color w:val="000000" w:themeColor="text1"/>
                <w:sz w:val="20"/>
                <w:szCs w:val="20"/>
              </w:rPr>
              <w:footnoteReference w:id="305"/>
            </w:r>
            <w:r w:rsidRPr="00391600">
              <w:rPr>
                <w:rFonts w:ascii="Palatino Linotype" w:hAnsi="Palatino Linotype"/>
                <w:color w:val="000000" w:themeColor="text1"/>
                <w:sz w:val="20"/>
                <w:szCs w:val="20"/>
              </w:rPr>
              <w:t xml:space="preserve"> and consider a "cost performance study by the National Renewable Energy Laboratory on single-owner networked GHPs [which] reported coefficients of performance for ground loops between three and 10, indicating extreme efficiency."</w:t>
            </w:r>
            <w:r w:rsidRPr="00391600">
              <w:rPr>
                <w:rStyle w:val="FootnoteReference"/>
                <w:rFonts w:ascii="Palatino Linotype" w:hAnsi="Palatino Linotype"/>
                <w:color w:val="000000" w:themeColor="text1"/>
                <w:sz w:val="20"/>
                <w:szCs w:val="20"/>
              </w:rPr>
              <w:footnoteReference w:id="306"/>
            </w:r>
            <w:r w:rsidRPr="00391600">
              <w:rPr>
                <w:rFonts w:ascii="Palatino Linotype" w:hAnsi="Palatino Linotype"/>
                <w:color w:val="000000" w:themeColor="text1"/>
                <w:sz w:val="20"/>
                <w:szCs w:val="20"/>
              </w:rPr>
              <w:t xml:space="preserve"> Though PG&amp;E conducted an "initiative in San Jose connecting datacenters to nearby housing to provide energy and heat",</w:t>
            </w:r>
            <w:r w:rsidRPr="00391600" w:rsidR="2DFBABD3">
              <w:rPr>
                <w:rFonts w:ascii="Palatino Linotype" w:hAnsi="Palatino Linotype"/>
                <w:color w:val="000000" w:themeColor="text1"/>
                <w:sz w:val="20"/>
                <w:szCs w:val="20"/>
              </w:rPr>
              <w:t xml:space="preserve"> the</w:t>
            </w:r>
            <w:r w:rsidRPr="00391600">
              <w:rPr>
                <w:rFonts w:ascii="Palatino Linotype" w:hAnsi="Palatino Linotype"/>
                <w:color w:val="000000" w:themeColor="text1"/>
                <w:sz w:val="20"/>
                <w:szCs w:val="20"/>
              </w:rPr>
              <w:t xml:space="preserve"> CEC states that "PG&amp;E subject matter experts indicated they are not actively pursuing networked GHP research and would be interested in following the progress of this initiative."</w:t>
            </w:r>
            <w:r w:rsidRPr="00391600">
              <w:rPr>
                <w:rStyle w:val="FootnoteReference"/>
                <w:rFonts w:ascii="Palatino Linotype" w:hAnsi="Palatino Linotype"/>
                <w:color w:val="000000" w:themeColor="text1"/>
                <w:sz w:val="20"/>
                <w:szCs w:val="20"/>
              </w:rPr>
              <w:footnoteReference w:id="307"/>
            </w:r>
          </w:p>
          <w:p w:rsidRPr="00391600" w:rsidR="002F78F4" w:rsidP="00591B27" w:rsidRDefault="002F78F4" w14:paraId="27A2CD76" w14:textId="39242C0D">
            <w:pPr>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In response to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flagging issues with decreasing capacity of geothermal power generation over time,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responded that "CEC staff will consider evaluations of the estimated life span of the well and anticipated performance degradation, so stakeholders can understand the long-term impacts of the project."</w:t>
            </w:r>
            <w:r w:rsidRPr="00391600">
              <w:rPr>
                <w:rStyle w:val="FootnoteReference"/>
                <w:rFonts w:ascii="Palatino Linotype" w:hAnsi="Palatino Linotype"/>
                <w:color w:val="000000" w:themeColor="text1"/>
                <w:sz w:val="20"/>
                <w:szCs w:val="20"/>
              </w:rPr>
              <w:footnoteReference w:id="308"/>
            </w:r>
            <w:r w:rsidRPr="00391600">
              <w:rPr>
                <w:rFonts w:ascii="Palatino Linotype" w:hAnsi="Palatino Linotype"/>
                <w:color w:val="000000" w:themeColor="text1"/>
                <w:sz w:val="20"/>
                <w:szCs w:val="20"/>
              </w:rPr>
              <w:t xml:space="preserve"> In response to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flagging issues with brine production and seismic concerns,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w:t>
            </w:r>
            <w:r w:rsidRPr="00391600" w:rsidR="2DFBABD3">
              <w:rPr>
                <w:rFonts w:ascii="Palatino Linotype" w:hAnsi="Palatino Linotype"/>
                <w:color w:val="000000" w:themeColor="text1"/>
                <w:sz w:val="20"/>
                <w:szCs w:val="20"/>
              </w:rPr>
              <w:t xml:space="preserve"> stated</w:t>
            </w:r>
            <w:r w:rsidRPr="00391600">
              <w:rPr>
                <w:rFonts w:ascii="Palatino Linotype" w:hAnsi="Palatino Linotype"/>
                <w:color w:val="000000" w:themeColor="text1"/>
                <w:sz w:val="20"/>
                <w:szCs w:val="20"/>
              </w:rPr>
              <w:t xml:space="preserve"> that "[s]</w:t>
            </w:r>
            <w:proofErr w:type="spellStart"/>
            <w:r w:rsidRPr="00391600">
              <w:rPr>
                <w:rFonts w:ascii="Palatino Linotype" w:hAnsi="Palatino Linotype"/>
                <w:color w:val="000000" w:themeColor="text1"/>
                <w:sz w:val="20"/>
                <w:szCs w:val="20"/>
              </w:rPr>
              <w:t>ince</w:t>
            </w:r>
            <w:proofErr w:type="spellEnd"/>
            <w:r w:rsidRPr="00391600">
              <w:rPr>
                <w:rFonts w:ascii="Palatino Linotype" w:hAnsi="Palatino Linotype"/>
                <w:color w:val="000000" w:themeColor="text1"/>
                <w:sz w:val="20"/>
                <w:szCs w:val="20"/>
              </w:rPr>
              <w:t xml:space="preserve"> the drilling is relatively less deep, the potential impact may be minimal. However, as part of the study, this concern will be investigated to ensure a comprehensive understanding of any potential effects."</w:t>
            </w:r>
            <w:r w:rsidRPr="00391600">
              <w:rPr>
                <w:rStyle w:val="FootnoteReference"/>
                <w:rFonts w:ascii="Palatino Linotype" w:hAnsi="Palatino Linotype"/>
                <w:color w:val="000000" w:themeColor="text1"/>
                <w:sz w:val="20"/>
                <w:szCs w:val="20"/>
              </w:rPr>
              <w:footnoteReference w:id="309"/>
            </w:r>
            <w:r w:rsidRPr="00391600">
              <w:rPr>
                <w:rFonts w:ascii="Palatino Linotype" w:hAnsi="Palatino Linotype"/>
                <w:color w:val="000000" w:themeColor="text1"/>
                <w:sz w:val="20"/>
                <w:szCs w:val="20"/>
              </w:rPr>
              <w:t xml:space="preserve"> In alignment with </w:t>
            </w:r>
            <w:r w:rsidRPr="00391600" w:rsidR="00D86396">
              <w:rPr>
                <w:rFonts w:ascii="Palatino Linotype" w:hAnsi="Palatino Linotype"/>
                <w:color w:val="000000" w:themeColor="text1"/>
                <w:sz w:val="20"/>
                <w:szCs w:val="20"/>
              </w:rPr>
              <w:t>SoCalGas</w:t>
            </w:r>
            <w:r w:rsidRPr="00391600">
              <w:rPr>
                <w:rFonts w:ascii="Palatino Linotype" w:hAnsi="Palatino Linotype"/>
                <w:color w:val="000000" w:themeColor="text1"/>
                <w:sz w:val="20"/>
                <w:szCs w:val="20"/>
              </w:rPr>
              <w:t xml:space="preserve">' and PG&amp;E's recommendation,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states it will consider how networked geothermal technology being studied and deployed in other states, including the first utility-scale networked geothermal system pilot being commissioned in Massachusetts in June 2024.</w:t>
            </w:r>
            <w:r w:rsidRPr="00391600">
              <w:rPr>
                <w:rStyle w:val="FootnoteReference"/>
                <w:rFonts w:ascii="Palatino Linotype" w:hAnsi="Palatino Linotype"/>
                <w:color w:val="000000" w:themeColor="text1"/>
                <w:sz w:val="20"/>
                <w:szCs w:val="20"/>
              </w:rPr>
              <w:footnoteReference w:id="310"/>
            </w:r>
          </w:p>
          <w:p w:rsidRPr="00391600" w:rsidR="002F78F4" w:rsidP="00591B27" w:rsidRDefault="2DFBABD3" w14:paraId="2BB0E1CA" w14:textId="6F1AD63A">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 xml:space="preserve">CEC states that given networked geothermal technology "could also offer a new potential business model for utilities to provide gas customers with a suitable zero-emission substitute",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 xml:space="preserve">CEC would conduct a "comparison of ratepayer monthly bills among networked GHPs, other decarbonized solutions, and existing gas systems, modeled using existing utility business models (e.g., for fossil gas) and allowable rates </w:t>
            </w:r>
            <w:r w:rsidRPr="00391600" w:rsidR="002F78F4">
              <w:rPr>
                <w:rFonts w:ascii="Palatino Linotype" w:hAnsi="Palatino Linotype"/>
                <w:color w:val="000000" w:themeColor="text1"/>
                <w:sz w:val="20"/>
                <w:szCs w:val="20"/>
              </w:rPr>
              <w:lastRenderedPageBreak/>
              <w:t>of return."</w:t>
            </w:r>
            <w:r w:rsidRPr="00391600" w:rsidR="002F78F4">
              <w:rPr>
                <w:rStyle w:val="FootnoteReference"/>
                <w:rFonts w:ascii="Palatino Linotype" w:hAnsi="Palatino Linotype"/>
                <w:color w:val="000000" w:themeColor="text1"/>
                <w:sz w:val="20"/>
                <w:szCs w:val="20"/>
              </w:rPr>
              <w:footnoteReference w:id="311"/>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also states that adaptation benefits could be assessed via the "[u]se of study results in utility long-term planning and development of business models to incorporate the technology and support the clean energy transition."</w:t>
            </w:r>
            <w:r w:rsidRPr="00391600" w:rsidR="002F78F4">
              <w:rPr>
                <w:rStyle w:val="FootnoteReference"/>
                <w:rFonts w:ascii="Palatino Linotype" w:hAnsi="Palatino Linotype"/>
                <w:color w:val="000000" w:themeColor="text1"/>
                <w:sz w:val="20"/>
                <w:szCs w:val="20"/>
              </w:rPr>
              <w:footnoteReference w:id="312"/>
            </w:r>
            <w:r w:rsidRPr="00391600" w:rsidR="002F78F4">
              <w:rPr>
                <w:rFonts w:ascii="Palatino Linotype" w:hAnsi="Palatino Linotype"/>
                <w:color w:val="000000" w:themeColor="text1"/>
                <w:sz w:val="20"/>
                <w:szCs w:val="20"/>
              </w:rPr>
              <w:t xml:space="preserve"> In alignment with comments from the Lawrence Berkeley National Laboratory (LBNL), </w:t>
            </w:r>
            <w:r w:rsidRPr="00391600">
              <w:rPr>
                <w:rFonts w:ascii="Palatino Linotype" w:hAnsi="Palatino Linotype"/>
                <w:color w:val="000000" w:themeColor="text1"/>
                <w:sz w:val="20"/>
                <w:szCs w:val="20"/>
              </w:rPr>
              <w:t xml:space="preserve">the </w:t>
            </w:r>
            <w:r w:rsidRPr="00391600" w:rsidR="002F78F4">
              <w:rPr>
                <w:rFonts w:ascii="Palatino Linotype" w:hAnsi="Palatino Linotype"/>
                <w:color w:val="000000" w:themeColor="text1"/>
                <w:sz w:val="20"/>
                <w:szCs w:val="20"/>
              </w:rPr>
              <w:t>CEC states that reductions in GHG emissions will be evaluated and that "by decreasing electricity demand during both cooling and heating seasons and gas demand during heating season, networked GHPs will decrease the strain on power generation and transmission infrastructure, thereby reducing the risk of overload and equipment failure and increasing reliability."</w:t>
            </w:r>
            <w:r w:rsidRPr="00391600" w:rsidR="002F78F4">
              <w:rPr>
                <w:rStyle w:val="FootnoteReference"/>
                <w:rFonts w:ascii="Palatino Linotype" w:hAnsi="Palatino Linotype"/>
                <w:color w:val="000000" w:themeColor="text1"/>
                <w:sz w:val="20"/>
                <w:szCs w:val="20"/>
              </w:rPr>
              <w:footnoteReference w:id="313"/>
            </w:r>
            <w:r w:rsidRPr="00391600" w:rsidR="002F78F4">
              <w:rPr>
                <w:rFonts w:ascii="Palatino Linotype" w:hAnsi="Palatino Linotype"/>
                <w:color w:val="000000" w:themeColor="text1"/>
                <w:sz w:val="20"/>
                <w:szCs w:val="20"/>
              </w:rPr>
              <w:t xml:space="preserve"> </w:t>
            </w:r>
          </w:p>
        </w:tc>
        <w:tc>
          <w:tcPr>
            <w:tcW w:w="3240" w:type="dxa"/>
          </w:tcPr>
          <w:p w:rsidRPr="00391600" w:rsidR="002F78F4" w:rsidP="00BB366A" w:rsidRDefault="002F78F4" w14:paraId="3BD2C585" w14:textId="650B21F1">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lastRenderedPageBreak/>
              <w:t xml:space="preserve">  1.</w:t>
            </w:r>
            <w:r w:rsidRPr="00391600">
              <w:rPr>
                <w:rFonts w:ascii="Palatino Linotype" w:hAnsi="Palatino Linotype"/>
                <w:color w:val="000000" w:themeColor="text1"/>
                <w:sz w:val="20"/>
                <w:szCs w:val="20"/>
              </w:rPr>
              <w:t xml:space="preserve"> </w:t>
            </w:r>
            <w:r w:rsidRPr="00391600" w:rsidR="002304B7">
              <w:rPr>
                <w:rFonts w:ascii="Palatino Linotype" w:hAnsi="Palatino Linotype"/>
                <w:bCs/>
                <w:sz w:val="20"/>
                <w:szCs w:val="20"/>
              </w:rPr>
              <w:t xml:space="preserve">The </w:t>
            </w:r>
            <w:r w:rsidRPr="00391600">
              <w:rPr>
                <w:rFonts w:ascii="Palatino Linotype" w:hAnsi="Palatino Linotype"/>
                <w:color w:val="000000" w:themeColor="text1"/>
                <w:sz w:val="20"/>
                <w:szCs w:val="20"/>
              </w:rPr>
              <w:t>CEC thoroughly details coordination on and results from related efforts previously conducted by the CEC and the IOUs in this space</w:t>
            </w:r>
            <w:r w:rsidRPr="00391600" w:rsidR="001135A0">
              <w:rPr>
                <w:rFonts w:ascii="Palatino Linotype" w:hAnsi="Palatino Linotype"/>
                <w:color w:val="000000" w:themeColor="text1"/>
                <w:sz w:val="20"/>
                <w:szCs w:val="20"/>
              </w:rPr>
              <w:t>. The CEC</w:t>
            </w:r>
            <w:r w:rsidRPr="00391600">
              <w:rPr>
                <w:rFonts w:ascii="Palatino Linotype" w:hAnsi="Palatino Linotype"/>
                <w:color w:val="000000" w:themeColor="text1"/>
                <w:sz w:val="20"/>
                <w:szCs w:val="20"/>
              </w:rPr>
              <w:t xml:space="preserve"> demonstrates that this Initiative appropriately considers and leverages these efforts.</w:t>
            </w:r>
            <w:r w:rsidRPr="00391600">
              <w:rPr>
                <w:rFonts w:ascii="Palatino Linotype" w:hAnsi="Palatino Linotype"/>
                <w:b/>
                <w:color w:val="A6A6A6" w:themeColor="background1" w:themeShade="A6"/>
                <w:sz w:val="20"/>
                <w:szCs w:val="20"/>
              </w:rPr>
              <w:t xml:space="preserve"> </w:t>
            </w:r>
          </w:p>
          <w:p w:rsidRPr="00391600" w:rsidR="002F78F4" w:rsidP="00BB366A" w:rsidRDefault="002F78F4" w14:paraId="1FF04F91" w14:textId="05C19627">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  2.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demonstrates that this Initiative is coordinated with previous and ongoing efforts conducted by the CEC and the IOUs as well as activities associated with SB 1221.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w:t>
            </w:r>
            <w:r w:rsidRPr="00391600" w:rsidR="00075198">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continue to be proactive and specific in articulating these coordination efforts and consider </w:t>
            </w:r>
            <w:proofErr w:type="spellStart"/>
            <w:r w:rsidRPr="00391600">
              <w:rPr>
                <w:rFonts w:ascii="Palatino Linotype" w:hAnsi="Palatino Linotype"/>
                <w:bCs/>
                <w:color w:val="000000" w:themeColor="text1"/>
                <w:sz w:val="20"/>
                <w:szCs w:val="20"/>
              </w:rPr>
              <w:t>Biovind's</w:t>
            </w:r>
            <w:proofErr w:type="spellEnd"/>
            <w:r w:rsidRPr="00391600">
              <w:rPr>
                <w:rFonts w:ascii="Palatino Linotype" w:hAnsi="Palatino Linotype"/>
                <w:bCs/>
                <w:color w:val="000000" w:themeColor="text1"/>
                <w:sz w:val="20"/>
                <w:szCs w:val="20"/>
              </w:rPr>
              <w:t xml:space="preserve"> recommendations in the </w:t>
            </w:r>
            <w:r w:rsidRPr="00391600">
              <w:rPr>
                <w:rFonts w:ascii="Palatino Linotype" w:hAnsi="Palatino Linotype"/>
                <w:bCs/>
                <w:color w:val="000000" w:themeColor="text1"/>
                <w:sz w:val="20"/>
                <w:szCs w:val="20"/>
              </w:rPr>
              <w:lastRenderedPageBreak/>
              <w:t>solicitation phase of this Initiative.</w:t>
            </w:r>
          </w:p>
          <w:p w:rsidRPr="00391600" w:rsidR="002304B7" w:rsidP="00BB366A" w:rsidRDefault="002F78F4" w14:paraId="6443A118" w14:textId="364B5D57">
            <w:pPr>
              <w:rPr>
                <w:rFonts w:ascii="Palatino Linotype" w:hAnsi="Palatino Linotype"/>
                <w:bCs/>
                <w:color w:val="000000" w:themeColor="text1"/>
                <w:sz w:val="20"/>
                <w:szCs w:val="20"/>
              </w:rPr>
            </w:pPr>
            <w:r w:rsidRPr="00391600">
              <w:rPr>
                <w:rFonts w:ascii="Palatino Linotype" w:hAnsi="Palatino Linotype"/>
                <w:b/>
                <w:color w:val="A6A6A6" w:themeColor="background1" w:themeShade="A6"/>
                <w:sz w:val="20"/>
                <w:szCs w:val="20"/>
              </w:rPr>
              <w:t xml:space="preserve">  </w:t>
            </w:r>
            <w:r w:rsidRPr="00391600">
              <w:rPr>
                <w:rFonts w:ascii="Palatino Linotype" w:hAnsi="Palatino Linotype"/>
                <w:b/>
                <w:color w:val="000000" w:themeColor="text1"/>
                <w:sz w:val="20"/>
                <w:szCs w:val="20"/>
              </w:rPr>
              <w:t xml:space="preserve">3.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CEC appears to have</w:t>
            </w:r>
            <w:r w:rsidRPr="00391600" w:rsidR="00754BD5">
              <w:rPr>
                <w:rFonts w:ascii="Palatino Linotype" w:hAnsi="Palatino Linotype"/>
                <w:bCs/>
                <w:color w:val="000000" w:themeColor="text1"/>
                <w:sz w:val="20"/>
                <w:szCs w:val="20"/>
              </w:rPr>
              <w:t xml:space="preserve"> </w:t>
            </w:r>
            <w:r w:rsidRPr="00391600" w:rsidR="001135A0">
              <w:rPr>
                <w:rFonts w:ascii="Palatino Linotype" w:hAnsi="Palatino Linotype"/>
                <w:bCs/>
                <w:color w:val="000000" w:themeColor="text1"/>
                <w:sz w:val="20"/>
                <w:szCs w:val="20"/>
              </w:rPr>
              <w:t>demonstrate</w:t>
            </w:r>
            <w:r w:rsidRPr="00391600" w:rsidR="00754BD5">
              <w:rPr>
                <w:rFonts w:ascii="Palatino Linotype" w:hAnsi="Palatino Linotype"/>
                <w:bCs/>
                <w:color w:val="000000" w:themeColor="text1"/>
                <w:sz w:val="20"/>
                <w:szCs w:val="20"/>
              </w:rPr>
              <w:t>d</w:t>
            </w:r>
            <w:r w:rsidRPr="00391600">
              <w:rPr>
                <w:rFonts w:ascii="Palatino Linotype" w:hAnsi="Palatino Linotype"/>
                <w:bCs/>
                <w:color w:val="000000" w:themeColor="text1"/>
                <w:sz w:val="20"/>
                <w:szCs w:val="20"/>
              </w:rPr>
              <w:t xml:space="preserve"> engage</w:t>
            </w:r>
            <w:r w:rsidRPr="00391600" w:rsidR="001135A0">
              <w:rPr>
                <w:rFonts w:ascii="Palatino Linotype" w:hAnsi="Palatino Linotype"/>
                <w:bCs/>
                <w:color w:val="000000" w:themeColor="text1"/>
                <w:sz w:val="20"/>
                <w:szCs w:val="20"/>
              </w:rPr>
              <w:t>ment</w:t>
            </w:r>
            <w:r w:rsidRPr="00391600">
              <w:rPr>
                <w:rFonts w:ascii="Palatino Linotype" w:hAnsi="Palatino Linotype"/>
                <w:bCs/>
                <w:color w:val="000000" w:themeColor="text1"/>
                <w:sz w:val="20"/>
                <w:szCs w:val="20"/>
              </w:rPr>
              <w:t xml:space="preserve"> and </w:t>
            </w:r>
            <w:r w:rsidRPr="00391600" w:rsidR="001135A0">
              <w:rPr>
                <w:rFonts w:ascii="Palatino Linotype" w:hAnsi="Palatino Linotype"/>
                <w:bCs/>
                <w:color w:val="000000" w:themeColor="text1"/>
                <w:sz w:val="20"/>
                <w:szCs w:val="20"/>
              </w:rPr>
              <w:t xml:space="preserve">consideration of </w:t>
            </w:r>
            <w:r w:rsidRPr="00391600" w:rsidR="00433F7D">
              <w:rPr>
                <w:rFonts w:ascii="Palatino Linotype" w:hAnsi="Palatino Linotype"/>
                <w:bCs/>
                <w:color w:val="000000" w:themeColor="text1"/>
                <w:sz w:val="20"/>
                <w:szCs w:val="20"/>
              </w:rPr>
              <w:t>public</w:t>
            </w:r>
            <w:r w:rsidRPr="00391600">
              <w:rPr>
                <w:rFonts w:ascii="Palatino Linotype" w:hAnsi="Palatino Linotype"/>
                <w:bCs/>
                <w:color w:val="000000" w:themeColor="text1"/>
                <w:sz w:val="20"/>
                <w:szCs w:val="20"/>
              </w:rPr>
              <w:t xml:space="preserve"> concerns related to this Initiative</w:t>
            </w:r>
            <w:r w:rsidRPr="00391600" w:rsidR="00433F7D">
              <w:rPr>
                <w:rFonts w:ascii="Palatino Linotype" w:hAnsi="Palatino Linotype"/>
                <w:bCs/>
                <w:color w:val="000000" w:themeColor="text1"/>
                <w:sz w:val="20"/>
                <w:szCs w:val="20"/>
              </w:rPr>
              <w:t xml:space="preserve">. The CEC demonstrates </w:t>
            </w:r>
            <w:r w:rsidRPr="00391600">
              <w:rPr>
                <w:rFonts w:ascii="Palatino Linotype" w:hAnsi="Palatino Linotype"/>
                <w:bCs/>
                <w:color w:val="000000" w:themeColor="text1"/>
                <w:sz w:val="20"/>
                <w:szCs w:val="20"/>
              </w:rPr>
              <w:t>coordination with the IOUs, including by considering findings from related RD&amp;D conducted in California and other states.</w:t>
            </w:r>
            <w:r w:rsidRPr="00391600" w:rsidR="00162F5D">
              <w:rPr>
                <w:rFonts w:ascii="Palatino Linotype" w:hAnsi="Palatino Linotype"/>
                <w:bCs/>
                <w:color w:val="000000" w:themeColor="text1"/>
                <w:sz w:val="20"/>
                <w:szCs w:val="20"/>
              </w:rPr>
              <w:t xml:space="preserve"> </w:t>
            </w:r>
          </w:p>
          <w:p w:rsidRPr="00391600" w:rsidR="002F78F4" w:rsidP="00BB366A" w:rsidRDefault="002304B7" w14:paraId="05002347" w14:textId="2371EAA6">
            <w:pPr>
              <w:rPr>
                <w:rFonts w:ascii="Palatino Linotype" w:hAnsi="Palatino Linotype"/>
                <w:b/>
                <w:color w:val="000000" w:themeColor="text1"/>
                <w:sz w:val="20"/>
                <w:szCs w:val="20"/>
              </w:rPr>
            </w:pPr>
            <w:r w:rsidRPr="00391600">
              <w:rPr>
                <w:rFonts w:ascii="Palatino Linotype" w:hAnsi="Palatino Linotype"/>
                <w:b/>
                <w:sz w:val="20"/>
                <w:szCs w:val="20"/>
              </w:rPr>
              <w:t>The</w:t>
            </w:r>
            <w:r w:rsidRPr="00391600">
              <w:rPr>
                <w:rFonts w:ascii="Palatino Linotype" w:hAnsi="Palatino Linotype"/>
                <w:bCs/>
                <w:sz w:val="20"/>
                <w:szCs w:val="20"/>
              </w:rPr>
              <w:t xml:space="preserve"> </w:t>
            </w:r>
            <w:r w:rsidRPr="00391600" w:rsidR="002F78F4">
              <w:rPr>
                <w:rFonts w:ascii="Palatino Linotype" w:hAnsi="Palatino Linotype"/>
                <w:b/>
                <w:color w:val="000000" w:themeColor="text1"/>
                <w:sz w:val="20"/>
                <w:szCs w:val="20"/>
              </w:rPr>
              <w:t>CEC is</w:t>
            </w:r>
            <w:r w:rsidRPr="00391600" w:rsidR="002F78F4">
              <w:rPr>
                <w:rFonts w:ascii="Palatino Linotype" w:hAnsi="Palatino Linotype"/>
                <w:b/>
                <w:i/>
                <w:iCs/>
                <w:color w:val="000000" w:themeColor="text1"/>
                <w:sz w:val="20"/>
                <w:szCs w:val="20"/>
              </w:rPr>
              <w:t xml:space="preserve"> </w:t>
            </w:r>
            <w:r w:rsidRPr="00391600" w:rsidR="002F78F4">
              <w:rPr>
                <w:rFonts w:ascii="Palatino Linotype" w:hAnsi="Palatino Linotype"/>
                <w:b/>
                <w:color w:val="000000" w:themeColor="text1"/>
                <w:sz w:val="20"/>
                <w:szCs w:val="20"/>
              </w:rPr>
              <w:t>compliant with this requirement.</w:t>
            </w:r>
          </w:p>
          <w:p w:rsidRPr="00391600" w:rsidR="002F78F4" w:rsidP="00BB366A" w:rsidRDefault="002F78F4" w14:paraId="71561F6D" w14:textId="77777777">
            <w:pPr>
              <w:rPr>
                <w:rFonts w:ascii="Palatino Linotype" w:hAnsi="Palatino Linotype"/>
                <w:b/>
                <w:color w:val="A6A6A6" w:themeColor="background1" w:themeShade="A6"/>
                <w:sz w:val="20"/>
                <w:szCs w:val="20"/>
              </w:rPr>
            </w:pPr>
          </w:p>
        </w:tc>
      </w:tr>
      <w:tr w:rsidRPr="00391600" w:rsidR="002F78F4" w:rsidTr="6FAFEDE3" w14:paraId="2FE86676" w14:textId="77777777">
        <w:trPr>
          <w:trHeight w:val="241"/>
        </w:trPr>
        <w:tc>
          <w:tcPr>
            <w:tcW w:w="3145" w:type="dxa"/>
          </w:tcPr>
          <w:p w:rsidRPr="00391600" w:rsidR="002F78F4" w:rsidP="00BB366A" w:rsidRDefault="002F78F4" w14:paraId="7E666B15" w14:textId="77777777">
            <w:pPr>
              <w:rPr>
                <w:rFonts w:ascii="Palatino Linotype" w:hAnsi="Palatino Linotype"/>
                <w:b/>
                <w:sz w:val="20"/>
                <w:szCs w:val="20"/>
              </w:rPr>
            </w:pPr>
            <w:hyperlink w:history="1" r:id="rId122">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5. </w:t>
            </w:r>
            <w:r w:rsidRPr="00391600">
              <w:rPr>
                <w:rFonts w:ascii="Palatino Linotype" w:hAnsi="Palatino Linotype"/>
                <w:bCs/>
                <w:i/>
                <w:iCs/>
                <w:sz w:val="20"/>
                <w:szCs w:val="20"/>
              </w:rPr>
              <w:t>To ensure that research plans are coordinated, consistent, and aligned with CPUC policies and proceedings, the California Energy Commission shall coordinate with Energy Division and CPUC Staff in advance of commencing its plan.</w:t>
            </w:r>
          </w:p>
        </w:tc>
        <w:tc>
          <w:tcPr>
            <w:tcW w:w="7920" w:type="dxa"/>
          </w:tcPr>
          <w:p w:rsidRPr="00391600" w:rsidR="002F78F4" w:rsidP="00BB366A" w:rsidRDefault="2DFBABD3" w14:paraId="3A270941" w14:textId="2D53F8AE">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provides a Summary of Key Input Activities for the CEC Gas R&amp;D Program Grant Solicitation and Agreement Management Process at Figure 1,</w:t>
            </w:r>
            <w:r w:rsidRPr="00391600" w:rsidR="002F78F4">
              <w:rPr>
                <w:rStyle w:val="FootnoteReference"/>
                <w:rFonts w:ascii="Palatino Linotype" w:hAnsi="Palatino Linotype"/>
                <w:color w:val="000000" w:themeColor="text1"/>
                <w:sz w:val="20"/>
                <w:szCs w:val="20"/>
              </w:rPr>
              <w:footnoteReference w:id="314"/>
            </w:r>
            <w:r w:rsidRPr="00391600" w:rsidR="002F78F4">
              <w:rPr>
                <w:rFonts w:ascii="Palatino Linotype" w:hAnsi="Palatino Linotype"/>
                <w:color w:val="000000" w:themeColor="text1"/>
                <w:sz w:val="20"/>
                <w:szCs w:val="20"/>
              </w:rPr>
              <w:t xml:space="preserve"> including coordination with CPUC on Proposed and Final Research Initiatives.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details Coordination and Strategic Partnerships with CPUC, including specific meetings on its FY 2025-2026 Plan on the following dates:</w:t>
            </w:r>
            <w:r w:rsidRPr="00391600" w:rsidR="002F78F4">
              <w:rPr>
                <w:rStyle w:val="FootnoteReference"/>
                <w:rFonts w:ascii="Palatino Linotype" w:hAnsi="Palatino Linotype"/>
                <w:color w:val="000000" w:themeColor="text1"/>
                <w:sz w:val="20"/>
                <w:szCs w:val="20"/>
              </w:rPr>
              <w:footnoteReference w:id="315"/>
            </w:r>
            <w:r w:rsidRPr="00391600" w:rsidR="002F78F4">
              <w:rPr>
                <w:rFonts w:ascii="Palatino Linotype" w:hAnsi="Palatino Linotype"/>
                <w:color w:val="000000" w:themeColor="text1"/>
                <w:sz w:val="20"/>
                <w:szCs w:val="20"/>
              </w:rPr>
              <w:t xml:space="preserve"> </w:t>
            </w:r>
          </w:p>
          <w:p w:rsidRPr="00391600" w:rsidR="002F78F4" w:rsidP="003B475F" w:rsidRDefault="002F78F4" w14:paraId="069AC993" w14:textId="77777777">
            <w:pPr>
              <w:pStyle w:val="ListParagraph"/>
              <w:numPr>
                <w:ilvl w:val="0"/>
                <w:numId w:val="2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July 24, 2024: First briefing soliciting early and ongoing feedback.</w:t>
            </w:r>
          </w:p>
          <w:p w:rsidRPr="00391600" w:rsidR="002F78F4" w:rsidP="003B475F" w:rsidRDefault="002F78F4" w14:paraId="7B33C066" w14:textId="77777777">
            <w:pPr>
              <w:pStyle w:val="ListParagraph"/>
              <w:numPr>
                <w:ilvl w:val="0"/>
                <w:numId w:val="2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August 27 and October 29, 2024: Subsequent updates provided during monthly CEC-CPUC Gas R&amp;D Working Group meetings.</w:t>
            </w:r>
          </w:p>
          <w:p w:rsidRPr="00391600" w:rsidR="002F78F4" w:rsidP="003B475F" w:rsidRDefault="002F78F4" w14:paraId="0B690B82" w14:textId="77777777">
            <w:pPr>
              <w:pStyle w:val="ListParagraph"/>
              <w:numPr>
                <w:ilvl w:val="0"/>
                <w:numId w:val="28"/>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September 9 and November 22, 2024: Additional coordination via Initiative-specific meetings.</w:t>
            </w:r>
          </w:p>
          <w:p w:rsidRPr="00391600" w:rsidR="002F78F4" w:rsidP="00BB366A" w:rsidRDefault="2DFBABD3" w14:paraId="57EB36D8" w14:textId="2E25C056">
            <w:pPr>
              <w:rPr>
                <w:rFonts w:ascii="Palatino Linotype" w:hAnsi="Palatino Linotype"/>
                <w:bCs/>
                <w:color w:val="000000" w:themeColor="text1"/>
                <w:sz w:val="20"/>
                <w:szCs w:val="20"/>
              </w:rPr>
            </w:pP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CEC states that “[b]</w:t>
            </w:r>
            <w:proofErr w:type="spellStart"/>
            <w:r w:rsidRPr="00391600" w:rsidR="002F78F4">
              <w:rPr>
                <w:rFonts w:ascii="Palatino Linotype" w:hAnsi="Palatino Linotype"/>
                <w:color w:val="000000" w:themeColor="text1"/>
                <w:sz w:val="20"/>
                <w:szCs w:val="20"/>
              </w:rPr>
              <w:t>ased</w:t>
            </w:r>
            <w:proofErr w:type="spellEnd"/>
            <w:r w:rsidRPr="00391600" w:rsidR="002F78F4">
              <w:rPr>
                <w:rFonts w:ascii="Palatino Linotype" w:hAnsi="Palatino Linotype"/>
                <w:color w:val="000000" w:themeColor="text1"/>
                <w:sz w:val="20"/>
                <w:szCs w:val="20"/>
              </w:rPr>
              <w:t xml:space="preserve"> on feedback received throughout this process, CEC staff elected to exclude a previously proposed initiative on Scaling Technology to Decarbonize California’s Gas Sector in the FY 2025-2026 Budget Plan and redirected the associated funds.”</w:t>
            </w:r>
            <w:r w:rsidRPr="00391600" w:rsidR="002F78F4">
              <w:rPr>
                <w:rStyle w:val="FootnoteReference"/>
                <w:rFonts w:ascii="Palatino Linotype" w:hAnsi="Palatino Linotype"/>
                <w:color w:val="000000" w:themeColor="text1"/>
                <w:sz w:val="20"/>
                <w:szCs w:val="20"/>
              </w:rPr>
              <w:footnoteReference w:id="316"/>
            </w:r>
            <w:r w:rsidRPr="00391600" w:rsidR="002F78F4">
              <w:rPr>
                <w:rFonts w:ascii="Palatino Linotype" w:hAnsi="Palatino Linotype"/>
                <w:color w:val="000000" w:themeColor="text1"/>
                <w:sz w:val="20"/>
                <w:szCs w:val="20"/>
              </w:rPr>
              <w:t xml:space="preserve"> </w:t>
            </w:r>
            <w:r w:rsidRPr="00391600">
              <w:rPr>
                <w:rFonts w:ascii="Palatino Linotype" w:hAnsi="Palatino Linotype"/>
                <w:sz w:val="20"/>
                <w:szCs w:val="20"/>
              </w:rPr>
              <w:t xml:space="preserve">The </w:t>
            </w:r>
            <w:r w:rsidRPr="00391600" w:rsidR="002F78F4">
              <w:rPr>
                <w:rFonts w:ascii="Palatino Linotype" w:hAnsi="Palatino Linotype"/>
                <w:color w:val="000000" w:themeColor="text1"/>
                <w:sz w:val="20"/>
                <w:szCs w:val="20"/>
              </w:rPr>
              <w:t xml:space="preserve">CEC also includes a list of Policies Supported by FY 2025-2026 Gas R&amp;D Program Initiative Themes at Appendix A and information on Roadmaps and Long-Term Strategies, representing “types of planning mechanisms </w:t>
            </w:r>
            <w:r w:rsidRPr="00391600" w:rsidR="002F78F4">
              <w:rPr>
                <w:rFonts w:ascii="Palatino Linotype" w:hAnsi="Palatino Linotype"/>
                <w:color w:val="000000" w:themeColor="text1"/>
                <w:sz w:val="20"/>
                <w:szCs w:val="20"/>
              </w:rPr>
              <w:lastRenderedPageBreak/>
              <w:t>and prioritization tools that help establish a clear link between research and energy policy goals”.</w:t>
            </w:r>
            <w:r w:rsidRPr="00391600" w:rsidR="002F78F4">
              <w:rPr>
                <w:rStyle w:val="FootnoteReference"/>
                <w:rFonts w:ascii="Palatino Linotype" w:hAnsi="Palatino Linotype"/>
                <w:color w:val="000000" w:themeColor="text1"/>
                <w:sz w:val="20"/>
                <w:szCs w:val="20"/>
              </w:rPr>
              <w:footnoteReference w:id="317"/>
            </w:r>
          </w:p>
          <w:p w:rsidRPr="00391600" w:rsidR="002F78F4" w:rsidP="00591B27" w:rsidRDefault="002F78F4" w14:paraId="75A3D448" w14:textId="73F9113F">
            <w:pPr>
              <w:spacing w:before="240"/>
              <w:rPr>
                <w:rFonts w:ascii="Palatino Linotype" w:hAnsi="Palatino Linotype"/>
                <w:bCs/>
                <w:color w:val="000000" w:themeColor="text1"/>
                <w:sz w:val="20"/>
                <w:szCs w:val="20"/>
              </w:rPr>
            </w:pPr>
            <w:r w:rsidRPr="00391600">
              <w:rPr>
                <w:rFonts w:ascii="Palatino Linotype" w:hAnsi="Palatino Linotype"/>
                <w:color w:val="000000" w:themeColor="text1"/>
                <w:sz w:val="20"/>
                <w:szCs w:val="20"/>
              </w:rPr>
              <w:t xml:space="preserve">In Appendix D, </w:t>
            </w:r>
            <w:r w:rsidRPr="00391600" w:rsidR="2DFBABD3">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includes CPUC Subject Matter Expert Feedback provided December 23, 2025, and CEC Responses:</w:t>
            </w:r>
            <w:r w:rsidRPr="00391600">
              <w:rPr>
                <w:rStyle w:val="FootnoteReference"/>
                <w:rFonts w:ascii="Palatino Linotype" w:hAnsi="Palatino Linotype"/>
                <w:color w:val="000000" w:themeColor="text1"/>
                <w:sz w:val="20"/>
                <w:szCs w:val="20"/>
              </w:rPr>
              <w:footnoteReference w:id="318"/>
            </w:r>
          </w:p>
          <w:p w:rsidRPr="00391600" w:rsidR="002F78F4" w:rsidP="00BB366A" w:rsidRDefault="002F78F4" w14:paraId="2913C9DD" w14:textId="250CCC3D">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1.</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Social Science Research for Gas Decommissioning in the Mid and Long Term</w:t>
            </w:r>
            <w:r w:rsidRPr="00391600">
              <w:rPr>
                <w:rFonts w:ascii="Palatino Linotype" w:hAnsi="Palatino Linotype"/>
                <w:color w:val="000000" w:themeColor="text1"/>
                <w:sz w:val="20"/>
                <w:szCs w:val="20"/>
              </w:rPr>
              <w:t>:</w:t>
            </w:r>
            <w:r w:rsidRPr="00391600">
              <w:rPr>
                <w:rStyle w:val="FootnoteReference"/>
                <w:rFonts w:ascii="Palatino Linotype" w:hAnsi="Palatino Linotype"/>
                <w:color w:val="000000" w:themeColor="text1"/>
                <w:sz w:val="20"/>
                <w:szCs w:val="20"/>
              </w:rPr>
              <w:footnoteReference w:id="319"/>
            </w:r>
            <w:r w:rsidRPr="00391600">
              <w:rPr>
                <w:rFonts w:ascii="Palatino Linotype" w:hAnsi="Palatino Linotype"/>
                <w:color w:val="000000" w:themeColor="text1"/>
                <w:sz w:val="20"/>
                <w:szCs w:val="20"/>
              </w:rPr>
              <w:t xml:space="preserve"> </w:t>
            </w:r>
            <w:r w:rsidRPr="00391600" w:rsidR="2DFBABD3">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also states that this "initiative responds to key needs identified in state processes and studies", including "CPUC’s Long-Term Gas Planning Rulemaking (R.20-01-007 and R.24-09-012) documents, which point to the need to align gas planning and electric system planning, as well as to manage impacts on 'transition-vulnerable' customers." </w:t>
            </w:r>
            <w:r w:rsidRPr="00391600" w:rsidR="2196B7AB">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states that this Initiative targets needs discussed in conversations with CPUC staff, who "identified information gaps such as understanding gas customer attitudes toward electrification of cooking and other end uses, supply chain limitations for heat pumps and other barriers to electrification faced by these customers, and the impacts of gas use electrification on peak loads." </w:t>
            </w:r>
          </w:p>
          <w:p w:rsidRPr="00391600" w:rsidR="002F78F4" w:rsidP="00BB366A" w:rsidRDefault="002F78F4" w14:paraId="7733F8ED" w14:textId="0EBDB498">
            <w:pPr>
              <w:rPr>
                <w:rFonts w:ascii="Palatino Linotype" w:hAnsi="Palatino Linotype"/>
                <w:bCs/>
                <w:color w:val="A6A6A6" w:themeColor="background1" w:themeShade="A6"/>
                <w:sz w:val="20"/>
                <w:szCs w:val="20"/>
              </w:rPr>
            </w:pPr>
            <w:r w:rsidRPr="00391600">
              <w:rPr>
                <w:rFonts w:ascii="Palatino Linotype" w:hAnsi="Palatino Linotype"/>
                <w:b/>
                <w:bCs/>
                <w:color w:val="A6A6A6" w:themeColor="background1" w:themeShade="A6"/>
                <w:sz w:val="20"/>
                <w:szCs w:val="20"/>
              </w:rPr>
              <w:t xml:space="preserve">    </w:t>
            </w:r>
            <w:r w:rsidRPr="00391600">
              <w:rPr>
                <w:rFonts w:ascii="Palatino Linotype" w:hAnsi="Palatino Linotype"/>
                <w:b/>
                <w:bCs/>
                <w:color w:val="000000" w:themeColor="text1"/>
                <w:sz w:val="20"/>
                <w:szCs w:val="20"/>
              </w:rPr>
              <w:t>2.</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Pilot Projects to Advance Gas Decommissioning</w:t>
            </w:r>
            <w:r w:rsidRPr="00391600">
              <w:rPr>
                <w:rFonts w:ascii="Palatino Linotype" w:hAnsi="Palatino Linotype"/>
                <w:color w:val="000000" w:themeColor="text1"/>
                <w:sz w:val="20"/>
                <w:szCs w:val="20"/>
              </w:rPr>
              <w:t xml:space="preserve">: </w:t>
            </w:r>
            <w:r w:rsidRPr="00391600" w:rsidR="2196B7AB">
              <w:rPr>
                <w:rFonts w:ascii="Palatino Linotype" w:hAnsi="Palatino Linotype"/>
                <w:sz w:val="20"/>
                <w:szCs w:val="20"/>
              </w:rPr>
              <w:t xml:space="preserve">The </w:t>
            </w:r>
            <w:r w:rsidRPr="00391600">
              <w:rPr>
                <w:rFonts w:ascii="Palatino Linotype" w:hAnsi="Palatino Linotype"/>
                <w:color w:val="000000" w:themeColor="text1"/>
                <w:sz w:val="20"/>
                <w:szCs w:val="20"/>
              </w:rPr>
              <w:t>CEC reports that CPUC staff recommended increasing funding allocated to this Initiative to meet objectives;</w:t>
            </w:r>
            <w:r w:rsidRPr="00391600">
              <w:rPr>
                <w:rStyle w:val="FootnoteReference"/>
                <w:rFonts w:ascii="Palatino Linotype" w:hAnsi="Palatino Linotype"/>
                <w:color w:val="000000" w:themeColor="text1"/>
                <w:sz w:val="20"/>
                <w:szCs w:val="20"/>
              </w:rPr>
              <w:footnoteReference w:id="320"/>
            </w:r>
            <w:r w:rsidRPr="00391600">
              <w:rPr>
                <w:rFonts w:ascii="Palatino Linotype" w:hAnsi="Palatino Linotype"/>
                <w:color w:val="000000" w:themeColor="text1"/>
                <w:sz w:val="20"/>
                <w:szCs w:val="20"/>
              </w:rPr>
              <w:t xml:space="preserve"> </w:t>
            </w:r>
            <w:r w:rsidRPr="00391600" w:rsidR="2196B7AB">
              <w:rPr>
                <w:rFonts w:ascii="Palatino Linotype" w:hAnsi="Palatino Linotype"/>
                <w:color w:val="000000" w:themeColor="text1"/>
                <w:sz w:val="20"/>
                <w:szCs w:val="20"/>
              </w:rPr>
              <w:t xml:space="preserve">the </w:t>
            </w:r>
            <w:r w:rsidRPr="00391600">
              <w:rPr>
                <w:rFonts w:ascii="Palatino Linotype" w:hAnsi="Palatino Linotype"/>
                <w:color w:val="000000" w:themeColor="text1"/>
                <w:sz w:val="20"/>
                <w:szCs w:val="20"/>
              </w:rPr>
              <w:t>CEC increased funding allocated to this Initiative when removing the Scaling Technology Alternatives to Gas (STAG) Initiative.</w:t>
            </w:r>
          </w:p>
          <w:p w:rsidRPr="00391600" w:rsidR="002F78F4" w:rsidP="00EB64CC" w:rsidRDefault="002F78F4" w14:paraId="1FE18D8B" w14:textId="1EC5E6B7">
            <w:pPr>
              <w:rPr>
                <w:rFonts w:ascii="Palatino Linotype" w:hAnsi="Palatino Linotype"/>
                <w:bCs/>
                <w:color w:val="000000" w:themeColor="text1"/>
                <w:sz w:val="20"/>
                <w:szCs w:val="20"/>
              </w:rPr>
            </w:pPr>
            <w:r w:rsidRPr="00391600">
              <w:rPr>
                <w:rFonts w:ascii="Palatino Linotype" w:hAnsi="Palatino Linotype"/>
                <w:b/>
                <w:bCs/>
                <w:color w:val="000000" w:themeColor="text1"/>
                <w:sz w:val="20"/>
                <w:szCs w:val="20"/>
              </w:rPr>
              <w:t xml:space="preserve">    3.</w:t>
            </w:r>
            <w:r w:rsidRPr="00391600">
              <w:rPr>
                <w:rFonts w:ascii="Palatino Linotype" w:hAnsi="Palatino Linotype"/>
                <w:color w:val="000000" w:themeColor="text1"/>
                <w:sz w:val="20"/>
                <w:szCs w:val="20"/>
              </w:rPr>
              <w:t xml:space="preserve"> </w:t>
            </w:r>
            <w:r w:rsidRPr="00391600">
              <w:rPr>
                <w:rFonts w:ascii="Palatino Linotype" w:hAnsi="Palatino Linotype"/>
                <w:color w:val="000000" w:themeColor="text1"/>
                <w:sz w:val="20"/>
                <w:szCs w:val="20"/>
                <w:u w:val="single"/>
              </w:rPr>
              <w:t>Networked Geothermal Heat Pumps</w:t>
            </w:r>
            <w:r w:rsidRPr="00391600">
              <w:rPr>
                <w:rFonts w:ascii="Palatino Linotype" w:hAnsi="Palatino Linotype"/>
                <w:color w:val="000000" w:themeColor="text1"/>
                <w:sz w:val="20"/>
                <w:szCs w:val="20"/>
              </w:rPr>
              <w:t xml:space="preserve">: </w:t>
            </w:r>
            <w:r w:rsidRPr="00391600" w:rsidR="2196B7AB">
              <w:rPr>
                <w:rFonts w:ascii="Palatino Linotype" w:hAnsi="Palatino Linotype"/>
                <w:sz w:val="20"/>
                <w:szCs w:val="20"/>
              </w:rPr>
              <w:t xml:space="preserve">The </w:t>
            </w:r>
            <w:r w:rsidRPr="00391600">
              <w:rPr>
                <w:rFonts w:ascii="Palatino Linotype" w:hAnsi="Palatino Linotype"/>
                <w:color w:val="000000" w:themeColor="text1"/>
                <w:sz w:val="20"/>
                <w:szCs w:val="20"/>
              </w:rPr>
              <w:t xml:space="preserve">CEC will consider how networked geothermal technology </w:t>
            </w:r>
            <w:proofErr w:type="gramStart"/>
            <w:r w:rsidRPr="00391600">
              <w:rPr>
                <w:rFonts w:ascii="Palatino Linotype" w:hAnsi="Palatino Linotype"/>
                <w:color w:val="000000" w:themeColor="text1"/>
                <w:sz w:val="20"/>
                <w:szCs w:val="20"/>
              </w:rPr>
              <w:t>being</w:t>
            </w:r>
            <w:proofErr w:type="gramEnd"/>
            <w:r w:rsidRPr="00391600">
              <w:rPr>
                <w:rFonts w:ascii="Palatino Linotype" w:hAnsi="Palatino Linotype"/>
                <w:color w:val="000000" w:themeColor="text1"/>
                <w:sz w:val="20"/>
                <w:szCs w:val="20"/>
              </w:rPr>
              <w:t xml:space="preserve"> studied and deployed in other states, including the first utility-scale networked geothermal system pilot being commissioned in Massachusetts in June 2024.</w:t>
            </w:r>
            <w:r w:rsidRPr="00391600">
              <w:rPr>
                <w:rStyle w:val="FootnoteReference"/>
                <w:rFonts w:ascii="Palatino Linotype" w:hAnsi="Palatino Linotype"/>
                <w:color w:val="000000" w:themeColor="text1"/>
                <w:sz w:val="20"/>
                <w:szCs w:val="20"/>
              </w:rPr>
              <w:footnoteReference w:id="321"/>
            </w:r>
          </w:p>
        </w:tc>
        <w:tc>
          <w:tcPr>
            <w:tcW w:w="3240" w:type="dxa"/>
          </w:tcPr>
          <w:p w:rsidRPr="00391600" w:rsidR="002F78F4" w:rsidP="00BB366A" w:rsidRDefault="002F78F4" w14:paraId="2AFFC146" w14:textId="0977F312">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lastRenderedPageBreak/>
              <w:t xml:space="preserve">    1</w:t>
            </w:r>
            <w:r w:rsidRPr="00391600">
              <w:rPr>
                <w:rFonts w:ascii="Palatino Linotype" w:hAnsi="Palatino Linotype"/>
                <w:bCs/>
                <w:color w:val="000000" w:themeColor="text1"/>
                <w:sz w:val="20"/>
                <w:szCs w:val="20"/>
              </w:rPr>
              <w:t xml:space="preserve">.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CEC demonstrates that it has reflected CPUC staff feedback in this Initiative and aligned with CPUC proceedings.</w:t>
            </w:r>
          </w:p>
          <w:p w:rsidRPr="00391600" w:rsidR="002F78F4" w:rsidP="00BB366A" w:rsidRDefault="002F78F4" w14:paraId="30A6619D" w14:textId="21257492">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demonstrates that it has reflected CPUC staff feedback in this Initiative and aligned with CPUC proceedings, however, </w:t>
            </w:r>
            <w:r w:rsidRPr="00391600" w:rsidR="002304B7">
              <w:rPr>
                <w:rFonts w:ascii="Palatino Linotype" w:hAnsi="Palatino Linotype"/>
                <w:bCs/>
                <w:color w:val="000000" w:themeColor="text1"/>
                <w:sz w:val="20"/>
                <w:szCs w:val="20"/>
              </w:rPr>
              <w:t xml:space="preserve">the </w:t>
            </w:r>
            <w:r w:rsidRPr="00391600">
              <w:rPr>
                <w:rFonts w:ascii="Palatino Linotype" w:hAnsi="Palatino Linotype"/>
                <w:bCs/>
                <w:color w:val="000000" w:themeColor="text1"/>
                <w:sz w:val="20"/>
                <w:szCs w:val="20"/>
              </w:rPr>
              <w:t xml:space="preserve">CEC </w:t>
            </w:r>
            <w:r w:rsidRPr="00391600" w:rsidR="00075198">
              <w:rPr>
                <w:rFonts w:ascii="Palatino Linotype" w:hAnsi="Palatino Linotype"/>
                <w:bCs/>
                <w:color w:val="000000" w:themeColor="text1"/>
                <w:sz w:val="20"/>
                <w:szCs w:val="20"/>
              </w:rPr>
              <w:t>must</w:t>
            </w:r>
            <w:r w:rsidRPr="00391600">
              <w:rPr>
                <w:rFonts w:ascii="Palatino Linotype" w:hAnsi="Palatino Linotype"/>
                <w:bCs/>
                <w:color w:val="000000" w:themeColor="text1"/>
                <w:sz w:val="20"/>
                <w:szCs w:val="20"/>
              </w:rPr>
              <w:t xml:space="preserve"> strive to provide greater clarity on the scale and composition of Initiative outputs, such as the number of projects anticipated to be delivered with a given amount of funding.</w:t>
            </w:r>
          </w:p>
          <w:p w:rsidRPr="00391600" w:rsidR="002F78F4" w:rsidP="00BB366A" w:rsidRDefault="002F78F4" w14:paraId="79FB8CF0" w14:textId="0E00D523">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3</w:t>
            </w:r>
            <w:r w:rsidRPr="00391600">
              <w:rPr>
                <w:rFonts w:ascii="Palatino Linotype" w:hAnsi="Palatino Linotype"/>
                <w:bCs/>
                <w:color w:val="000000" w:themeColor="text1"/>
                <w:sz w:val="20"/>
                <w:szCs w:val="20"/>
              </w:rPr>
              <w:t xml:space="preserve">. </w:t>
            </w:r>
            <w:r w:rsidRPr="00391600" w:rsidR="002304B7">
              <w:rPr>
                <w:rFonts w:ascii="Palatino Linotype" w:hAnsi="Palatino Linotype"/>
                <w:bCs/>
                <w:sz w:val="20"/>
                <w:szCs w:val="20"/>
              </w:rPr>
              <w:t xml:space="preserve">The </w:t>
            </w:r>
            <w:r w:rsidRPr="00391600">
              <w:rPr>
                <w:rFonts w:ascii="Palatino Linotype" w:hAnsi="Palatino Linotype"/>
                <w:bCs/>
                <w:color w:val="000000" w:themeColor="text1"/>
                <w:sz w:val="20"/>
                <w:szCs w:val="20"/>
              </w:rPr>
              <w:t xml:space="preserve">CEC </w:t>
            </w:r>
            <w:r w:rsidRPr="00391600" w:rsidR="00765AE7">
              <w:rPr>
                <w:rFonts w:ascii="Palatino Linotype" w:hAnsi="Palatino Linotype"/>
                <w:bCs/>
                <w:color w:val="000000" w:themeColor="text1"/>
                <w:sz w:val="20"/>
                <w:szCs w:val="20"/>
              </w:rPr>
              <w:t>includes</w:t>
            </w:r>
            <w:r w:rsidRPr="00391600">
              <w:rPr>
                <w:rFonts w:ascii="Palatino Linotype" w:hAnsi="Palatino Linotype"/>
                <w:bCs/>
                <w:color w:val="000000" w:themeColor="text1"/>
                <w:sz w:val="20"/>
                <w:szCs w:val="20"/>
              </w:rPr>
              <w:t xml:space="preserve"> </w:t>
            </w:r>
            <w:r w:rsidRPr="00391600" w:rsidR="004F26C4">
              <w:rPr>
                <w:rFonts w:ascii="Palatino Linotype" w:hAnsi="Palatino Linotype"/>
                <w:bCs/>
                <w:color w:val="000000" w:themeColor="text1"/>
                <w:sz w:val="20"/>
                <w:szCs w:val="20"/>
              </w:rPr>
              <w:t xml:space="preserve">consideration of </w:t>
            </w:r>
            <w:r w:rsidRPr="00391600">
              <w:rPr>
                <w:rFonts w:ascii="Palatino Linotype" w:hAnsi="Palatino Linotype"/>
                <w:bCs/>
                <w:color w:val="000000" w:themeColor="text1"/>
                <w:sz w:val="20"/>
                <w:szCs w:val="20"/>
              </w:rPr>
              <w:t xml:space="preserve">findings from related RD&amp;D conducted in </w:t>
            </w:r>
            <w:r w:rsidRPr="00391600">
              <w:rPr>
                <w:rFonts w:ascii="Palatino Linotype" w:hAnsi="Palatino Linotype"/>
                <w:bCs/>
                <w:color w:val="000000" w:themeColor="text1"/>
                <w:sz w:val="20"/>
                <w:szCs w:val="20"/>
              </w:rPr>
              <w:lastRenderedPageBreak/>
              <w:t>California and other states</w:t>
            </w:r>
            <w:r w:rsidRPr="00391600" w:rsidR="004F26C4">
              <w:rPr>
                <w:rFonts w:ascii="Palatino Linotype" w:hAnsi="Palatino Linotype"/>
                <w:bCs/>
                <w:color w:val="000000" w:themeColor="text1"/>
                <w:sz w:val="20"/>
                <w:szCs w:val="20"/>
              </w:rPr>
              <w:t>,</w:t>
            </w:r>
            <w:r w:rsidRPr="00391600">
              <w:rPr>
                <w:rFonts w:ascii="Palatino Linotype" w:hAnsi="Palatino Linotype"/>
                <w:bCs/>
                <w:color w:val="000000" w:themeColor="text1"/>
                <w:sz w:val="20"/>
                <w:szCs w:val="20"/>
              </w:rPr>
              <w:t xml:space="preserve"> </w:t>
            </w:r>
            <w:r w:rsidRPr="00391600" w:rsidR="004F26C4">
              <w:rPr>
                <w:rFonts w:ascii="Palatino Linotype" w:hAnsi="Palatino Linotype"/>
                <w:bCs/>
                <w:color w:val="000000" w:themeColor="text1"/>
                <w:sz w:val="20"/>
                <w:szCs w:val="20"/>
              </w:rPr>
              <w:t xml:space="preserve">aligning </w:t>
            </w:r>
            <w:r w:rsidRPr="00391600">
              <w:rPr>
                <w:rFonts w:ascii="Palatino Linotype" w:hAnsi="Palatino Linotype"/>
                <w:bCs/>
                <w:color w:val="000000" w:themeColor="text1"/>
                <w:sz w:val="20"/>
                <w:szCs w:val="20"/>
              </w:rPr>
              <w:t>with CPUC staff feedback.</w:t>
            </w:r>
          </w:p>
          <w:p w:rsidRPr="00391600" w:rsidR="002F78F4" w:rsidP="00BB366A" w:rsidRDefault="002304B7" w14:paraId="425AC946" w14:textId="7EA38599">
            <w:pPr>
              <w:rPr>
                <w:rFonts w:ascii="Palatino Linotype" w:hAnsi="Palatino Linotype"/>
                <w:b/>
                <w:color w:val="000000" w:themeColor="text1"/>
                <w:sz w:val="20"/>
                <w:szCs w:val="20"/>
              </w:rPr>
            </w:pPr>
            <w:r w:rsidRPr="00391600">
              <w:rPr>
                <w:rFonts w:ascii="Palatino Linotype" w:hAnsi="Palatino Linotype"/>
                <w:b/>
                <w:color w:val="000000" w:themeColor="text1"/>
                <w:sz w:val="20"/>
                <w:szCs w:val="20"/>
              </w:rPr>
              <w:t xml:space="preserve">The </w:t>
            </w:r>
            <w:r w:rsidRPr="00391600" w:rsidR="002F78F4">
              <w:rPr>
                <w:rFonts w:ascii="Palatino Linotype" w:hAnsi="Palatino Linotype"/>
                <w:b/>
                <w:color w:val="000000" w:themeColor="text1"/>
                <w:sz w:val="20"/>
                <w:szCs w:val="20"/>
              </w:rPr>
              <w:t>CEC is compliant with this requirement.</w:t>
            </w:r>
          </w:p>
        </w:tc>
      </w:tr>
      <w:tr w:rsidRPr="00391600" w:rsidR="002F78F4" w:rsidTr="6FAFEDE3" w14:paraId="53D0DE52" w14:textId="77777777">
        <w:trPr>
          <w:trHeight w:val="638"/>
        </w:trPr>
        <w:tc>
          <w:tcPr>
            <w:tcW w:w="3145" w:type="dxa"/>
          </w:tcPr>
          <w:p w:rsidRPr="00391600" w:rsidR="002F78F4" w:rsidP="00BB366A" w:rsidRDefault="002F78F4" w14:paraId="01AF8327" w14:textId="77777777">
            <w:pPr>
              <w:rPr>
                <w:rFonts w:ascii="Palatino Linotype" w:hAnsi="Palatino Linotype"/>
                <w:b/>
                <w:sz w:val="20"/>
                <w:szCs w:val="20"/>
              </w:rPr>
            </w:pPr>
            <w:hyperlink w:history="1" r:id="rId123">
              <w:r w:rsidRPr="00391600">
                <w:rPr>
                  <w:rStyle w:val="Hyperlink"/>
                  <w:rFonts w:ascii="Palatino Linotype" w:hAnsi="Palatino Linotype"/>
                  <w:b/>
                  <w:sz w:val="20"/>
                  <w:szCs w:val="20"/>
                </w:rPr>
                <w:t>Resolution G-3603</w:t>
              </w:r>
            </w:hyperlink>
            <w:r w:rsidRPr="00391600">
              <w:rPr>
                <w:rFonts w:ascii="Palatino Linotype" w:hAnsi="Palatino Linotype"/>
                <w:b/>
                <w:sz w:val="20"/>
                <w:szCs w:val="20"/>
              </w:rPr>
              <w:t xml:space="preserve"> </w:t>
            </w:r>
            <w:r w:rsidRPr="00391600">
              <w:rPr>
                <w:rFonts w:ascii="Palatino Linotype" w:hAnsi="Palatino Linotype"/>
                <w:bCs/>
                <w:sz w:val="20"/>
                <w:szCs w:val="20"/>
              </w:rPr>
              <w:t xml:space="preserve">(2024) at OP 6. </w:t>
            </w:r>
            <w:r w:rsidRPr="00391600">
              <w:rPr>
                <w:rFonts w:ascii="Palatino Linotype" w:hAnsi="Palatino Linotype"/>
                <w:bCs/>
                <w:i/>
                <w:iCs/>
                <w:sz w:val="20"/>
                <w:szCs w:val="20"/>
              </w:rPr>
              <w:t xml:space="preserve">Once the Electric Program Investment Charge (EPIC) </w:t>
            </w:r>
            <w:r w:rsidRPr="00391600">
              <w:rPr>
                <w:rFonts w:ascii="Palatino Linotype" w:hAnsi="Palatino Linotype"/>
                <w:bCs/>
                <w:i/>
                <w:iCs/>
                <w:sz w:val="20"/>
                <w:szCs w:val="20"/>
              </w:rPr>
              <w:lastRenderedPageBreak/>
              <w:t>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tc>
        <w:tc>
          <w:tcPr>
            <w:tcW w:w="7920" w:type="dxa"/>
          </w:tcPr>
          <w:p w:rsidRPr="00391600" w:rsidR="002F78F4" w:rsidP="00BB366A" w:rsidRDefault="2196B7AB" w14:paraId="4547312E" w14:textId="4CD612EF">
            <w:pPr>
              <w:pStyle w:val="10sp0"/>
              <w:spacing w:after="0"/>
              <w:rPr>
                <w:rFonts w:ascii="Palatino Linotype" w:hAnsi="Palatino Linotype"/>
                <w:bCs/>
                <w:color w:val="000000" w:themeColor="text1"/>
                <w:sz w:val="20"/>
              </w:rPr>
            </w:pPr>
            <w:r w:rsidRPr="00391600">
              <w:rPr>
                <w:rFonts w:ascii="Palatino Linotype" w:hAnsi="Palatino Linotype"/>
                <w:sz w:val="20"/>
              </w:rPr>
              <w:lastRenderedPageBreak/>
              <w:t xml:space="preserve">The </w:t>
            </w:r>
            <w:r w:rsidRPr="00391600" w:rsidR="002F78F4">
              <w:rPr>
                <w:rFonts w:ascii="Palatino Linotype" w:hAnsi="Palatino Linotype"/>
                <w:color w:val="000000" w:themeColor="text1"/>
                <w:sz w:val="20"/>
              </w:rPr>
              <w:t>CEC describes how its “current processes align with these principles in several ways, and impact assessment occurs throughout the Gas R&amp;D Program administration process” in its Foundational Principles for Uniform Impact Analysis section.</w:t>
            </w:r>
            <w:r w:rsidRPr="00391600" w:rsidR="002F78F4">
              <w:rPr>
                <w:rStyle w:val="FootnoteReference"/>
                <w:rFonts w:ascii="Palatino Linotype" w:hAnsi="Palatino Linotype"/>
                <w:color w:val="000000" w:themeColor="text1"/>
                <w:sz w:val="20"/>
              </w:rPr>
              <w:footnoteReference w:id="322"/>
            </w:r>
            <w:r w:rsidRPr="00391600" w:rsidR="002F78F4">
              <w:rPr>
                <w:rFonts w:ascii="Palatino Linotype" w:hAnsi="Palatino Linotype"/>
                <w:color w:val="000000" w:themeColor="text1"/>
                <w:sz w:val="20"/>
              </w:rPr>
              <w:t xml:space="preserve"> </w:t>
            </w:r>
            <w:r w:rsidRPr="00391600">
              <w:rPr>
                <w:rFonts w:ascii="Palatino Linotype" w:hAnsi="Palatino Linotype"/>
                <w:sz w:val="20"/>
              </w:rPr>
              <w:t xml:space="preserve">The </w:t>
            </w:r>
            <w:r w:rsidRPr="00391600" w:rsidR="002F78F4">
              <w:rPr>
                <w:rFonts w:ascii="Palatino Linotype" w:hAnsi="Palatino Linotype"/>
                <w:color w:val="000000" w:themeColor="text1"/>
                <w:sz w:val="20"/>
              </w:rPr>
              <w:lastRenderedPageBreak/>
              <w:t>CEC lists the following anticipated Benefits to Californians and associated metrics under each Initiative:</w:t>
            </w:r>
            <w:r w:rsidRPr="00391600" w:rsidR="002F78F4">
              <w:rPr>
                <w:rStyle w:val="FootnoteReference"/>
                <w:rFonts w:ascii="Palatino Linotype" w:hAnsi="Palatino Linotype"/>
                <w:color w:val="000000" w:themeColor="text1"/>
                <w:sz w:val="20"/>
              </w:rPr>
              <w:footnoteReference w:id="323"/>
            </w:r>
          </w:p>
          <w:p w:rsidRPr="00391600" w:rsidR="002F78F4" w:rsidP="00BB366A" w:rsidRDefault="002F78F4" w14:paraId="57368C86"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1.</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Social Science Research for Gas Decommissioning in the Mid and Long Term</w:t>
            </w:r>
            <w:r w:rsidRPr="00391600">
              <w:rPr>
                <w:rFonts w:ascii="Palatino Linotype" w:hAnsi="Palatino Linotype"/>
                <w:bCs/>
                <w:color w:val="000000" w:themeColor="text1"/>
                <w:sz w:val="20"/>
                <w:szCs w:val="20"/>
              </w:rPr>
              <w:t>:</w:t>
            </w:r>
          </w:p>
          <w:p w:rsidRPr="00391600" w:rsidR="002F78F4" w:rsidP="003B475F" w:rsidRDefault="002F78F4" w14:paraId="62B9E737" w14:textId="77777777">
            <w:pPr>
              <w:pStyle w:val="ListParagraph"/>
              <w:numPr>
                <w:ilvl w:val="0"/>
                <w:numId w:val="32"/>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Affordability: Assessed via the “[i]dentification of barriers to adoption of equipment that could reduce individual consumer costs”; Adaptation: Assessed via the “actualization of strategies and pathways that overcome or mitigate these barriers (e.g., through workforce training or improved technologies).”</w:t>
            </w:r>
          </w:p>
          <w:p w:rsidRPr="00391600" w:rsidR="002F78F4" w:rsidP="003B475F" w:rsidRDefault="002F78F4" w14:paraId="10E81076" w14:textId="77777777">
            <w:pPr>
              <w:pStyle w:val="ListParagraph"/>
              <w:numPr>
                <w:ilvl w:val="0"/>
                <w:numId w:val="32"/>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 xml:space="preserve">Safety and reliability: Assessed via the "[i]dentification of prospective energy reliability and/or safety challenges based on modeling the impacts of gas end use </w:t>
            </w:r>
            <w:proofErr w:type="gramStart"/>
            <w:r w:rsidRPr="00391600">
              <w:rPr>
                <w:rFonts w:ascii="Palatino Linotype" w:hAnsi="Palatino Linotype"/>
                <w:bCs/>
                <w:color w:val="000000" w:themeColor="text1"/>
                <w:sz w:val="20"/>
                <w:szCs w:val="20"/>
              </w:rPr>
              <w:t>conversion.”</w:t>
            </w:r>
            <w:proofErr w:type="gramEnd"/>
          </w:p>
          <w:p w:rsidRPr="00391600" w:rsidR="002F78F4" w:rsidP="003B475F" w:rsidRDefault="002F78F4" w14:paraId="31CC2C6D" w14:textId="77777777">
            <w:pPr>
              <w:pStyle w:val="ListParagraph"/>
              <w:numPr>
                <w:ilvl w:val="0"/>
                <w:numId w:val="32"/>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Environmental sustainability: Assessed via "[e]</w:t>
            </w:r>
            <w:proofErr w:type="spellStart"/>
            <w:r w:rsidRPr="00391600">
              <w:rPr>
                <w:rFonts w:ascii="Palatino Linotype" w:hAnsi="Palatino Linotype"/>
                <w:bCs/>
                <w:color w:val="000000" w:themeColor="text1"/>
                <w:sz w:val="20"/>
                <w:szCs w:val="20"/>
              </w:rPr>
              <w:t>stimates</w:t>
            </w:r>
            <w:proofErr w:type="spellEnd"/>
            <w:r w:rsidRPr="00391600">
              <w:rPr>
                <w:rFonts w:ascii="Palatino Linotype" w:hAnsi="Palatino Linotype"/>
                <w:bCs/>
                <w:color w:val="000000" w:themeColor="text1"/>
                <w:sz w:val="20"/>
                <w:szCs w:val="20"/>
              </w:rPr>
              <w:t xml:space="preserve"> of air quality impacts of any </w:t>
            </w:r>
            <w:r w:rsidRPr="00391600">
              <w:rPr>
                <w:rFonts w:ascii="Palatino Linotype" w:hAnsi="Palatino Linotype"/>
                <w:bCs/>
                <w:i/>
                <w:iCs/>
                <w:color w:val="000000" w:themeColor="text1"/>
                <w:sz w:val="20"/>
                <w:szCs w:val="20"/>
              </w:rPr>
              <w:t>acceleration</w:t>
            </w:r>
            <w:r w:rsidRPr="00391600">
              <w:rPr>
                <w:rFonts w:ascii="Palatino Linotype" w:hAnsi="Palatino Linotype"/>
                <w:bCs/>
                <w:color w:val="000000" w:themeColor="text1"/>
                <w:sz w:val="20"/>
                <w:szCs w:val="20"/>
              </w:rPr>
              <w:t xml:space="preserve"> of transition away from gas.”</w:t>
            </w:r>
          </w:p>
          <w:p w:rsidRPr="00391600" w:rsidR="002F78F4" w:rsidP="003B475F" w:rsidRDefault="002F78F4" w14:paraId="00D115DD" w14:textId="77777777">
            <w:pPr>
              <w:pStyle w:val="ListParagraph"/>
              <w:numPr>
                <w:ilvl w:val="0"/>
                <w:numId w:val="32"/>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Equity: Assessed via the “[i]dentification and/or dissemination of resilience strategies tailored for lower-income households and businesses.”</w:t>
            </w:r>
          </w:p>
          <w:p w:rsidRPr="00391600" w:rsidR="002F78F4" w:rsidP="00BB366A" w:rsidRDefault="002F78F4" w14:paraId="70405E9A"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2.</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Pilot Projects to Advance Gas Decommissioning</w:t>
            </w:r>
            <w:r w:rsidRPr="00391600">
              <w:rPr>
                <w:rFonts w:ascii="Palatino Linotype" w:hAnsi="Palatino Linotype"/>
                <w:bCs/>
                <w:color w:val="000000" w:themeColor="text1"/>
                <w:sz w:val="20"/>
                <w:szCs w:val="20"/>
              </w:rPr>
              <w:t xml:space="preserve">: </w:t>
            </w:r>
          </w:p>
          <w:p w:rsidRPr="00391600" w:rsidR="002F78F4" w:rsidP="003B475F" w:rsidRDefault="002F78F4" w14:paraId="707A374D" w14:textId="77777777">
            <w:pPr>
              <w:pStyle w:val="ListParagraph"/>
              <w:numPr>
                <w:ilvl w:val="0"/>
                <w:numId w:val="3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Affordability: Assessed via “[c]</w:t>
            </w:r>
            <w:proofErr w:type="spellStart"/>
            <w:r w:rsidRPr="00391600">
              <w:rPr>
                <w:rFonts w:ascii="Palatino Linotype" w:hAnsi="Palatino Linotype"/>
                <w:bCs/>
                <w:color w:val="000000" w:themeColor="text1"/>
                <w:sz w:val="20"/>
                <w:szCs w:val="20"/>
              </w:rPr>
              <w:t>ost</w:t>
            </w:r>
            <w:proofErr w:type="spellEnd"/>
            <w:r w:rsidRPr="00391600">
              <w:rPr>
                <w:rFonts w:ascii="Palatino Linotype" w:hAnsi="Palatino Linotype"/>
                <w:bCs/>
                <w:color w:val="000000" w:themeColor="text1"/>
                <w:sz w:val="20"/>
                <w:szCs w:val="20"/>
              </w:rPr>
              <w:t xml:space="preserve"> comparisons to existing systems per household.”</w:t>
            </w:r>
          </w:p>
          <w:p w:rsidRPr="00391600" w:rsidR="002F78F4" w:rsidP="003B475F" w:rsidRDefault="002F78F4" w14:paraId="1BA86602" w14:textId="77777777">
            <w:pPr>
              <w:pStyle w:val="ListParagraph"/>
              <w:numPr>
                <w:ilvl w:val="0"/>
                <w:numId w:val="3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Safety and reliability: Assessed via the “[i]dentification and reduction of environmental harms (e.g., soil and water contamination from corroded metal and pipeline coating substances) from abandoned pipe segments.”</w:t>
            </w:r>
          </w:p>
          <w:p w:rsidRPr="00391600" w:rsidR="002F78F4" w:rsidP="003B475F" w:rsidRDefault="002F78F4" w14:paraId="265E16E5" w14:textId="77777777">
            <w:pPr>
              <w:pStyle w:val="ListParagraph"/>
              <w:numPr>
                <w:ilvl w:val="0"/>
                <w:numId w:val="3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Adaptation: Assessed via the “[n]umber and criticality of potential points of failure identified and addressed.”</w:t>
            </w:r>
          </w:p>
          <w:p w:rsidRPr="00391600" w:rsidR="002F78F4" w:rsidP="003B475F" w:rsidRDefault="002F78F4" w14:paraId="02A12391" w14:textId="77777777">
            <w:pPr>
              <w:pStyle w:val="ListParagraph"/>
              <w:numPr>
                <w:ilvl w:val="0"/>
                <w:numId w:val="3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Environmental sustainability: Assessed via “[c]</w:t>
            </w:r>
            <w:proofErr w:type="spellStart"/>
            <w:r w:rsidRPr="00391600">
              <w:rPr>
                <w:rFonts w:ascii="Palatino Linotype" w:hAnsi="Palatino Linotype"/>
                <w:bCs/>
                <w:color w:val="000000" w:themeColor="text1"/>
                <w:sz w:val="20"/>
                <w:szCs w:val="20"/>
              </w:rPr>
              <w:t>alculated</w:t>
            </w:r>
            <w:proofErr w:type="spellEnd"/>
            <w:r w:rsidRPr="00391600">
              <w:rPr>
                <w:rFonts w:ascii="Palatino Linotype" w:hAnsi="Palatino Linotype"/>
                <w:bCs/>
                <w:color w:val="000000" w:themeColor="text1"/>
                <w:sz w:val="20"/>
                <w:szCs w:val="20"/>
              </w:rPr>
              <w:t xml:space="preserve"> reductions in local air pollutants and GHG emissions.”</w:t>
            </w:r>
          </w:p>
          <w:p w:rsidRPr="00391600" w:rsidR="002F78F4" w:rsidP="003B475F" w:rsidRDefault="002F78F4" w14:paraId="7ADE1304" w14:textId="77777777">
            <w:pPr>
              <w:pStyle w:val="ListParagraph"/>
              <w:numPr>
                <w:ilvl w:val="0"/>
                <w:numId w:val="34"/>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Equity: Assessed via “[n]umber of communities engaged or involved in pilots and proportion of which are considered ESJ communities.”</w:t>
            </w:r>
          </w:p>
          <w:p w:rsidRPr="00391600" w:rsidR="002F78F4" w:rsidP="00BB366A" w:rsidRDefault="002F78F4" w14:paraId="348C7A24" w14:textId="77777777">
            <w:pPr>
              <w:rPr>
                <w:rFonts w:ascii="Palatino Linotype" w:hAnsi="Palatino Linotype"/>
                <w:bCs/>
                <w:color w:val="000000" w:themeColor="text1"/>
                <w:sz w:val="20"/>
                <w:szCs w:val="20"/>
              </w:rPr>
            </w:pPr>
            <w:r w:rsidRPr="00391600">
              <w:rPr>
                <w:rFonts w:ascii="Palatino Linotype" w:hAnsi="Palatino Linotype"/>
                <w:b/>
                <w:color w:val="000000" w:themeColor="text1"/>
                <w:sz w:val="20"/>
                <w:szCs w:val="20"/>
              </w:rPr>
              <w:t xml:space="preserve">    3.</w:t>
            </w:r>
            <w:r w:rsidRPr="00391600">
              <w:rPr>
                <w:rFonts w:ascii="Palatino Linotype" w:hAnsi="Palatino Linotype"/>
                <w:bCs/>
                <w:color w:val="000000" w:themeColor="text1"/>
                <w:sz w:val="20"/>
                <w:szCs w:val="20"/>
              </w:rPr>
              <w:t xml:space="preserve"> </w:t>
            </w:r>
            <w:r w:rsidRPr="00391600">
              <w:rPr>
                <w:rFonts w:ascii="Palatino Linotype" w:hAnsi="Palatino Linotype"/>
                <w:color w:val="000000" w:themeColor="text1"/>
                <w:sz w:val="20"/>
                <w:szCs w:val="20"/>
                <w:u w:val="single"/>
              </w:rPr>
              <w:t>Networked Geothermal Heat Pumps</w:t>
            </w:r>
            <w:r w:rsidRPr="00391600">
              <w:rPr>
                <w:rFonts w:ascii="Palatino Linotype" w:hAnsi="Palatino Linotype"/>
                <w:bCs/>
                <w:color w:val="000000" w:themeColor="text1"/>
                <w:sz w:val="20"/>
                <w:szCs w:val="20"/>
              </w:rPr>
              <w:t>:</w:t>
            </w:r>
          </w:p>
          <w:p w:rsidRPr="00391600" w:rsidR="002F78F4" w:rsidP="003B475F" w:rsidRDefault="002F78F4" w14:paraId="0C368109" w14:textId="77777777">
            <w:pPr>
              <w:pStyle w:val="ListParagraph"/>
              <w:numPr>
                <w:ilvl w:val="0"/>
                <w:numId w:val="35"/>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Affordability: Assessed via “[c]</w:t>
            </w:r>
            <w:proofErr w:type="spellStart"/>
            <w:r w:rsidRPr="00391600">
              <w:rPr>
                <w:rFonts w:ascii="Palatino Linotype" w:hAnsi="Palatino Linotype"/>
                <w:bCs/>
                <w:color w:val="000000" w:themeColor="text1"/>
                <w:sz w:val="20"/>
                <w:szCs w:val="20"/>
              </w:rPr>
              <w:t>omparison</w:t>
            </w:r>
            <w:proofErr w:type="spellEnd"/>
            <w:r w:rsidRPr="00391600">
              <w:rPr>
                <w:rFonts w:ascii="Palatino Linotype" w:hAnsi="Palatino Linotype"/>
                <w:bCs/>
                <w:color w:val="000000" w:themeColor="text1"/>
                <w:sz w:val="20"/>
                <w:szCs w:val="20"/>
              </w:rPr>
              <w:t xml:space="preserve"> of ratepayer monthly bills among networked GHPs, other decarbonized solutions, and existing gas systems, modeled using existing utility business models (e.g., for fossil gas) and allowable rates of return.”</w:t>
            </w:r>
          </w:p>
          <w:p w:rsidRPr="00391600" w:rsidR="002F78F4" w:rsidP="003B475F" w:rsidRDefault="002F78F4" w14:paraId="2200F476" w14:textId="77777777">
            <w:pPr>
              <w:pStyle w:val="ListParagraph"/>
              <w:numPr>
                <w:ilvl w:val="0"/>
                <w:numId w:val="35"/>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lastRenderedPageBreak/>
              <w:t>Safety and reliability: Assessed via (decreased) risk of power and gas system failures.</w:t>
            </w:r>
          </w:p>
          <w:p w:rsidRPr="00391600" w:rsidR="002F78F4" w:rsidP="003B475F" w:rsidRDefault="002F78F4" w14:paraId="19AF2391" w14:textId="77777777">
            <w:pPr>
              <w:pStyle w:val="ListParagraph"/>
              <w:numPr>
                <w:ilvl w:val="0"/>
                <w:numId w:val="35"/>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Adaptation: Assessed via “[c]</w:t>
            </w:r>
            <w:proofErr w:type="spellStart"/>
            <w:r w:rsidRPr="00391600">
              <w:rPr>
                <w:rFonts w:ascii="Palatino Linotype" w:hAnsi="Palatino Linotype"/>
                <w:bCs/>
                <w:color w:val="000000" w:themeColor="text1"/>
                <w:sz w:val="20"/>
                <w:szCs w:val="20"/>
              </w:rPr>
              <w:t>omparison</w:t>
            </w:r>
            <w:proofErr w:type="spellEnd"/>
            <w:r w:rsidRPr="00391600">
              <w:rPr>
                <w:rFonts w:ascii="Palatino Linotype" w:hAnsi="Palatino Linotype"/>
                <w:bCs/>
                <w:color w:val="000000" w:themeColor="text1"/>
                <w:sz w:val="20"/>
                <w:szCs w:val="20"/>
              </w:rPr>
              <w:t xml:space="preserve"> of resilience metrics, such as performance loss ratios, probabilities of recovery, and adaptive capacity, between the existing and proposed technologies.”</w:t>
            </w:r>
          </w:p>
          <w:p w:rsidRPr="00391600" w:rsidR="002F78F4" w:rsidP="003B475F" w:rsidRDefault="002F78F4" w14:paraId="6EF43D33" w14:textId="77777777">
            <w:pPr>
              <w:pStyle w:val="ListParagraph"/>
              <w:numPr>
                <w:ilvl w:val="0"/>
                <w:numId w:val="35"/>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Environmental sustainability: Assessed via “[r]</w:t>
            </w:r>
            <w:proofErr w:type="spellStart"/>
            <w:r w:rsidRPr="00391600">
              <w:rPr>
                <w:rFonts w:ascii="Palatino Linotype" w:hAnsi="Palatino Linotype"/>
                <w:bCs/>
                <w:color w:val="000000" w:themeColor="text1"/>
                <w:sz w:val="20"/>
                <w:szCs w:val="20"/>
              </w:rPr>
              <w:t>eduction</w:t>
            </w:r>
            <w:proofErr w:type="spellEnd"/>
            <w:r w:rsidRPr="00391600">
              <w:rPr>
                <w:rFonts w:ascii="Palatino Linotype" w:hAnsi="Palatino Linotype"/>
                <w:bCs/>
                <w:color w:val="000000" w:themeColor="text1"/>
                <w:sz w:val="20"/>
                <w:szCs w:val="20"/>
              </w:rPr>
              <w:t xml:space="preserve"> in GHG emissions, criteria air pollutant emissions, and water use.”</w:t>
            </w:r>
          </w:p>
          <w:p w:rsidRPr="00391600" w:rsidR="002F78F4" w:rsidP="003B475F" w:rsidRDefault="002F78F4" w14:paraId="2ADCD154" w14:textId="77777777">
            <w:pPr>
              <w:pStyle w:val="ListParagraph"/>
              <w:numPr>
                <w:ilvl w:val="0"/>
                <w:numId w:val="35"/>
              </w:numPr>
              <w:rPr>
                <w:rFonts w:ascii="Palatino Linotype" w:hAnsi="Palatino Linotype"/>
                <w:bCs/>
                <w:color w:val="000000" w:themeColor="text1"/>
                <w:sz w:val="20"/>
                <w:szCs w:val="20"/>
              </w:rPr>
            </w:pPr>
            <w:r w:rsidRPr="00391600">
              <w:rPr>
                <w:rFonts w:ascii="Palatino Linotype" w:hAnsi="Palatino Linotype"/>
                <w:bCs/>
                <w:color w:val="000000" w:themeColor="text1"/>
                <w:sz w:val="20"/>
                <w:szCs w:val="20"/>
              </w:rPr>
              <w:t>Equity: Assessed via “[s]</w:t>
            </w:r>
            <w:proofErr w:type="spellStart"/>
            <w:r w:rsidRPr="00391600">
              <w:rPr>
                <w:rFonts w:ascii="Palatino Linotype" w:hAnsi="Palatino Linotype"/>
                <w:bCs/>
                <w:color w:val="000000" w:themeColor="text1"/>
                <w:sz w:val="20"/>
                <w:szCs w:val="20"/>
              </w:rPr>
              <w:t>avings</w:t>
            </w:r>
            <w:proofErr w:type="spellEnd"/>
            <w:r w:rsidRPr="00391600">
              <w:rPr>
                <w:rFonts w:ascii="Palatino Linotype" w:hAnsi="Palatino Linotype"/>
                <w:bCs/>
                <w:color w:val="000000" w:themeColor="text1"/>
                <w:sz w:val="20"/>
                <w:szCs w:val="20"/>
              </w:rPr>
              <w:t xml:space="preserve"> on monthly overall energy bill cost for ESJ communities based on historical data of gas and electric price spikes.”</w:t>
            </w:r>
          </w:p>
        </w:tc>
        <w:tc>
          <w:tcPr>
            <w:tcW w:w="3240" w:type="dxa"/>
          </w:tcPr>
          <w:p w:rsidRPr="00391600" w:rsidR="002F78F4" w:rsidP="00BB366A" w:rsidRDefault="00AA7CCD" w14:paraId="74574A78" w14:textId="2A71B252">
            <w:pPr>
              <w:contextualSpacing/>
              <w:rPr>
                <w:rFonts w:ascii="Palatino Linotype" w:hAnsi="Palatino Linotype"/>
                <w:bCs/>
                <w:color w:val="000000" w:themeColor="text1"/>
                <w:sz w:val="20"/>
                <w:szCs w:val="20"/>
              </w:rPr>
            </w:pPr>
            <w:r w:rsidRPr="00391600">
              <w:rPr>
                <w:rFonts w:ascii="Palatino Linotype" w:hAnsi="Palatino Linotype"/>
                <w:bCs/>
                <w:sz w:val="20"/>
                <w:szCs w:val="20"/>
              </w:rPr>
              <w:lastRenderedPageBreak/>
              <w:t xml:space="preserve">The </w:t>
            </w:r>
            <w:r w:rsidRPr="00391600" w:rsidR="002F78F4">
              <w:rPr>
                <w:rFonts w:ascii="Palatino Linotype" w:hAnsi="Palatino Linotype"/>
                <w:bCs/>
                <w:color w:val="000000" w:themeColor="text1"/>
                <w:sz w:val="20"/>
                <w:szCs w:val="20"/>
              </w:rPr>
              <w:t xml:space="preserve">CEC demonstrates attention to the Uniform Impacts Analysis Foundational Principles by </w:t>
            </w:r>
            <w:r w:rsidRPr="00391600" w:rsidR="002F78F4">
              <w:rPr>
                <w:rFonts w:ascii="Palatino Linotype" w:hAnsi="Palatino Linotype"/>
                <w:bCs/>
                <w:color w:val="000000" w:themeColor="text1"/>
                <w:sz w:val="20"/>
                <w:szCs w:val="20"/>
              </w:rPr>
              <w:lastRenderedPageBreak/>
              <w:t xml:space="preserve">selecting metrics to quantify ratepayer benefit that appear to be directly attributable to each of the proposed Initiatives. </w:t>
            </w:r>
            <w:r w:rsidRPr="00391600">
              <w:rPr>
                <w:rFonts w:ascii="Palatino Linotype" w:hAnsi="Palatino Linotype"/>
                <w:b/>
                <w:color w:val="000000" w:themeColor="text1"/>
                <w:sz w:val="20"/>
                <w:szCs w:val="20"/>
              </w:rPr>
              <w:t xml:space="preserve">The </w:t>
            </w:r>
            <w:r w:rsidRPr="00391600" w:rsidR="002F78F4">
              <w:rPr>
                <w:rFonts w:ascii="Palatino Linotype" w:hAnsi="Palatino Linotype"/>
                <w:b/>
                <w:color w:val="000000" w:themeColor="text1"/>
                <w:sz w:val="20"/>
                <w:szCs w:val="20"/>
              </w:rPr>
              <w:t>CEC is compliant with this requirement.</w:t>
            </w:r>
          </w:p>
        </w:tc>
      </w:tr>
    </w:tbl>
    <w:p w:rsidRPr="00391600" w:rsidR="00F85930" w:rsidP="00446A7E" w:rsidRDefault="00F85930" w14:paraId="4F07D558" w14:textId="77777777">
      <w:pPr>
        <w:spacing w:line="276" w:lineRule="auto"/>
        <w:rPr>
          <w:rFonts w:ascii="Palatino Linotype" w:hAnsi="Palatino Linotype"/>
        </w:rPr>
      </w:pPr>
    </w:p>
    <w:p w:rsidR="009B3839" w:rsidRDefault="009B3839" w14:paraId="27FD7EBB" w14:textId="77777777"/>
    <w:p w:rsidR="009B3839" w:rsidRDefault="00000000" w14:paraId="42F3A5EC" w14:textId="77777777">
      <w:r>
        <w:t xml:space="preserve">Attachment 1: </w:t>
      </w:r>
    </w:p>
    <w:p w:rsidR="009B3839" w:rsidRDefault="00000000" w14:paraId="18312E58" w14:textId="77777777">
      <w:hyperlink w:history="1" r:id="rId124">
        <w:r w:rsidRPr="00CB1292">
          <w:rPr>
            <w:rStyle w:val="Hyperlink"/>
            <w:color w:val="0F4761" w:themeColor="accent1" w:themeShade="BF"/>
          </w:rPr>
          <w:t>G-3622 Draft Agenda Resolution (CEC AL 10-G &amp; AL 12-G)(redline)</w:t>
        </w:r>
      </w:hyperlink>
    </w:p>
    <w:sectPr w:rsidR="009B3839" w:rsidSect="0012207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CD0B9" w14:textId="77777777" w:rsidR="00C45A02" w:rsidRDefault="00C45A02" w:rsidP="00A76F4A">
      <w:pPr>
        <w:spacing w:after="0" w:line="240" w:lineRule="auto"/>
      </w:pPr>
      <w:r>
        <w:separator/>
      </w:r>
    </w:p>
  </w:endnote>
  <w:endnote w:type="continuationSeparator" w:id="0">
    <w:p w14:paraId="2B83CD37" w14:textId="77777777" w:rsidR="00C45A02" w:rsidRDefault="00C45A02" w:rsidP="00A7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00"/>
    <w:family w:val="auto"/>
    <w:pitch w:val="variable"/>
    <w:sig w:usb0="20000A87" w:usb1="08000000" w:usb2="00000008" w:usb3="00000000" w:csb0="000001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94281"/>
      <w:docPartObj>
        <w:docPartGallery w:val="Page Numbers (Bottom of Page)"/>
        <w:docPartUnique/>
      </w:docPartObj>
    </w:sdtPr>
    <w:sdtEndPr>
      <w:rPr>
        <w:rFonts w:ascii="Palatino Linotype" w:hAnsi="Palatino Linotype"/>
        <w:noProof/>
      </w:rPr>
    </w:sdtEndPr>
    <w:sdtContent>
      <w:p w14:paraId="2D95E863" w14:textId="77777777" w:rsidR="00930C35" w:rsidRPr="006622C7" w:rsidRDefault="00930C35">
        <w:pPr>
          <w:pStyle w:val="Footer"/>
          <w:jc w:val="center"/>
          <w:rPr>
            <w:rFonts w:ascii="Palatino Linotype" w:hAnsi="Palatino Linotype"/>
          </w:rPr>
        </w:pPr>
        <w:r w:rsidRPr="006622C7">
          <w:rPr>
            <w:rFonts w:ascii="Palatino Linotype" w:hAnsi="Palatino Linotype"/>
          </w:rPr>
          <w:fldChar w:fldCharType="begin"/>
        </w:r>
        <w:r w:rsidRPr="006622C7">
          <w:rPr>
            <w:rFonts w:ascii="Palatino Linotype" w:hAnsi="Palatino Linotype"/>
          </w:rPr>
          <w:instrText xml:space="preserve"> PAGE   \* MERGEFORMAT </w:instrText>
        </w:r>
        <w:r w:rsidRPr="006622C7">
          <w:rPr>
            <w:rFonts w:ascii="Palatino Linotype" w:hAnsi="Palatino Linotype"/>
          </w:rPr>
          <w:fldChar w:fldCharType="separate"/>
        </w:r>
        <w:r w:rsidRPr="006622C7">
          <w:rPr>
            <w:rFonts w:ascii="Palatino Linotype" w:hAnsi="Palatino Linotype"/>
            <w:noProof/>
          </w:rPr>
          <w:t>2</w:t>
        </w:r>
        <w:r w:rsidRPr="006622C7">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760066384"/>
      <w:docPartObj>
        <w:docPartGallery w:val="Page Numbers (Bottom of Page)"/>
        <w:docPartUnique/>
      </w:docPartObj>
    </w:sdtPr>
    <w:sdtEndPr>
      <w:rPr>
        <w:noProof/>
      </w:rPr>
    </w:sdtEndPr>
    <w:sdtContent>
      <w:p w14:paraId="1B832A91" w14:textId="164F7382" w:rsidR="00930C35" w:rsidRPr="004A7A4C" w:rsidRDefault="00205242" w:rsidP="004A7A4C">
        <w:pPr>
          <w:pStyle w:val="Footer"/>
          <w:rPr>
            <w:rFonts w:ascii="Palatino Linotype" w:hAnsi="Palatino Linotype"/>
          </w:rPr>
        </w:pPr>
        <w:r w:rsidRPr="00205242">
          <w:rPr>
            <w:rFonts w:ascii="Tahoma" w:hAnsi="Tahoma" w:cs="Tahoma"/>
            <w:sz w:val="16"/>
            <w:szCs w:val="16"/>
          </w:rPr>
          <w:t>627943895</w:t>
        </w:r>
        <w:r w:rsidR="00286CBA" w:rsidRPr="00286CBA">
          <w:rPr>
            <w:rFonts w:ascii="Palatino Linotype" w:hAnsi="Palatino Linotype"/>
          </w:rPr>
          <w:t xml:space="preserve">  </w:t>
        </w:r>
        <w:r w:rsidR="00286CBA">
          <w:rPr>
            <w:rFonts w:ascii="Palatino Linotype" w:hAnsi="Palatino Linotype"/>
          </w:rPr>
          <w:t xml:space="preserve"> </w:t>
        </w:r>
        <w:r w:rsidR="00930C35">
          <w:rPr>
            <w:rFonts w:ascii="Palatino Linotype" w:hAnsi="Palatino Linotype"/>
          </w:rPr>
          <w:tab/>
        </w:r>
        <w:r w:rsidR="00930C35" w:rsidRPr="004A7A4C">
          <w:rPr>
            <w:rFonts w:ascii="Palatino Linotype" w:hAnsi="Palatino Linotype"/>
          </w:rPr>
          <w:fldChar w:fldCharType="begin"/>
        </w:r>
        <w:r w:rsidR="00930C35" w:rsidRPr="004A7A4C">
          <w:rPr>
            <w:rFonts w:ascii="Palatino Linotype" w:hAnsi="Palatino Linotype"/>
          </w:rPr>
          <w:instrText xml:space="preserve"> PAGE   \* MERGEFORMAT </w:instrText>
        </w:r>
        <w:r w:rsidR="00930C35" w:rsidRPr="004A7A4C">
          <w:rPr>
            <w:rFonts w:ascii="Palatino Linotype" w:hAnsi="Palatino Linotype"/>
          </w:rPr>
          <w:fldChar w:fldCharType="separate"/>
        </w:r>
        <w:r w:rsidR="00930C35" w:rsidRPr="004A7A4C">
          <w:rPr>
            <w:rFonts w:ascii="Palatino Linotype" w:hAnsi="Palatino Linotype"/>
            <w:noProof/>
          </w:rPr>
          <w:t>2</w:t>
        </w:r>
        <w:r w:rsidR="00930C35" w:rsidRPr="004A7A4C">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58232232"/>
      <w:docPartObj>
        <w:docPartGallery w:val="Page Numbers (Bottom of Page)"/>
        <w:docPartUnique/>
      </w:docPartObj>
    </w:sdtPr>
    <w:sdtEndPr>
      <w:rPr>
        <w:noProof/>
      </w:rPr>
    </w:sdtEndPr>
    <w:sdtContent>
      <w:p w14:paraId="16FAEA4C" w14:textId="02F8D458" w:rsidR="002E1692" w:rsidRPr="002E1692" w:rsidRDefault="002E1692">
        <w:pPr>
          <w:pStyle w:val="Footer"/>
          <w:jc w:val="center"/>
          <w:rPr>
            <w:rFonts w:ascii="Palatino Linotype" w:hAnsi="Palatino Linotype"/>
          </w:rPr>
        </w:pPr>
        <w:r w:rsidRPr="002E1692">
          <w:rPr>
            <w:rFonts w:ascii="Palatino Linotype" w:hAnsi="Palatino Linotype"/>
          </w:rPr>
          <w:t>A-</w:t>
        </w:r>
        <w:r w:rsidRPr="002E1692">
          <w:rPr>
            <w:rFonts w:ascii="Palatino Linotype" w:hAnsi="Palatino Linotype"/>
          </w:rPr>
          <w:fldChar w:fldCharType="begin"/>
        </w:r>
        <w:r w:rsidRPr="002E1692">
          <w:rPr>
            <w:rFonts w:ascii="Palatino Linotype" w:hAnsi="Palatino Linotype"/>
          </w:rPr>
          <w:instrText xml:space="preserve"> PAGE   \* MERGEFORMAT </w:instrText>
        </w:r>
        <w:r w:rsidRPr="002E1692">
          <w:rPr>
            <w:rFonts w:ascii="Palatino Linotype" w:hAnsi="Palatino Linotype"/>
          </w:rPr>
          <w:fldChar w:fldCharType="separate"/>
        </w:r>
        <w:r w:rsidRPr="002E1692">
          <w:rPr>
            <w:rFonts w:ascii="Palatino Linotype" w:hAnsi="Palatino Linotype"/>
            <w:noProof/>
          </w:rPr>
          <w:t>2</w:t>
        </w:r>
        <w:r w:rsidRPr="002E1692">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05729933"/>
      <w:docPartObj>
        <w:docPartGallery w:val="Page Numbers (Bottom of Page)"/>
        <w:docPartUnique/>
      </w:docPartObj>
    </w:sdtPr>
    <w:sdtEndPr>
      <w:rPr>
        <w:noProof/>
      </w:rPr>
    </w:sdtEndPr>
    <w:sdtContent>
      <w:p w14:paraId="37DE567E" w14:textId="77777777" w:rsidR="002E1692" w:rsidRPr="004A7A4C" w:rsidRDefault="002E1692" w:rsidP="004A7A4C">
        <w:pPr>
          <w:pStyle w:val="Footer"/>
          <w:rPr>
            <w:rFonts w:ascii="Palatino Linotype" w:hAnsi="Palatino Linotype"/>
          </w:rPr>
        </w:pPr>
        <w:r w:rsidRPr="00286CBA">
          <w:rPr>
            <w:rFonts w:ascii="Tahoma" w:hAnsi="Tahoma" w:cs="Tahoma"/>
            <w:sz w:val="18"/>
            <w:szCs w:val="18"/>
          </w:rPr>
          <w:t>614701971</w:t>
        </w:r>
        <w:r w:rsidRPr="00286CBA">
          <w:rPr>
            <w:rFonts w:ascii="Palatino Linotype" w:hAnsi="Palatino Linotype"/>
          </w:rPr>
          <w:t xml:space="preserve">  </w:t>
        </w:r>
        <w:r>
          <w:rPr>
            <w:rFonts w:ascii="Palatino Linotype" w:hAnsi="Palatino Linotype"/>
          </w:rPr>
          <w:t xml:space="preserve"> </w:t>
        </w:r>
        <w:r>
          <w:rPr>
            <w:rFonts w:ascii="Palatino Linotype" w:hAnsi="Palatino Linotype"/>
          </w:rPr>
          <w:tab/>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13327845"/>
      <w:docPartObj>
        <w:docPartGallery w:val="Page Numbers (Bottom of Page)"/>
        <w:docPartUnique/>
      </w:docPartObj>
    </w:sdtPr>
    <w:sdtEndPr>
      <w:rPr>
        <w:noProof/>
      </w:rPr>
    </w:sdtEndPr>
    <w:sdtContent>
      <w:p w14:paraId="583741BA" w14:textId="0CB2E3AF" w:rsidR="00930C35" w:rsidRPr="004A7A4C" w:rsidRDefault="00930C35" w:rsidP="004A7A4C">
        <w:pPr>
          <w:pStyle w:val="Footer"/>
          <w:rPr>
            <w:rFonts w:ascii="Palatino Linotype" w:hAnsi="Palatino Linotype"/>
          </w:rPr>
        </w:pPr>
        <w:r>
          <w:rPr>
            <w:rFonts w:ascii="Palatino Linotype" w:hAnsi="Palatino Linotype"/>
          </w:rPr>
          <w:tab/>
        </w:r>
        <w:r w:rsidR="002E1692">
          <w:rPr>
            <w:rFonts w:ascii="Palatino Linotype" w:hAnsi="Palatino Linotype"/>
          </w:rPr>
          <w:t>A-</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81591408"/>
      <w:docPartObj>
        <w:docPartGallery w:val="Page Numbers (Bottom of Page)"/>
        <w:docPartUnique/>
      </w:docPartObj>
    </w:sdtPr>
    <w:sdtEndPr>
      <w:rPr>
        <w:noProof/>
      </w:rPr>
    </w:sdtEndPr>
    <w:sdtContent>
      <w:p w14:paraId="1B756FE0" w14:textId="68889DB1" w:rsidR="002E1692" w:rsidRPr="004A7A4C" w:rsidRDefault="002E1692" w:rsidP="004A7A4C">
        <w:pPr>
          <w:pStyle w:val="Footer"/>
          <w:rPr>
            <w:rFonts w:ascii="Palatino Linotype" w:hAnsi="Palatino Linotype"/>
          </w:rPr>
        </w:pPr>
        <w:r>
          <w:rPr>
            <w:rFonts w:ascii="Palatino Linotype" w:hAnsi="Palatino Linotype"/>
          </w:rPr>
          <w:tab/>
        </w:r>
        <w:r w:rsidR="00AA56B7">
          <w:rPr>
            <w:rFonts w:ascii="Palatino Linotype" w:hAnsi="Palatino Linotype"/>
          </w:rPr>
          <w:t>B</w:t>
        </w:r>
        <w:r>
          <w:rPr>
            <w:rFonts w:ascii="Palatino Linotype" w:hAnsi="Palatino Linotype"/>
          </w:rPr>
          <w:t>-</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07425505"/>
      <w:docPartObj>
        <w:docPartGallery w:val="Page Numbers (Bottom of Page)"/>
        <w:docPartUnique/>
      </w:docPartObj>
    </w:sdtPr>
    <w:sdtEndPr>
      <w:rPr>
        <w:noProof/>
      </w:rPr>
    </w:sdtEndPr>
    <w:sdtContent>
      <w:p w14:paraId="07BCC6F9" w14:textId="1580A07F" w:rsidR="00AA56B7" w:rsidRPr="004A7A4C" w:rsidRDefault="00AA56B7" w:rsidP="004A7A4C">
        <w:pPr>
          <w:pStyle w:val="Footer"/>
          <w:rPr>
            <w:rFonts w:ascii="Palatino Linotype" w:hAnsi="Palatino Linotype"/>
          </w:rPr>
        </w:pPr>
        <w:r>
          <w:rPr>
            <w:rFonts w:ascii="Palatino Linotype" w:hAnsi="Palatino Linotype"/>
          </w:rPr>
          <w:tab/>
          <w:t>C-</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86F3" w14:textId="7F59F036" w:rsidR="002514A5" w:rsidRPr="002514A5" w:rsidRDefault="0064313E">
    <w:pPr>
      <w:pStyle w:val="Footer"/>
      <w:jc w:val="center"/>
      <w:rPr>
        <w:rFonts w:ascii="Palatino Linotype" w:hAnsi="Palatino Linotype"/>
      </w:rPr>
    </w:pPr>
    <w:r>
      <w:rPr>
        <w:rFonts w:ascii="Palatino Linotype" w:hAnsi="Palatino Linotype"/>
      </w:rPr>
      <w:t>C-</w:t>
    </w:r>
    <w:sdt>
      <w:sdtPr>
        <w:rPr>
          <w:rFonts w:ascii="Palatino Linotype" w:hAnsi="Palatino Linotype"/>
        </w:rPr>
        <w:id w:val="-495273077"/>
        <w:docPartObj>
          <w:docPartGallery w:val="Page Numbers (Bottom of Page)"/>
          <w:docPartUnique/>
        </w:docPartObj>
      </w:sdtPr>
      <w:sdtEndPr>
        <w:rPr>
          <w:noProof/>
        </w:rPr>
      </w:sdtEndPr>
      <w:sdtContent>
        <w:r w:rsidR="002514A5" w:rsidRPr="002514A5">
          <w:rPr>
            <w:rFonts w:ascii="Palatino Linotype" w:hAnsi="Palatino Linotype"/>
          </w:rPr>
          <w:fldChar w:fldCharType="begin"/>
        </w:r>
        <w:r w:rsidR="002514A5" w:rsidRPr="002514A5">
          <w:rPr>
            <w:rFonts w:ascii="Palatino Linotype" w:hAnsi="Palatino Linotype"/>
          </w:rPr>
          <w:instrText xml:space="preserve"> PAGE   \* MERGEFORMAT </w:instrText>
        </w:r>
        <w:r w:rsidR="002514A5" w:rsidRPr="002514A5">
          <w:rPr>
            <w:rFonts w:ascii="Palatino Linotype" w:hAnsi="Palatino Linotype"/>
          </w:rPr>
          <w:fldChar w:fldCharType="separate"/>
        </w:r>
        <w:r w:rsidR="002514A5" w:rsidRPr="002514A5">
          <w:rPr>
            <w:rFonts w:ascii="Palatino Linotype" w:hAnsi="Palatino Linotype"/>
            <w:noProof/>
          </w:rPr>
          <w:t>2</w:t>
        </w:r>
        <w:r w:rsidR="002514A5" w:rsidRPr="002514A5">
          <w:rPr>
            <w:rFonts w:ascii="Palatino Linotype" w:hAnsi="Palatino Linotype"/>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13616CC0" w:rsidR="004A7A4C" w:rsidRPr="004A7A4C" w:rsidRDefault="00FB7C7C" w:rsidP="004A7A4C">
        <w:pPr>
          <w:pStyle w:val="Footer"/>
          <w:rPr>
            <w:rFonts w:ascii="Palatino Linotype" w:hAnsi="Palatino Linotype"/>
          </w:rPr>
        </w:pPr>
        <w:r>
          <w:rPr>
            <w:rFonts w:ascii="Palatino Linotype" w:hAnsi="Palatino Linotype"/>
          </w:rPr>
          <w:tab/>
        </w:r>
        <w:r w:rsidR="00AA56B7">
          <w:rPr>
            <w:rFonts w:ascii="Palatino Linotype" w:hAnsi="Palatino Linotype"/>
          </w:rPr>
          <w:t>C-</w:t>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2722878"/>
      <w:docPartObj>
        <w:docPartGallery w:val="Page Numbers (Bottom of Page)"/>
        <w:docPartUnique/>
      </w:docPartObj>
    </w:sdtPr>
    <w:sdtEndPr>
      <w:rPr>
        <w:noProof/>
      </w:rPr>
    </w:sdtEndPr>
    <w:sdtContent>
      <w:p w14:paraId="20665C43" w14:textId="79F7BAE3" w:rsidR="0064313E" w:rsidRPr="004A7A4C" w:rsidRDefault="0064313E" w:rsidP="004A7A4C">
        <w:pPr>
          <w:pStyle w:val="Footer"/>
          <w:rPr>
            <w:rFonts w:ascii="Palatino Linotype" w:hAnsi="Palatino Linotype"/>
          </w:rPr>
        </w:pPr>
        <w:r>
          <w:rPr>
            <w:rFonts w:ascii="Palatino Linotype" w:hAnsi="Palatino Linotype"/>
          </w:rPr>
          <w:tab/>
          <w:t>D-</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4180" w14:textId="2314891B" w:rsidR="0064313E" w:rsidRPr="002514A5" w:rsidRDefault="0064313E">
    <w:pPr>
      <w:pStyle w:val="Footer"/>
      <w:jc w:val="center"/>
      <w:rPr>
        <w:rFonts w:ascii="Palatino Linotype" w:hAnsi="Palatino Linotype"/>
      </w:rPr>
    </w:pPr>
    <w:r>
      <w:rPr>
        <w:rFonts w:ascii="Palatino Linotype" w:hAnsi="Palatino Linotype"/>
      </w:rPr>
      <w:t>D-</w:t>
    </w:r>
    <w:sdt>
      <w:sdtPr>
        <w:rPr>
          <w:rFonts w:ascii="Palatino Linotype" w:hAnsi="Palatino Linotype"/>
        </w:rPr>
        <w:id w:val="2088101603"/>
        <w:docPartObj>
          <w:docPartGallery w:val="Page Numbers (Bottom of Page)"/>
          <w:docPartUnique/>
        </w:docPartObj>
      </w:sdtPr>
      <w:sdtEndPr>
        <w:rPr>
          <w:noProof/>
        </w:rPr>
      </w:sdtEndPr>
      <w:sdtContent>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89023795"/>
      <w:docPartObj>
        <w:docPartGallery w:val="Page Numbers (Bottom of Page)"/>
        <w:docPartUnique/>
      </w:docPartObj>
    </w:sdtPr>
    <w:sdtEndPr>
      <w:rPr>
        <w:noProof/>
      </w:rPr>
    </w:sdtEndPr>
    <w:sdtContent>
      <w:p w14:paraId="419AE997" w14:textId="730BFE7D" w:rsidR="00E669F0" w:rsidRPr="004A7A4C" w:rsidRDefault="00E669F0" w:rsidP="004A7A4C">
        <w:pPr>
          <w:pStyle w:val="Footer"/>
          <w:rPr>
            <w:rFonts w:ascii="Palatino Linotype" w:hAnsi="Palatino Linotype"/>
          </w:rPr>
        </w:pPr>
        <w:r>
          <w:rPr>
            <w:rFonts w:ascii="Palatino Linotype" w:hAnsi="Palatino Linotype"/>
          </w:rPr>
          <w:tab/>
          <w:t>E-</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C886" w14:textId="13BC4316" w:rsidR="00E73EAC" w:rsidRPr="002514A5" w:rsidRDefault="004A39B4">
    <w:pPr>
      <w:pStyle w:val="Footer"/>
      <w:jc w:val="center"/>
      <w:rPr>
        <w:rFonts w:ascii="Palatino Linotype" w:hAnsi="Palatino Linotype"/>
      </w:rPr>
    </w:pPr>
    <w:r>
      <w:rPr>
        <w:rFonts w:ascii="Palatino Linotype" w:hAnsi="Palatino Linotype"/>
      </w:rPr>
      <w:t>E</w:t>
    </w:r>
    <w:r w:rsidR="00E73EAC">
      <w:rPr>
        <w:rFonts w:ascii="Palatino Linotype" w:hAnsi="Palatino Linotype"/>
      </w:rPr>
      <w:t>-</w:t>
    </w:r>
    <w:sdt>
      <w:sdtPr>
        <w:rPr>
          <w:rFonts w:ascii="Palatino Linotype" w:hAnsi="Palatino Linotype"/>
        </w:rPr>
        <w:id w:val="-788578945"/>
        <w:docPartObj>
          <w:docPartGallery w:val="Page Numbers (Bottom of Page)"/>
          <w:docPartUnique/>
        </w:docPartObj>
      </w:sdtPr>
      <w:sdtEndPr>
        <w:rPr>
          <w:noProof/>
        </w:rPr>
      </w:sdtEndPr>
      <w:sdtContent>
        <w:r w:rsidR="00E73EAC" w:rsidRPr="002514A5">
          <w:rPr>
            <w:rFonts w:ascii="Palatino Linotype" w:hAnsi="Palatino Linotype"/>
          </w:rPr>
          <w:fldChar w:fldCharType="begin"/>
        </w:r>
        <w:r w:rsidR="00E73EAC" w:rsidRPr="002514A5">
          <w:rPr>
            <w:rFonts w:ascii="Palatino Linotype" w:hAnsi="Palatino Linotype"/>
          </w:rPr>
          <w:instrText xml:space="preserve"> PAGE   \* MERGEFORMAT </w:instrText>
        </w:r>
        <w:r w:rsidR="00E73EAC" w:rsidRPr="002514A5">
          <w:rPr>
            <w:rFonts w:ascii="Palatino Linotype" w:hAnsi="Palatino Linotype"/>
          </w:rPr>
          <w:fldChar w:fldCharType="separate"/>
        </w:r>
        <w:r w:rsidR="00E73EAC" w:rsidRPr="002514A5">
          <w:rPr>
            <w:rFonts w:ascii="Palatino Linotype" w:hAnsi="Palatino Linotype"/>
            <w:noProof/>
          </w:rPr>
          <w:t>2</w:t>
        </w:r>
        <w:r w:rsidR="00E73EAC" w:rsidRPr="002514A5">
          <w:rPr>
            <w:rFonts w:ascii="Palatino Linotype" w:hAnsi="Palatino Linotype"/>
            <w:noProof/>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8CA4" w14:textId="60F76DEA" w:rsidR="004A39B4" w:rsidRPr="002514A5" w:rsidRDefault="004A39B4">
    <w:pPr>
      <w:pStyle w:val="Footer"/>
      <w:jc w:val="center"/>
      <w:rPr>
        <w:rFonts w:ascii="Palatino Linotype" w:hAnsi="Palatino Linotype"/>
      </w:rPr>
    </w:pPr>
    <w:r>
      <w:rPr>
        <w:rFonts w:ascii="Palatino Linotype" w:hAnsi="Palatino Linotype"/>
      </w:rPr>
      <w:t>F-</w:t>
    </w:r>
    <w:sdt>
      <w:sdtPr>
        <w:rPr>
          <w:rFonts w:ascii="Palatino Linotype" w:hAnsi="Palatino Linotype"/>
        </w:rPr>
        <w:id w:val="245230277"/>
        <w:docPartObj>
          <w:docPartGallery w:val="Page Numbers (Bottom of Page)"/>
          <w:docPartUnique/>
        </w:docPartObj>
      </w:sdtPr>
      <w:sdtEndPr>
        <w:rPr>
          <w:noProof/>
        </w:rPr>
      </w:sdtEndPr>
      <w:sdtContent>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16DE" w14:textId="51CA9E12" w:rsidR="004A39B4" w:rsidRPr="002514A5" w:rsidRDefault="004A39B4">
    <w:pPr>
      <w:pStyle w:val="Footer"/>
      <w:jc w:val="center"/>
      <w:rPr>
        <w:rFonts w:ascii="Palatino Linotype" w:hAnsi="Palatino Linotype"/>
      </w:rPr>
    </w:pPr>
    <w:r>
      <w:rPr>
        <w:rFonts w:ascii="Palatino Linotype" w:hAnsi="Palatino Linotype"/>
      </w:rPr>
      <w:t>G-</w:t>
    </w:r>
    <w:sdt>
      <w:sdtPr>
        <w:rPr>
          <w:rFonts w:ascii="Palatino Linotype" w:hAnsi="Palatino Linotype"/>
        </w:rPr>
        <w:id w:val="-991718351"/>
        <w:docPartObj>
          <w:docPartGallery w:val="Page Numbers (Bottom of Page)"/>
          <w:docPartUnique/>
        </w:docPartObj>
      </w:sdtPr>
      <w:sdtEndPr>
        <w:rPr>
          <w:noProof/>
        </w:rPr>
      </w:sdtEndPr>
      <w:sdtContent>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393C" w14:textId="1EF38065" w:rsidR="00F715BA" w:rsidRPr="002514A5" w:rsidRDefault="00F715BA">
    <w:pPr>
      <w:pStyle w:val="Footer"/>
      <w:jc w:val="center"/>
      <w:rPr>
        <w:rFonts w:ascii="Palatino Linotype" w:hAnsi="Palatino Linotype"/>
      </w:rPr>
    </w:pPr>
    <w:r>
      <w:rPr>
        <w:rFonts w:ascii="Palatino Linotype" w:hAnsi="Palatino Linotype"/>
      </w:rPr>
      <w:t>H-</w:t>
    </w:r>
    <w:sdt>
      <w:sdtPr>
        <w:rPr>
          <w:rFonts w:ascii="Palatino Linotype" w:hAnsi="Palatino Linotype"/>
        </w:rPr>
        <w:id w:val="-1668542170"/>
        <w:docPartObj>
          <w:docPartGallery w:val="Page Numbers (Bottom of Page)"/>
          <w:docPartUnique/>
        </w:docPartObj>
      </w:sdtPr>
      <w:sdtEndPr>
        <w:rPr>
          <w:noProof/>
        </w:rPr>
      </w:sdtEndPr>
      <w:sdtContent>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7A4F2" w14:textId="77777777" w:rsidR="00C45A02" w:rsidRDefault="00C45A02" w:rsidP="00A76F4A">
      <w:pPr>
        <w:spacing w:after="0" w:line="240" w:lineRule="auto"/>
      </w:pPr>
      <w:r>
        <w:separator/>
      </w:r>
    </w:p>
  </w:footnote>
  <w:footnote w:type="continuationSeparator" w:id="0">
    <w:p w14:paraId="77F27DD9" w14:textId="77777777" w:rsidR="00C45A02" w:rsidRDefault="00C45A02" w:rsidP="00A76F4A">
      <w:pPr>
        <w:spacing w:after="0" w:line="240" w:lineRule="auto"/>
      </w:pPr>
      <w:r>
        <w:continuationSeparator/>
      </w:r>
    </w:p>
  </w:footnote>
  <w:footnote w:id="1">
    <w:p w14:paraId="64166867" w14:textId="77777777" w:rsidR="00D41CC2" w:rsidRPr="00391600" w:rsidRDefault="00D41CC2" w:rsidP="00D41CC2">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r w:rsidRPr="00391600">
        <w:rPr>
          <w:rFonts w:ascii="Palatino Linotype" w:hAnsi="Palatino Linotype"/>
          <w:color w:val="000000" w:themeColor="text1"/>
        </w:rPr>
        <w:t>Modifies</w:t>
      </w:r>
      <w:r w:rsidRPr="00391600">
        <w:rPr>
          <w:rFonts w:ascii="Palatino Linotype" w:hAnsi="Palatino Linotype"/>
          <w:b/>
          <w:bCs/>
          <w:color w:val="EE0000"/>
        </w:rPr>
        <w:t xml:space="preserve"> </w:t>
      </w:r>
      <w:hyperlink r:id="rId1" w:history="1">
        <w:r w:rsidRPr="00391600">
          <w:rPr>
            <w:rStyle w:val="Hyperlink"/>
            <w:rFonts w:ascii="Palatino Linotype" w:hAnsi="Palatino Linotype"/>
          </w:rPr>
          <w:t>Resolution G-3394</w:t>
        </w:r>
      </w:hyperlink>
      <w:r w:rsidRPr="00391600">
        <w:rPr>
          <w:rFonts w:ascii="Palatino Linotype" w:hAnsi="Palatino Linotype"/>
          <w:color w:val="000000" w:themeColor="text1"/>
        </w:rPr>
        <w:t xml:space="preserve"> (2006): Approving CEC’s CY 2007 Gas RD&amp;D Plan at Ordering Paragraph (OP) 2. “The CEC shall submit its… Annual [Report] by October 31st.</w:t>
      </w:r>
      <w:r w:rsidRPr="00391600">
        <w:rPr>
          <w:rFonts w:ascii="Palatino Linotype" w:hAnsi="Palatino Linotype" w:cs="Times New Roman"/>
          <w:color w:val="000000" w:themeColor="text1"/>
        </w:rPr>
        <w:t xml:space="preserve">” </w:t>
      </w:r>
    </w:p>
  </w:footnote>
  <w:footnote w:id="2">
    <w:p w14:paraId="5F855DF8" w14:textId="2FC99810" w:rsidR="000B041B" w:rsidRPr="00391600" w:rsidRDefault="000B041B">
      <w:pPr>
        <w:pStyle w:val="FootnoteText"/>
        <w:rPr>
          <w:rFonts w:ascii="Palatino Linotype" w:hAnsi="Palatino Linotype"/>
        </w:rPr>
      </w:pPr>
      <w:r w:rsidRPr="00391600">
        <w:rPr>
          <w:rStyle w:val="FootnoteReference"/>
          <w:rFonts w:ascii="Palatino Linotype" w:hAnsi="Palatino Linotype"/>
        </w:rPr>
        <w:footnoteRef/>
      </w:r>
      <w:r w:rsidR="69FC5201" w:rsidRPr="00391600">
        <w:rPr>
          <w:rFonts w:ascii="Palatino Linotype" w:hAnsi="Palatino Linotype"/>
        </w:rPr>
        <w:t xml:space="preserve"> </w:t>
      </w:r>
      <w:r w:rsidR="2E043454" w:rsidRPr="00391600">
        <w:rPr>
          <w:rFonts w:ascii="Palatino Linotype" w:eastAsia="Palatino Linotype" w:hAnsi="Palatino Linotype" w:cs="Palatino Linotype"/>
        </w:rPr>
        <w:t>Reporting required per</w:t>
      </w:r>
      <w:r w:rsidR="69FC5201" w:rsidRPr="00391600">
        <w:rPr>
          <w:rFonts w:ascii="Palatino Linotype" w:eastAsia="Palatino Linotype" w:hAnsi="Palatino Linotype" w:cs="Palatino Linotype"/>
        </w:rPr>
        <w:t xml:space="preserve"> </w:t>
      </w:r>
      <w:hyperlink r:id="rId2">
        <w:r w:rsidR="69FC5201" w:rsidRPr="00391600">
          <w:rPr>
            <w:rStyle w:val="Hyperlink"/>
            <w:rFonts w:ascii="Palatino Linotype" w:eastAsia="Palatino Linotype" w:hAnsi="Palatino Linotype" w:cs="Palatino Linotype"/>
            <w:color w:val="467886"/>
          </w:rPr>
          <w:t>Resolution G-3584</w:t>
        </w:r>
      </w:hyperlink>
      <w:r w:rsidR="69FC5201" w:rsidRPr="00391600">
        <w:rPr>
          <w:rFonts w:ascii="Palatino Linotype" w:eastAsia="Palatino Linotype" w:hAnsi="Palatino Linotype" w:cs="Palatino Linotype"/>
        </w:rPr>
        <w:t xml:space="preserve"> (2021) at OP 4 &amp; </w:t>
      </w:r>
      <w:hyperlink r:id="rId3">
        <w:r w:rsidR="21F65C22" w:rsidRPr="00391600">
          <w:rPr>
            <w:rStyle w:val="Hyperlink"/>
            <w:rFonts w:ascii="Palatino Linotype" w:eastAsia="Palatino Linotype" w:hAnsi="Palatino Linotype" w:cs="Palatino Linotype"/>
            <w:color w:val="467886"/>
          </w:rPr>
          <w:t>Resolution G-3592</w:t>
        </w:r>
      </w:hyperlink>
      <w:r w:rsidR="21F65C22" w:rsidRPr="00391600">
        <w:rPr>
          <w:rFonts w:ascii="Palatino Linotype" w:eastAsia="Palatino Linotype" w:hAnsi="Palatino Linotype" w:cs="Palatino Linotype"/>
        </w:rPr>
        <w:t xml:space="preserve"> (2023) </w:t>
      </w:r>
      <w:r w:rsidR="65515A7C" w:rsidRPr="00391600">
        <w:rPr>
          <w:rFonts w:ascii="Palatino Linotype" w:eastAsia="Palatino Linotype" w:hAnsi="Palatino Linotype" w:cs="Palatino Linotype"/>
        </w:rPr>
        <w:t>at OP 7.</w:t>
      </w:r>
    </w:p>
  </w:footnote>
  <w:footnote w:id="3">
    <w:p w14:paraId="5D6D3C73" w14:textId="0689044B" w:rsidR="00DF4027" w:rsidRPr="00CB3BEE" w:rsidRDefault="00DF4027">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4" w:tgtFrame="_blank" w:history="1">
        <w:r w:rsidR="00CB3BEE" w:rsidRPr="00391600">
          <w:rPr>
            <w:rStyle w:val="Hyperlink"/>
            <w:rFonts w:ascii="Palatino Linotype" w:hAnsi="Palatino Linotype"/>
          </w:rPr>
          <w:t>D.04-08-010</w:t>
        </w:r>
      </w:hyperlink>
      <w:r w:rsidR="00CB3BEE" w:rsidRPr="00391600">
        <w:rPr>
          <w:rFonts w:ascii="Palatino Linotype" w:hAnsi="Palatino Linotype"/>
        </w:rPr>
        <w:t xml:space="preserve"> at p. 42 &amp; OP 21.</w:t>
      </w:r>
      <w:r w:rsidR="00CB3BEE" w:rsidRPr="00CB3BEE">
        <w:rPr>
          <w:rFonts w:ascii="Palatino Linotype" w:hAnsi="Palatino Linotype"/>
        </w:rPr>
        <w:t> </w:t>
      </w:r>
    </w:p>
  </w:footnote>
  <w:footnote w:id="4">
    <w:p w14:paraId="2EE51862" w14:textId="175F0F3B" w:rsidR="00CD745A" w:rsidRPr="00391600" w:rsidRDefault="00CD745A" w:rsidP="00A53B24">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5" w:tgtFrame="_blank" w:history="1">
        <w:r w:rsidR="00CC1E9D" w:rsidRPr="00391600">
          <w:rPr>
            <w:rStyle w:val="Hyperlink"/>
            <w:rFonts w:ascii="Palatino Linotype" w:hAnsi="Palatino Linotype"/>
          </w:rPr>
          <w:t>D.04-08-010</w:t>
        </w:r>
      </w:hyperlink>
      <w:r w:rsidR="00CC1E9D" w:rsidRPr="00391600">
        <w:rPr>
          <w:rFonts w:ascii="Palatino Linotype" w:hAnsi="Palatino Linotype"/>
        </w:rPr>
        <w:t xml:space="preserve"> at p. 44</w:t>
      </w:r>
      <w:r w:rsidR="005E4E25" w:rsidRPr="00391600">
        <w:rPr>
          <w:rFonts w:ascii="Palatino Linotype" w:hAnsi="Palatino Linotype"/>
        </w:rPr>
        <w:t xml:space="preserve"> requires</w:t>
      </w:r>
      <w:r w:rsidR="00A53B24" w:rsidRPr="00391600">
        <w:rPr>
          <w:rFonts w:ascii="Palatino Linotype" w:hAnsi="Palatino Linotype"/>
        </w:rPr>
        <w:t xml:space="preserve"> </w:t>
      </w:r>
      <w:r w:rsidR="005E4E25" w:rsidRPr="00391600">
        <w:rPr>
          <w:rFonts w:ascii="Palatino Linotype" w:hAnsi="Palatino Linotype"/>
        </w:rPr>
        <w:t>Annual Plan</w:t>
      </w:r>
      <w:r w:rsidR="00A53B24" w:rsidRPr="00391600">
        <w:rPr>
          <w:rFonts w:ascii="Palatino Linotype" w:hAnsi="Palatino Linotype"/>
        </w:rPr>
        <w:t xml:space="preserve"> </w:t>
      </w:r>
      <w:r w:rsidR="005E4E25" w:rsidRPr="00391600">
        <w:rPr>
          <w:rFonts w:ascii="Palatino Linotype" w:hAnsi="Palatino Linotype"/>
        </w:rPr>
        <w:t xml:space="preserve">submittal </w:t>
      </w:r>
      <w:r w:rsidR="00A53B24" w:rsidRPr="00391600">
        <w:rPr>
          <w:rFonts w:ascii="Palatino Linotype" w:hAnsi="Palatino Linotype"/>
        </w:rPr>
        <w:t>to the Energy Division</w:t>
      </w:r>
      <w:r w:rsidR="005E4E25" w:rsidRPr="00391600">
        <w:rPr>
          <w:rFonts w:ascii="Palatino Linotype" w:hAnsi="Palatino Linotype"/>
        </w:rPr>
        <w:t xml:space="preserve"> for review and approval.</w:t>
      </w:r>
    </w:p>
  </w:footnote>
  <w:footnote w:id="5">
    <w:p w14:paraId="38414EA0" w14:textId="1FFE8A5C" w:rsidR="00A34B11" w:rsidRPr="00391600" w:rsidRDefault="00A34B11">
      <w:pPr>
        <w:pStyle w:val="FootnoteText"/>
        <w:rPr>
          <w:rFonts w:ascii="Palatino Linotype" w:hAnsi="Palatino Linotype"/>
          <w:highlight w:val="yellow"/>
        </w:rPr>
      </w:pPr>
      <w:r w:rsidRPr="00391600">
        <w:rPr>
          <w:rStyle w:val="FootnoteReference"/>
          <w:rFonts w:ascii="Palatino Linotype" w:hAnsi="Palatino Linotype"/>
        </w:rPr>
        <w:footnoteRef/>
      </w:r>
      <w:r w:rsidRPr="00391600">
        <w:rPr>
          <w:rFonts w:ascii="Palatino Linotype" w:hAnsi="Palatino Linotype"/>
        </w:rPr>
        <w:t xml:space="preserve"> </w:t>
      </w:r>
      <w:hyperlink r:id="rId6" w:tgtFrame="_blank" w:history="1">
        <w:r w:rsidR="002D38F5" w:rsidRPr="00391600">
          <w:rPr>
            <w:rStyle w:val="Hyperlink"/>
            <w:rFonts w:ascii="Palatino Linotype" w:hAnsi="Palatino Linotype"/>
          </w:rPr>
          <w:t>Resolution G-3571</w:t>
        </w:r>
      </w:hyperlink>
      <w:r w:rsidR="002D38F5" w:rsidRPr="00391600">
        <w:rPr>
          <w:rFonts w:ascii="Palatino Linotype" w:hAnsi="Palatino Linotype"/>
        </w:rPr>
        <w:t xml:space="preserve"> (2020) at OP 6. “In developing the future Natural Gas R&amp;D Plans, the CPUC requests that the CEC submit future Natural Gas R&amp;D Plans via the Tier 3 Advice Letter/business letter process.”</w:t>
      </w:r>
    </w:p>
  </w:footnote>
  <w:footnote w:id="6">
    <w:p w14:paraId="4FEC5A95" w14:textId="3AE62EE5" w:rsidR="00A34B11" w:rsidRPr="00FF5E1C" w:rsidRDefault="00A34B11">
      <w:pPr>
        <w:pStyle w:val="FootnoteText"/>
        <w:rPr>
          <w:color w:val="000000" w:themeColor="text1"/>
          <w:highlight w:val="yellow"/>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w:t>
      </w:r>
      <w:r w:rsidRPr="00391600">
        <w:rPr>
          <w:rFonts w:ascii="Palatino Linotype" w:eastAsia="Century Gothic" w:hAnsi="Palatino Linotype" w:cs="Century Gothic"/>
          <w:color w:val="000000" w:themeColor="text1"/>
        </w:rPr>
        <w:t>Resolution G-3622 modifies the Resolution G-3394 (2006) deadline of October 31.</w:t>
      </w:r>
    </w:p>
  </w:footnote>
  <w:footnote w:id="7">
    <w:p w14:paraId="476F744E" w14:textId="5ACF9DF0" w:rsidR="00AA23D7" w:rsidRPr="00391600" w:rsidRDefault="00AA23D7">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7" w:history="1">
        <w:r w:rsidR="00A848AF" w:rsidRPr="00391600">
          <w:rPr>
            <w:rStyle w:val="Hyperlink"/>
            <w:rFonts w:ascii="Palatino Linotype" w:hAnsi="Palatino Linotype"/>
          </w:rPr>
          <w:t>AB 1002</w:t>
        </w:r>
      </w:hyperlink>
      <w:r w:rsidR="00656C3C" w:rsidRPr="00391600">
        <w:rPr>
          <w:rFonts w:ascii="Palatino Linotype" w:hAnsi="Palatino Linotype"/>
        </w:rPr>
        <w:t xml:space="preserve"> (</w:t>
      </w:r>
      <w:r w:rsidR="00A848AF" w:rsidRPr="00391600">
        <w:rPr>
          <w:rFonts w:ascii="Palatino Linotype" w:hAnsi="Palatino Linotype"/>
        </w:rPr>
        <w:t>Wright</w:t>
      </w:r>
      <w:r w:rsidR="00656C3C" w:rsidRPr="00391600">
        <w:rPr>
          <w:rFonts w:ascii="Palatino Linotype" w:hAnsi="Palatino Linotype"/>
        </w:rPr>
        <w:t>, 200</w:t>
      </w:r>
      <w:r w:rsidR="001F1C3D" w:rsidRPr="00391600">
        <w:rPr>
          <w:rFonts w:ascii="Palatino Linotype" w:hAnsi="Palatino Linotype"/>
        </w:rPr>
        <w:t>0</w:t>
      </w:r>
      <w:r w:rsidR="00656C3C" w:rsidRPr="00391600">
        <w:rPr>
          <w:rFonts w:ascii="Palatino Linotype" w:hAnsi="Palatino Linotype"/>
        </w:rPr>
        <w:t>)</w:t>
      </w:r>
      <w:r w:rsidR="001F1C3D" w:rsidRPr="00391600">
        <w:rPr>
          <w:rFonts w:ascii="Palatino Linotype" w:hAnsi="Palatino Linotype"/>
        </w:rPr>
        <w:t>.</w:t>
      </w:r>
      <w:r w:rsidR="00A848AF" w:rsidRPr="00391600">
        <w:rPr>
          <w:rFonts w:ascii="Palatino Linotype" w:hAnsi="Palatino Linotype"/>
        </w:rPr>
        <w:t xml:space="preserve"> </w:t>
      </w:r>
      <w:r w:rsidR="00A848AF" w:rsidRPr="00391600">
        <w:rPr>
          <w:rFonts w:ascii="Palatino Linotype" w:hAnsi="Palatino Linotype"/>
          <w:i/>
          <w:iCs/>
        </w:rPr>
        <w:t>Natural Gas: Consumption Surcharge</w:t>
      </w:r>
      <w:r w:rsidR="00E34BE1" w:rsidRPr="00391600">
        <w:rPr>
          <w:rFonts w:ascii="Palatino Linotype" w:hAnsi="Palatino Linotype"/>
          <w:i/>
          <w:iCs/>
        </w:rPr>
        <w:t xml:space="preserve"> </w:t>
      </w:r>
      <w:r w:rsidR="00E34BE1" w:rsidRPr="00391600">
        <w:rPr>
          <w:rFonts w:ascii="Palatino Linotype" w:hAnsi="Palatino Linotype"/>
        </w:rPr>
        <w:t xml:space="preserve">at Section 2 Article 10 </w:t>
      </w:r>
      <w:r w:rsidR="00F17648" w:rsidRPr="00391600">
        <w:rPr>
          <w:rFonts w:ascii="Palatino Linotype" w:hAnsi="Palatino Linotype"/>
        </w:rPr>
        <w:t xml:space="preserve">added </w:t>
      </w:r>
      <w:r w:rsidR="00864357">
        <w:rPr>
          <w:rFonts w:ascii="Palatino Linotype" w:hAnsi="Palatino Linotype"/>
        </w:rPr>
        <w:br/>
      </w:r>
      <w:r w:rsidR="008E166C" w:rsidRPr="00391600">
        <w:rPr>
          <w:rFonts w:ascii="Palatino Linotype" w:hAnsi="Palatino Linotype"/>
        </w:rPr>
        <w:t>Sections</w:t>
      </w:r>
      <w:r w:rsidR="00F17648" w:rsidRPr="00391600">
        <w:rPr>
          <w:rFonts w:ascii="Palatino Linotype" w:hAnsi="Palatino Linotype"/>
        </w:rPr>
        <w:t xml:space="preserve"> </w:t>
      </w:r>
      <w:r w:rsidR="008E166C" w:rsidRPr="00391600">
        <w:rPr>
          <w:rFonts w:ascii="Palatino Linotype" w:hAnsi="Palatino Linotype"/>
        </w:rPr>
        <w:t>890-900 to Chapter 4 of Part 1 of Division 1 of the Public Utilities Code.</w:t>
      </w:r>
    </w:p>
  </w:footnote>
  <w:footnote w:id="8">
    <w:p w14:paraId="531F21AC" w14:textId="796F5E20" w:rsidR="00AC49EA" w:rsidRPr="00391600" w:rsidRDefault="00AC49EA">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8" w:history="1">
        <w:r w:rsidRPr="00391600">
          <w:rPr>
            <w:rStyle w:val="Hyperlink"/>
            <w:rFonts w:ascii="Palatino Linotype" w:hAnsi="Palatino Linotype"/>
          </w:rPr>
          <w:t>D.04-08-010</w:t>
        </w:r>
      </w:hyperlink>
      <w:r w:rsidRPr="00391600">
        <w:rPr>
          <w:rFonts w:ascii="Palatino Linotype" w:hAnsi="Palatino Linotype"/>
        </w:rPr>
        <w:t xml:space="preserve">: Opinion Regarding Implementation of </w:t>
      </w:r>
      <w:r w:rsidR="00DE2C94" w:rsidRPr="00391600">
        <w:rPr>
          <w:rFonts w:ascii="Palatino Linotype" w:hAnsi="Palatino Linotype"/>
        </w:rPr>
        <w:t>AB</w:t>
      </w:r>
      <w:r w:rsidRPr="00391600">
        <w:rPr>
          <w:rFonts w:ascii="Palatino Linotype" w:hAnsi="Palatino Linotype"/>
        </w:rPr>
        <w:t xml:space="preserve"> 1002, Establishing a Natural Gas Surcharge.</w:t>
      </w:r>
    </w:p>
  </w:footnote>
  <w:footnote w:id="9">
    <w:p w14:paraId="10FA68E5" w14:textId="734FCEE9" w:rsidR="00B00D19" w:rsidRPr="00391600" w:rsidRDefault="00B00D19" w:rsidP="00B00D19">
      <w:pPr>
        <w:pStyle w:val="10sp0"/>
        <w:spacing w:after="0"/>
        <w:rPr>
          <w:rFonts w:ascii="Palatino Linotype" w:hAnsi="Palatino Linotype"/>
        </w:rPr>
      </w:pPr>
      <w:r w:rsidRPr="00391600">
        <w:rPr>
          <w:rStyle w:val="FootnoteReference"/>
          <w:rFonts w:ascii="Palatino Linotype" w:eastAsiaTheme="minorEastAsia" w:hAnsi="Palatino Linotype" w:cstheme="minorBidi"/>
          <w:kern w:val="2"/>
          <w:sz w:val="20"/>
          <w14:ligatures w14:val="standardContextual"/>
        </w:rPr>
        <w:footnoteRef/>
      </w:r>
      <w:r w:rsidR="005224B5" w:rsidRPr="00391600">
        <w:rPr>
          <w:rFonts w:ascii="Palatino Linotype" w:eastAsiaTheme="minorEastAsia" w:hAnsi="Palatino Linotype" w:cstheme="minorBidi"/>
          <w:kern w:val="2"/>
          <w:sz w:val="20"/>
          <w14:ligatures w14:val="standardContextual"/>
        </w:rPr>
        <w:t xml:space="preserve"> </w:t>
      </w:r>
      <w:r w:rsidR="5A58DA07" w:rsidRPr="00391600">
        <w:rPr>
          <w:rStyle w:val="FootnoteReference"/>
          <w:rFonts w:ascii="Palatino Linotype" w:eastAsiaTheme="minorEastAsia" w:hAnsi="Palatino Linotype" w:cstheme="minorBidi"/>
          <w:kern w:val="2"/>
          <w:sz w:val="20"/>
          <w14:ligatures w14:val="standardContextual"/>
        </w:rPr>
        <w:t xml:space="preserve"> </w:t>
      </w:r>
      <w:hyperlink r:id="rId9">
        <w:r w:rsidR="5A58DA07" w:rsidRPr="00391600">
          <w:rPr>
            <w:rStyle w:val="Hyperlink"/>
            <w:rFonts w:ascii="Palatino Linotype" w:hAnsi="Palatino Linotype"/>
            <w:sz w:val="20"/>
          </w:rPr>
          <w:t>D.04-08-010</w:t>
        </w:r>
      </w:hyperlink>
      <w:r w:rsidR="5A58DA07" w:rsidRPr="00391600">
        <w:rPr>
          <w:rFonts w:ascii="Palatino Linotype" w:hAnsi="Palatino Linotype"/>
          <w:sz w:val="20"/>
        </w:rPr>
        <w:t xml:space="preserve"> at OP 18.</w:t>
      </w:r>
    </w:p>
  </w:footnote>
  <w:footnote w:id="10">
    <w:p w14:paraId="2748FE19" w14:textId="5C56B958" w:rsidR="0033190A" w:rsidRPr="00391600" w:rsidRDefault="0033190A" w:rsidP="0033190A">
      <w:pPr>
        <w:pStyle w:val="FootnoteText"/>
        <w:rPr>
          <w:rFonts w:ascii="Palatino Linotype" w:hAnsi="Palatino Linotype"/>
        </w:rPr>
      </w:pPr>
      <w:r w:rsidRPr="00391600">
        <w:rPr>
          <w:rStyle w:val="FootnoteReference"/>
          <w:rFonts w:ascii="Palatino Linotype" w:hAnsi="Palatino Linotype"/>
        </w:rPr>
        <w:footnoteRef/>
      </w:r>
      <w:r w:rsidRPr="00391600">
        <w:rPr>
          <w:rStyle w:val="FootnoteReference"/>
          <w:rFonts w:ascii="Palatino Linotype" w:hAnsi="Palatino Linotype"/>
        </w:rPr>
        <w:t xml:space="preserve"> </w:t>
      </w:r>
      <w:r w:rsidR="005C2761" w:rsidRPr="00391600">
        <w:rPr>
          <w:rFonts w:ascii="Palatino Linotype" w:hAnsi="Palatino Linotype"/>
        </w:rPr>
        <w:t xml:space="preserve"> </w:t>
      </w:r>
      <w:hyperlink r:id="rId10" w:history="1">
        <w:r w:rsidRPr="00391600">
          <w:rPr>
            <w:rStyle w:val="Hyperlink"/>
            <w:rFonts w:ascii="Palatino Linotype" w:hAnsi="Palatino Linotype"/>
          </w:rPr>
          <w:t>D.04-08-010</w:t>
        </w:r>
      </w:hyperlink>
      <w:r w:rsidRPr="00391600">
        <w:rPr>
          <w:rFonts w:ascii="Palatino Linotype" w:hAnsi="Palatino Linotype"/>
        </w:rPr>
        <w:t xml:space="preserve"> at p. 37 &amp; 42.</w:t>
      </w:r>
    </w:p>
  </w:footnote>
  <w:footnote w:id="11">
    <w:p w14:paraId="2F5799D9" w14:textId="7AA9346B" w:rsidR="0033190A" w:rsidRPr="00391600" w:rsidRDefault="0033190A" w:rsidP="0033190A">
      <w:pPr>
        <w:pStyle w:val="FootnoteText"/>
        <w:rPr>
          <w:rFonts w:ascii="Palatino Linotype" w:hAnsi="Palatino Linotype"/>
        </w:rPr>
      </w:pPr>
      <w:r w:rsidRPr="00391600">
        <w:rPr>
          <w:rStyle w:val="FootnoteReference"/>
          <w:rFonts w:ascii="Palatino Linotype" w:hAnsi="Palatino Linotype"/>
        </w:rPr>
        <w:footnoteRef/>
      </w:r>
      <w:r w:rsidR="005224B5" w:rsidRPr="00391600">
        <w:rPr>
          <w:rFonts w:ascii="Palatino Linotype" w:hAnsi="Palatino Linotype"/>
        </w:rPr>
        <w:t xml:space="preserve"> </w:t>
      </w:r>
      <w:r w:rsidRPr="00391600">
        <w:rPr>
          <w:rStyle w:val="FootnoteReference"/>
          <w:rFonts w:ascii="Palatino Linotype" w:hAnsi="Palatino Linotype"/>
        </w:rPr>
        <w:t xml:space="preserve"> </w:t>
      </w:r>
      <w:hyperlink r:id="rId11" w:history="1">
        <w:r w:rsidRPr="00391600">
          <w:rPr>
            <w:rStyle w:val="Hyperlink"/>
            <w:rFonts w:ascii="Palatino Linotype" w:hAnsi="Palatino Linotype"/>
          </w:rPr>
          <w:t>D.04-08-010</w:t>
        </w:r>
      </w:hyperlink>
      <w:r w:rsidRPr="00391600">
        <w:rPr>
          <w:rFonts w:ascii="Palatino Linotype" w:hAnsi="Palatino Linotype"/>
        </w:rPr>
        <w:t xml:space="preserve"> at p</w:t>
      </w:r>
      <w:proofErr w:type="gramStart"/>
      <w:r w:rsidRPr="00391600">
        <w:rPr>
          <w:rFonts w:ascii="Palatino Linotype" w:hAnsi="Palatino Linotype"/>
        </w:rPr>
        <w:t>. 32</w:t>
      </w:r>
      <w:proofErr w:type="gramEnd"/>
      <w:r w:rsidRPr="00391600">
        <w:rPr>
          <w:rFonts w:ascii="Palatino Linotype" w:hAnsi="Palatino Linotype"/>
        </w:rPr>
        <w:t>.</w:t>
      </w:r>
    </w:p>
  </w:footnote>
  <w:footnote w:id="12">
    <w:p w14:paraId="4C3ED3C2" w14:textId="0321F59D" w:rsidR="00C766CC" w:rsidRPr="00391600" w:rsidRDefault="00C766CC" w:rsidP="00C766C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12" w:history="1">
        <w:r w:rsidRPr="00391600">
          <w:rPr>
            <w:rStyle w:val="Hyperlink"/>
            <w:rFonts w:ascii="Palatino Linotype" w:hAnsi="Palatino Linotype"/>
          </w:rPr>
          <w:t>D.04-08-010</w:t>
        </w:r>
      </w:hyperlink>
      <w:r w:rsidRPr="00391600">
        <w:rPr>
          <w:rFonts w:ascii="Palatino Linotype" w:hAnsi="Palatino Linotype"/>
        </w:rPr>
        <w:t xml:space="preserve"> at </w:t>
      </w:r>
      <w:r w:rsidR="00244BBC" w:rsidRPr="00391600">
        <w:rPr>
          <w:rFonts w:ascii="Palatino Linotype" w:hAnsi="Palatino Linotype"/>
        </w:rPr>
        <w:t>Finding of Fact (</w:t>
      </w:r>
      <w:r w:rsidRPr="00391600">
        <w:rPr>
          <w:rFonts w:ascii="Palatino Linotype" w:hAnsi="Palatino Linotype"/>
        </w:rPr>
        <w:t>FOF</w:t>
      </w:r>
      <w:r w:rsidR="00244BBC" w:rsidRPr="00391600">
        <w:rPr>
          <w:rFonts w:ascii="Palatino Linotype" w:hAnsi="Palatino Linotype"/>
        </w:rPr>
        <w:t>)</w:t>
      </w:r>
      <w:r w:rsidRPr="00391600">
        <w:rPr>
          <w:rFonts w:ascii="Palatino Linotype" w:hAnsi="Palatino Linotype"/>
        </w:rPr>
        <w:t xml:space="preserve"> 31 &amp; OP 17.</w:t>
      </w:r>
    </w:p>
  </w:footnote>
  <w:footnote w:id="13">
    <w:p w14:paraId="11E00113" w14:textId="6CB4416E" w:rsidR="00BD4655" w:rsidRPr="00391600" w:rsidRDefault="00BD4655" w:rsidP="00BD4655">
      <w:pPr>
        <w:spacing w:after="0" w:line="240" w:lineRule="auto"/>
        <w:rPr>
          <w:rFonts w:ascii="Palatino Linotype" w:hAnsi="Palatino Linotype"/>
          <w:sz w:val="20"/>
          <w:szCs w:val="20"/>
        </w:rPr>
      </w:pPr>
      <w:r w:rsidRPr="00391600">
        <w:rPr>
          <w:rStyle w:val="FootnoteReference"/>
          <w:rFonts w:ascii="Palatino Linotype" w:hAnsi="Palatino Linotype"/>
          <w:sz w:val="20"/>
          <w:szCs w:val="20"/>
        </w:rPr>
        <w:footnoteRef/>
      </w:r>
      <w:r w:rsidRPr="00391600">
        <w:rPr>
          <w:rFonts w:ascii="Palatino Linotype" w:hAnsi="Palatino Linotype"/>
          <w:sz w:val="20"/>
          <w:szCs w:val="20"/>
        </w:rPr>
        <w:t xml:space="preserve"> The Commission’s compliance assessments of Public Utilities Code 740.1 at (a) and (b) are captured in the compliance assessments of AL 12-G and 10-G-A with </w:t>
      </w:r>
      <w:hyperlink r:id="rId13" w:history="1">
        <w:r w:rsidRPr="00391600">
          <w:rPr>
            <w:rStyle w:val="Hyperlink"/>
            <w:rFonts w:ascii="Palatino Linotype" w:hAnsi="Palatino Linotype"/>
            <w:sz w:val="20"/>
            <w:szCs w:val="20"/>
          </w:rPr>
          <w:t>Resolution G-3603</w:t>
        </w:r>
      </w:hyperlink>
      <w:r w:rsidRPr="00391600">
        <w:rPr>
          <w:rFonts w:ascii="Palatino Linotype" w:hAnsi="Palatino Linotype"/>
          <w:sz w:val="20"/>
          <w:szCs w:val="20"/>
        </w:rPr>
        <w:t xml:space="preserve"> (2024): Approving CEC’s </w:t>
      </w:r>
      <w:r w:rsidR="007D4096">
        <w:rPr>
          <w:rFonts w:ascii="Palatino Linotype" w:hAnsi="Palatino Linotype"/>
          <w:sz w:val="20"/>
          <w:szCs w:val="20"/>
        </w:rPr>
        <w:br/>
      </w:r>
      <w:r w:rsidRPr="00391600">
        <w:rPr>
          <w:rFonts w:ascii="Palatino Linotype" w:hAnsi="Palatino Linotype"/>
          <w:sz w:val="20"/>
          <w:szCs w:val="20"/>
        </w:rPr>
        <w:t xml:space="preserve">FY 2023-2024 Gas RD&amp;D Plan at </w:t>
      </w:r>
      <w:r w:rsidR="00EE61EA" w:rsidRPr="00391600">
        <w:rPr>
          <w:rFonts w:ascii="Palatino Linotype" w:hAnsi="Palatino Linotype"/>
          <w:sz w:val="20"/>
          <w:szCs w:val="20"/>
        </w:rPr>
        <w:t>OP</w:t>
      </w:r>
      <w:r w:rsidRPr="00391600">
        <w:rPr>
          <w:rFonts w:ascii="Palatino Linotype" w:hAnsi="Palatino Linotype"/>
          <w:sz w:val="20"/>
          <w:szCs w:val="20"/>
        </w:rPr>
        <w:t xml:space="preserve"> 6. “Once the Electric Program Investment Charge (EPIC) program’s Uniform Impact Analysis framework is approved by the Commission, the California Energy Commission shall use this framework to demonstrate outcomes of achieving its proposed benefits for all current and future research projects including through quantitative methodologies.”</w:t>
      </w:r>
    </w:p>
  </w:footnote>
  <w:footnote w:id="14">
    <w:p w14:paraId="5995F0DF" w14:textId="0E12D408" w:rsidR="00BD4655" w:rsidRPr="00391600" w:rsidRDefault="00BD4655" w:rsidP="00BD4655">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The Commission’s compliance assessment of Public Utilities Code 740.1 at (c) is captured in the compliance assessments of AL 12-G and 10-G-A with </w:t>
      </w:r>
      <w:hyperlink r:id="rId14" w:history="1">
        <w:r w:rsidRPr="00391600">
          <w:rPr>
            <w:rStyle w:val="Hyperlink"/>
            <w:rFonts w:ascii="Palatino Linotype" w:hAnsi="Palatino Linotype"/>
          </w:rPr>
          <w:t>Resolution G-3592</w:t>
        </w:r>
      </w:hyperlink>
      <w:r w:rsidRPr="00391600">
        <w:rPr>
          <w:rFonts w:ascii="Palatino Linotype" w:hAnsi="Palatino Linotype"/>
          <w:b/>
        </w:rPr>
        <w:t xml:space="preserve"> </w:t>
      </w:r>
      <w:r w:rsidRPr="00391600">
        <w:rPr>
          <w:rFonts w:ascii="Palatino Linotype" w:hAnsi="Palatino Linotype"/>
          <w:bCs/>
        </w:rPr>
        <w:t xml:space="preserve">(2023): </w:t>
      </w:r>
      <w:r w:rsidRPr="00391600">
        <w:rPr>
          <w:rFonts w:ascii="Palatino Linotype" w:hAnsi="Palatino Linotype"/>
        </w:rPr>
        <w:t xml:space="preserve">Approving CEC’s </w:t>
      </w:r>
      <w:r w:rsidR="008B24DE">
        <w:rPr>
          <w:rFonts w:ascii="Palatino Linotype" w:hAnsi="Palatino Linotype"/>
        </w:rPr>
        <w:br/>
      </w:r>
      <w:r w:rsidRPr="00391600">
        <w:rPr>
          <w:rFonts w:ascii="Palatino Linotype" w:hAnsi="Palatino Linotype"/>
        </w:rPr>
        <w:t>FY 2022-2023 Gas RD&amp;D Plan</w:t>
      </w:r>
      <w:r w:rsidRPr="00391600">
        <w:rPr>
          <w:rFonts w:ascii="Palatino Linotype" w:hAnsi="Palatino Linotype"/>
          <w:bCs/>
        </w:rPr>
        <w:t xml:space="preserve"> at OP 5c &amp; d.</w:t>
      </w:r>
      <w:r w:rsidRPr="00391600">
        <w:rPr>
          <w:rFonts w:ascii="Palatino Linotype" w:hAnsi="Palatino Linotype"/>
          <w:bCs/>
          <w:i/>
          <w:iCs/>
        </w:rPr>
        <w:t xml:space="preserve"> “</w:t>
      </w:r>
      <w:r w:rsidRPr="00391600">
        <w:rPr>
          <w:rFonts w:ascii="Palatino Linotype" w:hAnsi="Palatino Linotype"/>
          <w:bCs/>
        </w:rPr>
        <w:t>Describe its process for seeking collaborative and co-funding opportunities, detailed proposals for such opportunities, or explain why it did not consider collaborative and co-funding opportunities [and] include information on coordination with the IOUs and other</w:t>
      </w:r>
      <w:r w:rsidRPr="00A00984">
        <w:rPr>
          <w:rFonts w:ascii="Palatino Linotype" w:hAnsi="Palatino Linotype"/>
          <w:bCs/>
        </w:rPr>
        <w:t xml:space="preserve"> </w:t>
      </w:r>
      <w:r w:rsidRPr="00391600">
        <w:rPr>
          <w:rFonts w:ascii="Palatino Linotype" w:hAnsi="Palatino Linotype"/>
          <w:bCs/>
        </w:rPr>
        <w:t xml:space="preserve">research stakeholders at both a high-level on coordination process and project level details of partnership, costs, and co-funding within the body of the research plan.”  </w:t>
      </w:r>
    </w:p>
  </w:footnote>
  <w:footnote w:id="15">
    <w:p w14:paraId="684672FA" w14:textId="77777777" w:rsidR="00BD4655" w:rsidRPr="00391600" w:rsidRDefault="00BD4655" w:rsidP="00BD4655">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Consistent with </w:t>
      </w:r>
      <w:hyperlink r:id="rId15" w:history="1">
        <w:r w:rsidRPr="00391600">
          <w:rPr>
            <w:rStyle w:val="Hyperlink"/>
            <w:rFonts w:ascii="Palatino Linotype" w:hAnsi="Palatino Linotype"/>
          </w:rPr>
          <w:t>Executive Order (EO) N-5-24</w:t>
        </w:r>
      </w:hyperlink>
      <w:r w:rsidRPr="00391600">
        <w:rPr>
          <w:rFonts w:ascii="Palatino Linotype" w:hAnsi="Palatino Linotype"/>
        </w:rPr>
        <w:t xml:space="preserve"> (October 30, 2024) On reducing rates.</w:t>
      </w:r>
    </w:p>
  </w:footnote>
  <w:footnote w:id="16">
    <w:p w14:paraId="214E90FF" w14:textId="77777777" w:rsidR="00C766CC" w:rsidRPr="00391600" w:rsidRDefault="00C766CC" w:rsidP="00C766C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The Commission’s compliance assessments of </w:t>
      </w:r>
      <w:hyperlink r:id="rId16" w:history="1">
        <w:r w:rsidRPr="00391600">
          <w:rPr>
            <w:rStyle w:val="Hyperlink"/>
            <w:rFonts w:ascii="Palatino Linotype" w:hAnsi="Palatino Linotype"/>
          </w:rPr>
          <w:t>D.04-08-010</w:t>
        </w:r>
      </w:hyperlink>
      <w:r w:rsidRPr="00391600">
        <w:rPr>
          <w:rFonts w:ascii="Palatino Linotype" w:hAnsi="Palatino Linotype"/>
        </w:rPr>
        <w:t xml:space="preserve"> at 1) is captured in the compliance assessments of AL 12-G and 10-G-A with Public Utilities Code 740.1 at </w:t>
      </w:r>
      <w:r w:rsidRPr="00391600">
        <w:rPr>
          <w:rFonts w:ascii="Palatino Linotype" w:hAnsi="Palatino Linotype"/>
          <w:bCs/>
        </w:rPr>
        <w:t>(e)</w:t>
      </w:r>
      <w:r w:rsidRPr="00391600">
        <w:rPr>
          <w:rFonts w:ascii="Palatino Linotype" w:hAnsi="Palatino Linotype"/>
          <w:bCs/>
          <w:i/>
          <w:iCs/>
        </w:rPr>
        <w:t xml:space="preserve"> </w:t>
      </w:r>
      <w:r w:rsidRPr="00391600">
        <w:rPr>
          <w:rFonts w:ascii="Palatino Linotype" w:hAnsi="Palatino Linotype"/>
          <w:bCs/>
        </w:rPr>
        <w:t>“Each project should also support one or more of the following objectives…”</w:t>
      </w:r>
    </w:p>
  </w:footnote>
  <w:footnote w:id="17">
    <w:p w14:paraId="5E1D401B" w14:textId="77777777" w:rsidR="00C766CC" w:rsidRPr="00391600" w:rsidRDefault="00C766CC" w:rsidP="00C766C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The Commission’s compliance assessments of </w:t>
      </w:r>
      <w:hyperlink r:id="rId17" w:history="1">
        <w:r w:rsidRPr="00391600">
          <w:rPr>
            <w:rStyle w:val="Hyperlink"/>
            <w:rFonts w:ascii="Palatino Linotype" w:hAnsi="Palatino Linotype"/>
          </w:rPr>
          <w:t>D.04-08-010</w:t>
        </w:r>
      </w:hyperlink>
      <w:r w:rsidRPr="00391600">
        <w:rPr>
          <w:rFonts w:ascii="Palatino Linotype" w:hAnsi="Palatino Linotype"/>
        </w:rPr>
        <w:t xml:space="preserve"> at 3) </w:t>
      </w:r>
      <w:proofErr w:type="gramStart"/>
      <w:r w:rsidRPr="00391600">
        <w:rPr>
          <w:rFonts w:ascii="Palatino Linotype" w:hAnsi="Palatino Linotype"/>
        </w:rPr>
        <w:t>is</w:t>
      </w:r>
      <w:proofErr w:type="gramEnd"/>
      <w:r w:rsidRPr="00391600">
        <w:rPr>
          <w:rFonts w:ascii="Palatino Linotype" w:hAnsi="Palatino Linotype"/>
        </w:rPr>
        <w:t xml:space="preserve"> captured in the compliance assessments of AL 12-G and 10-G-A with </w:t>
      </w:r>
      <w:hyperlink r:id="rId18" w:history="1">
        <w:r w:rsidRPr="00391600">
          <w:rPr>
            <w:rStyle w:val="Hyperlink"/>
            <w:rFonts w:ascii="Palatino Linotype" w:hAnsi="Palatino Linotype"/>
          </w:rPr>
          <w:t>Resolution G-3603</w:t>
        </w:r>
      </w:hyperlink>
      <w:r w:rsidRPr="00391600">
        <w:rPr>
          <w:rFonts w:ascii="Palatino Linotype" w:hAnsi="Palatino Linotype"/>
        </w:rPr>
        <w:t xml:space="preserve"> (2024) at OP 6.</w:t>
      </w:r>
    </w:p>
  </w:footnote>
  <w:footnote w:id="18">
    <w:p w14:paraId="233131DD" w14:textId="77777777" w:rsidR="00C766CC" w:rsidRPr="00391600" w:rsidRDefault="00C766CC" w:rsidP="00C766C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The Commission’s compliance assessments of </w:t>
      </w:r>
      <w:hyperlink r:id="rId19" w:history="1">
        <w:r w:rsidRPr="00391600">
          <w:rPr>
            <w:rStyle w:val="Hyperlink"/>
            <w:rFonts w:ascii="Palatino Linotype" w:hAnsi="Palatino Linotype"/>
          </w:rPr>
          <w:t>D.04-08-010</w:t>
        </w:r>
      </w:hyperlink>
      <w:r w:rsidRPr="00391600">
        <w:rPr>
          <w:rFonts w:ascii="Palatino Linotype" w:hAnsi="Palatino Linotype"/>
        </w:rPr>
        <w:t xml:space="preserve"> at 4) is captured in the compliance assessments of AL 12-G and 10-G-A with </w:t>
      </w:r>
      <w:hyperlink r:id="rId20" w:history="1">
        <w:r w:rsidRPr="00391600">
          <w:rPr>
            <w:rStyle w:val="Hyperlink"/>
            <w:rFonts w:ascii="Palatino Linotype" w:hAnsi="Palatino Linotype"/>
          </w:rPr>
          <w:t>Resolution G-3592</w:t>
        </w:r>
      </w:hyperlink>
      <w:r w:rsidRPr="00391600">
        <w:rPr>
          <w:rFonts w:ascii="Palatino Linotype" w:hAnsi="Palatino Linotype"/>
        </w:rPr>
        <w:t xml:space="preserve"> (2023) at OP 5c. “[The CEC shall] describe its process for seeking collaborative and co-funding opportunities.”</w:t>
      </w:r>
    </w:p>
  </w:footnote>
  <w:footnote w:id="19">
    <w:p w14:paraId="3152ADE6" w14:textId="77777777" w:rsidR="00C766CC" w:rsidRPr="00391600" w:rsidRDefault="00C766CC" w:rsidP="00C766C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1" w:history="1">
        <w:r w:rsidRPr="00391600">
          <w:rPr>
            <w:rStyle w:val="Hyperlink"/>
            <w:rFonts w:ascii="Palatino Linotype" w:hAnsi="Palatino Linotype"/>
          </w:rPr>
          <w:t>D.04-08-010</w:t>
        </w:r>
      </w:hyperlink>
      <w:r w:rsidRPr="00391600">
        <w:rPr>
          <w:rFonts w:ascii="Palatino Linotype" w:hAnsi="Palatino Linotype"/>
        </w:rPr>
        <w:t xml:space="preserve"> at FOF 32</w:t>
      </w:r>
      <w:r w:rsidRPr="00391600">
        <w:rPr>
          <w:rFonts w:ascii="Palatino Linotype" w:hAnsi="Palatino Linotype"/>
          <w:color w:val="000000" w:themeColor="text1"/>
        </w:rPr>
        <w:t>.</w:t>
      </w:r>
    </w:p>
  </w:footnote>
  <w:footnote w:id="20">
    <w:p w14:paraId="2E516C45" w14:textId="77777777" w:rsidR="00E0086A" w:rsidRDefault="00E0086A" w:rsidP="00E0086A">
      <w:pPr>
        <w:pStyle w:val="FootnoteText"/>
      </w:pPr>
      <w:r w:rsidRPr="00391600">
        <w:rPr>
          <w:rStyle w:val="FootnoteReference"/>
          <w:rFonts w:ascii="Palatino Linotype" w:hAnsi="Palatino Linotype"/>
        </w:rPr>
        <w:footnoteRef/>
      </w:r>
      <w:r w:rsidRPr="00391600">
        <w:rPr>
          <w:rStyle w:val="FootnoteReference"/>
          <w:rFonts w:ascii="Palatino Linotype" w:hAnsi="Palatino Linotype"/>
        </w:rPr>
        <w:t xml:space="preserve"> </w:t>
      </w:r>
      <w:hyperlink r:id="rId22" w:history="1">
        <w:r w:rsidRPr="00391600">
          <w:rPr>
            <w:rStyle w:val="Hyperlink"/>
            <w:rFonts w:ascii="Palatino Linotype" w:hAnsi="Palatino Linotype"/>
          </w:rPr>
          <w:t>D.04-08-010</w:t>
        </w:r>
      </w:hyperlink>
      <w:r w:rsidRPr="00391600">
        <w:rPr>
          <w:rFonts w:ascii="Palatino Linotype" w:hAnsi="Palatino Linotype"/>
        </w:rPr>
        <w:t xml:space="preserve"> at p. </w:t>
      </w:r>
      <w:r w:rsidRPr="00391600">
        <w:rPr>
          <w:rFonts w:ascii="Palatino Linotype" w:hAnsi="Palatino Linotype"/>
          <w:color w:val="000000" w:themeColor="text1"/>
        </w:rPr>
        <w:t>37-</w:t>
      </w:r>
      <w:r w:rsidRPr="00391600">
        <w:rPr>
          <w:rFonts w:ascii="Palatino Linotype" w:hAnsi="Palatino Linotype"/>
        </w:rPr>
        <w:t>38.</w:t>
      </w:r>
    </w:p>
  </w:footnote>
  <w:footnote w:id="21">
    <w:p w14:paraId="3290C553" w14:textId="75A2C727" w:rsidR="00CC68C2" w:rsidRPr="00391600" w:rsidRDefault="00CC68C2" w:rsidP="00CC68C2">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3" w:history="1">
        <w:r w:rsidRPr="00391600">
          <w:rPr>
            <w:rStyle w:val="Hyperlink"/>
            <w:rFonts w:ascii="Palatino Linotype" w:hAnsi="Palatino Linotype"/>
          </w:rPr>
          <w:t>D.04-08-010</w:t>
        </w:r>
      </w:hyperlink>
      <w:r w:rsidRPr="00391600">
        <w:rPr>
          <w:rFonts w:ascii="Palatino Linotype" w:hAnsi="Palatino Linotype"/>
        </w:rPr>
        <w:t xml:space="preserve"> </w:t>
      </w:r>
      <w:r w:rsidRPr="00391600">
        <w:rPr>
          <w:rFonts w:ascii="Palatino Linotype" w:hAnsi="Palatino Linotype"/>
          <w:color w:val="000000" w:themeColor="text1"/>
        </w:rPr>
        <w:t xml:space="preserve">at fn. 48. “Under zero-based budgeting, projects that qualify would be identified, including cost and benefit analysis, and then summed. The Commission </w:t>
      </w:r>
      <w:proofErr w:type="gramStart"/>
      <w:r w:rsidRPr="00391600">
        <w:rPr>
          <w:rFonts w:ascii="Palatino Linotype" w:hAnsi="Palatino Linotype"/>
          <w:color w:val="000000" w:themeColor="text1"/>
        </w:rPr>
        <w:t>would</w:t>
      </w:r>
      <w:proofErr w:type="gramEnd"/>
      <w:r w:rsidRPr="00391600">
        <w:rPr>
          <w:rFonts w:ascii="Palatino Linotype" w:hAnsi="Palatino Linotype"/>
          <w:color w:val="000000" w:themeColor="text1"/>
        </w:rPr>
        <w:t xml:space="preserve"> determine the total appropriate </w:t>
      </w:r>
      <w:proofErr w:type="gramStart"/>
      <w:r w:rsidRPr="00391600">
        <w:rPr>
          <w:rFonts w:ascii="Palatino Linotype" w:hAnsi="Palatino Linotype"/>
          <w:color w:val="000000" w:themeColor="text1"/>
        </w:rPr>
        <w:t>funding, and</w:t>
      </w:r>
      <w:proofErr w:type="gramEnd"/>
      <w:r w:rsidRPr="00391600">
        <w:rPr>
          <w:rFonts w:ascii="Palatino Linotype" w:hAnsi="Palatino Linotype"/>
          <w:color w:val="000000" w:themeColor="text1"/>
        </w:rPr>
        <w:t xml:space="preserve"> include this amount in determining a surcharge. In the event a zero-based budget has not been set in time for January 1 surcharge rate updates, the surcharge will be set using the amount of the annual program spending cap.  Over or under collections (including balances </w:t>
      </w:r>
      <w:proofErr w:type="gramStart"/>
      <w:r w:rsidRPr="00391600">
        <w:rPr>
          <w:rFonts w:ascii="Palatino Linotype" w:hAnsi="Palatino Linotype"/>
          <w:color w:val="000000" w:themeColor="text1"/>
        </w:rPr>
        <w:t>in excess of</w:t>
      </w:r>
      <w:proofErr w:type="gramEnd"/>
      <w:r w:rsidRPr="00391600">
        <w:rPr>
          <w:rFonts w:ascii="Palatino Linotype" w:hAnsi="Palatino Linotype"/>
          <w:color w:val="000000" w:themeColor="text1"/>
        </w:rPr>
        <w:t xml:space="preserve"> project costs) of R&amp;D costs will be adjusted for in the following January 1 surcharge rates.”</w:t>
      </w:r>
    </w:p>
  </w:footnote>
  <w:footnote w:id="22">
    <w:p w14:paraId="5E810E83" w14:textId="77777777" w:rsidR="006A069B" w:rsidRPr="00391600" w:rsidRDefault="006A069B" w:rsidP="006A069B">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4" w:history="1">
        <w:r w:rsidRPr="00391600">
          <w:rPr>
            <w:rStyle w:val="Hyperlink"/>
            <w:rFonts w:ascii="Palatino Linotype" w:hAnsi="Palatino Linotype"/>
          </w:rPr>
          <w:t>D.04-08-010</w:t>
        </w:r>
      </w:hyperlink>
      <w:r w:rsidRPr="00391600">
        <w:rPr>
          <w:rFonts w:ascii="Palatino Linotype" w:hAnsi="Palatino Linotype"/>
        </w:rPr>
        <w:t xml:space="preserve"> at p. 44.</w:t>
      </w:r>
    </w:p>
  </w:footnote>
  <w:footnote w:id="23">
    <w:p w14:paraId="4B0DF5EA" w14:textId="77777777" w:rsidR="00B00D19" w:rsidRPr="00391600" w:rsidRDefault="00B00D19" w:rsidP="00B00D19">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5" w:history="1">
        <w:r w:rsidRPr="00391600">
          <w:rPr>
            <w:rStyle w:val="Hyperlink"/>
            <w:rFonts w:ascii="Palatino Linotype" w:hAnsi="Palatino Linotype"/>
          </w:rPr>
          <w:t>D.04-08-010</w:t>
        </w:r>
      </w:hyperlink>
      <w:r w:rsidRPr="00391600">
        <w:rPr>
          <w:rFonts w:ascii="Palatino Linotype" w:hAnsi="Palatino Linotype"/>
        </w:rPr>
        <w:t xml:space="preserve"> at p. 41-42 &amp; OP 20.</w:t>
      </w:r>
    </w:p>
  </w:footnote>
  <w:footnote w:id="24">
    <w:p w14:paraId="3194947E" w14:textId="62DEB0FC" w:rsidR="00E432C6" w:rsidRPr="00391600" w:rsidRDefault="00E432C6">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6" w:history="1">
        <w:r w:rsidRPr="00391600">
          <w:rPr>
            <w:rStyle w:val="Hyperlink"/>
            <w:rFonts w:ascii="Palatino Linotype" w:hAnsi="Palatino Linotype"/>
          </w:rPr>
          <w:t>D.04-08-010</w:t>
        </w:r>
      </w:hyperlink>
      <w:r w:rsidRPr="00391600">
        <w:rPr>
          <w:rFonts w:ascii="Palatino Linotype" w:hAnsi="Palatino Linotype"/>
        </w:rPr>
        <w:t xml:space="preserve"> at p. 41</w:t>
      </w:r>
      <w:r w:rsidR="00887E4C" w:rsidRPr="00391600">
        <w:rPr>
          <w:rFonts w:ascii="Palatino Linotype" w:hAnsi="Palatino Linotype"/>
        </w:rPr>
        <w:t>-42.</w:t>
      </w:r>
    </w:p>
  </w:footnote>
  <w:footnote w:id="25">
    <w:p w14:paraId="1D417DCA" w14:textId="3A924E6A" w:rsidR="0097167A" w:rsidRDefault="0097167A">
      <w:pPr>
        <w:pStyle w:val="FootnoteText"/>
      </w:pPr>
      <w:r w:rsidRPr="00391600">
        <w:rPr>
          <w:rStyle w:val="FootnoteReference"/>
          <w:rFonts w:ascii="Palatino Linotype" w:hAnsi="Palatino Linotype"/>
        </w:rPr>
        <w:footnoteRef/>
      </w:r>
      <w:r w:rsidRPr="00391600">
        <w:rPr>
          <w:rFonts w:ascii="Palatino Linotype" w:hAnsi="Palatino Linotype"/>
        </w:rPr>
        <w:t xml:space="preserve"> </w:t>
      </w:r>
      <w:hyperlink r:id="rId27" w:history="1">
        <w:r w:rsidRPr="00391600">
          <w:rPr>
            <w:rStyle w:val="Hyperlink"/>
            <w:rFonts w:ascii="Palatino Linotype" w:hAnsi="Palatino Linotype"/>
          </w:rPr>
          <w:t>Resolution G-3371</w:t>
        </w:r>
      </w:hyperlink>
      <w:r w:rsidRPr="00391600">
        <w:rPr>
          <w:rFonts w:ascii="Palatino Linotype" w:hAnsi="Palatino Linotype"/>
        </w:rPr>
        <w:t xml:space="preserve"> (2004): </w:t>
      </w:r>
      <w:r w:rsidR="008B4E20" w:rsidRPr="00391600">
        <w:rPr>
          <w:rFonts w:ascii="Palatino Linotype" w:hAnsi="Palatino Linotype"/>
        </w:rPr>
        <w:t>Approving CEC’s CY 2005 Gas RD&amp;D Plan.</w:t>
      </w:r>
    </w:p>
  </w:footnote>
  <w:footnote w:id="26">
    <w:p w14:paraId="5BFA5A97" w14:textId="77777777" w:rsidR="00617B23" w:rsidRPr="00391600" w:rsidRDefault="00617B23" w:rsidP="00677332">
      <w:pPr>
        <w:pStyle w:val="FootnoteText"/>
        <w:rPr>
          <w:rFonts w:ascii="Palatino Linotype" w:hAnsi="Palatino Linotype"/>
          <w:color w:val="000000" w:themeColor="text1"/>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AL 12-G at p. 2 &amp; 24.</w:t>
      </w:r>
    </w:p>
  </w:footnote>
  <w:footnote w:id="27">
    <w:p w14:paraId="0405A4DF" w14:textId="7073C72E" w:rsidR="00EB2216" w:rsidRPr="0024782B" w:rsidRDefault="00EB2216" w:rsidP="00EB2216">
      <w:pPr>
        <w:pStyle w:val="FootnoteText"/>
        <w:rPr>
          <w:rFonts w:ascii="Palatino Linotype" w:hAnsi="Palatino Linotype"/>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AL 12-G at </w:t>
      </w:r>
      <w:proofErr w:type="gramStart"/>
      <w:r w:rsidRPr="00391600">
        <w:rPr>
          <w:rFonts w:ascii="Palatino Linotype" w:hAnsi="Palatino Linotype"/>
          <w:color w:val="000000" w:themeColor="text1"/>
        </w:rPr>
        <w:t>p.</w:t>
      </w:r>
      <w:proofErr w:type="gramEnd"/>
      <w:r w:rsidRPr="00391600">
        <w:rPr>
          <w:rFonts w:ascii="Palatino Linotype" w:hAnsi="Palatino Linotype"/>
          <w:color w:val="000000" w:themeColor="text1"/>
        </w:rPr>
        <w:t xml:space="preserve"> </w:t>
      </w:r>
      <w:r w:rsidR="001E618C" w:rsidRPr="00391600">
        <w:rPr>
          <w:rFonts w:ascii="Palatino Linotype" w:hAnsi="Palatino Linotype"/>
          <w:color w:val="000000" w:themeColor="text1"/>
        </w:rPr>
        <w:t>24-</w:t>
      </w:r>
      <w:r w:rsidRPr="00391600">
        <w:rPr>
          <w:rFonts w:ascii="Palatino Linotype" w:hAnsi="Palatino Linotype"/>
          <w:color w:val="000000" w:themeColor="text1"/>
        </w:rPr>
        <w:t>25.</w:t>
      </w:r>
    </w:p>
  </w:footnote>
  <w:footnote w:id="28">
    <w:p w14:paraId="78290693" w14:textId="31F58EF9" w:rsidR="004115E3" w:rsidRPr="0024782B" w:rsidRDefault="004115E3">
      <w:pPr>
        <w:pStyle w:val="FootnoteText"/>
        <w:rPr>
          <w:rFonts w:ascii="Palatino Linotype" w:hAnsi="Palatino Linotype"/>
        </w:rPr>
      </w:pPr>
      <w:r w:rsidRPr="0024782B">
        <w:rPr>
          <w:rStyle w:val="FootnoteReference"/>
          <w:rFonts w:ascii="Palatino Linotype" w:hAnsi="Palatino Linotype"/>
        </w:rPr>
        <w:footnoteRef/>
      </w:r>
      <w:r w:rsidRPr="0024782B">
        <w:rPr>
          <w:rFonts w:ascii="Palatino Linotype" w:hAnsi="Palatino Linotype"/>
        </w:rPr>
        <w:t xml:space="preserve"> AL 12-G at p. 2</w:t>
      </w:r>
      <w:r w:rsidR="00BA2BC9" w:rsidRPr="0024782B">
        <w:rPr>
          <w:rFonts w:ascii="Palatino Linotype" w:hAnsi="Palatino Linotype"/>
        </w:rPr>
        <w:t>5-</w:t>
      </w:r>
      <w:r w:rsidR="001E618C" w:rsidRPr="0024782B">
        <w:rPr>
          <w:rFonts w:ascii="Palatino Linotype" w:hAnsi="Palatino Linotype"/>
        </w:rPr>
        <w:t>32</w:t>
      </w:r>
      <w:r w:rsidRPr="0024782B">
        <w:rPr>
          <w:rFonts w:ascii="Palatino Linotype" w:hAnsi="Palatino Linotype"/>
        </w:rPr>
        <w:t>.</w:t>
      </w:r>
    </w:p>
  </w:footnote>
  <w:footnote w:id="29">
    <w:p w14:paraId="2F47417D" w14:textId="21051B96" w:rsidR="009C0FE9" w:rsidRDefault="009C0FE9">
      <w:pPr>
        <w:pStyle w:val="FootnoteText"/>
      </w:pPr>
      <w:r w:rsidRPr="0024782B">
        <w:rPr>
          <w:rStyle w:val="FootnoteReference"/>
          <w:rFonts w:ascii="Palatino Linotype" w:hAnsi="Palatino Linotype"/>
        </w:rPr>
        <w:footnoteRef/>
      </w:r>
      <w:r w:rsidRPr="0024782B">
        <w:rPr>
          <w:rFonts w:ascii="Palatino Linotype" w:hAnsi="Palatino Linotype"/>
        </w:rPr>
        <w:t xml:space="preserve"> AL 12-G at p. 2</w:t>
      </w:r>
      <w:r w:rsidR="00060E1A" w:rsidRPr="0024782B">
        <w:rPr>
          <w:rFonts w:ascii="Palatino Linotype" w:hAnsi="Palatino Linotype"/>
        </w:rPr>
        <w:t xml:space="preserve"> &amp; 24</w:t>
      </w:r>
      <w:r w:rsidRPr="0024782B">
        <w:rPr>
          <w:rFonts w:ascii="Palatino Linotype" w:hAnsi="Palatino Linotype"/>
        </w:rPr>
        <w:t>.</w:t>
      </w:r>
    </w:p>
  </w:footnote>
  <w:footnote w:id="30">
    <w:p w14:paraId="1E2BAA5D" w14:textId="23D0C3C2" w:rsidR="00E7449B" w:rsidRPr="002537CB" w:rsidRDefault="00E7449B">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32-33.</w:t>
      </w:r>
    </w:p>
  </w:footnote>
  <w:footnote w:id="31">
    <w:p w14:paraId="6E9A4CE6" w14:textId="5BE7134F" w:rsidR="00F40B9C" w:rsidRPr="002537CB" w:rsidRDefault="00F40B9C">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AL 12-G at p. 33</w:t>
      </w:r>
      <w:r w:rsidR="005B5B1B" w:rsidRPr="002537CB">
        <w:rPr>
          <w:rFonts w:ascii="Palatino Linotype" w:hAnsi="Palatino Linotype"/>
        </w:rPr>
        <w:t>-38.</w:t>
      </w:r>
    </w:p>
  </w:footnote>
  <w:footnote w:id="32">
    <w:p w14:paraId="0C685C82" w14:textId="28CA49B3" w:rsidR="009C0FE9" w:rsidRPr="002537CB" w:rsidRDefault="009C0FE9">
      <w:pPr>
        <w:pStyle w:val="FootnoteText"/>
        <w:rPr>
          <w:rFonts w:ascii="Palatino Linotype" w:hAnsi="Palatino Linotype"/>
        </w:rPr>
      </w:pPr>
      <w:r w:rsidRPr="002537CB">
        <w:rPr>
          <w:rStyle w:val="FootnoteReference"/>
          <w:rFonts w:ascii="Palatino Linotype" w:hAnsi="Palatino Linotype"/>
        </w:rPr>
        <w:footnoteRef/>
      </w:r>
      <w:r w:rsidRPr="002537CB">
        <w:rPr>
          <w:rFonts w:ascii="Palatino Linotype" w:hAnsi="Palatino Linotype"/>
        </w:rPr>
        <w:t xml:space="preserve"> </w:t>
      </w:r>
      <w:r w:rsidR="00060E1A" w:rsidRPr="002537CB">
        <w:rPr>
          <w:rFonts w:ascii="Palatino Linotype" w:hAnsi="Palatino Linotype"/>
        </w:rPr>
        <w:t>AL 12-G at p. 2 &amp; 24.</w:t>
      </w:r>
    </w:p>
  </w:footnote>
  <w:footnote w:id="33">
    <w:p w14:paraId="1AF3698F" w14:textId="16B0BA26" w:rsidR="00041D44" w:rsidRDefault="00041D44">
      <w:pPr>
        <w:pStyle w:val="FootnoteText"/>
      </w:pPr>
      <w:r w:rsidRPr="002537CB">
        <w:rPr>
          <w:rStyle w:val="FootnoteReference"/>
          <w:rFonts w:ascii="Palatino Linotype" w:hAnsi="Palatino Linotype"/>
        </w:rPr>
        <w:footnoteRef/>
      </w:r>
      <w:r w:rsidRPr="002537CB">
        <w:rPr>
          <w:rFonts w:ascii="Palatino Linotype" w:hAnsi="Palatino Linotype"/>
        </w:rPr>
        <w:t xml:space="preserve"> AL 12-G at </w:t>
      </w:r>
      <w:proofErr w:type="gramStart"/>
      <w:r w:rsidRPr="002537CB">
        <w:rPr>
          <w:rFonts w:ascii="Palatino Linotype" w:hAnsi="Palatino Linotype"/>
        </w:rPr>
        <w:t>p. 39</w:t>
      </w:r>
      <w:r w:rsidR="00381225" w:rsidRPr="002537CB">
        <w:rPr>
          <w:rFonts w:ascii="Palatino Linotype" w:hAnsi="Palatino Linotype"/>
        </w:rPr>
        <w:t>-40</w:t>
      </w:r>
      <w:proofErr w:type="gramEnd"/>
      <w:r w:rsidRPr="002537CB">
        <w:rPr>
          <w:rFonts w:ascii="Palatino Linotype" w:hAnsi="Palatino Linotype"/>
        </w:rPr>
        <w:t>.</w:t>
      </w:r>
    </w:p>
  </w:footnote>
  <w:footnote w:id="34">
    <w:p w14:paraId="43016A9C" w14:textId="20F9FDC0" w:rsidR="00122E08" w:rsidRPr="005E547D" w:rsidRDefault="00122E08">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AL 12-G at p. 40-4</w:t>
      </w:r>
      <w:r w:rsidR="009D1DD6" w:rsidRPr="005E547D">
        <w:rPr>
          <w:rFonts w:ascii="Palatino Linotype" w:hAnsi="Palatino Linotype"/>
        </w:rPr>
        <w:t>9</w:t>
      </w:r>
      <w:r w:rsidRPr="005E547D">
        <w:rPr>
          <w:rFonts w:ascii="Palatino Linotype" w:hAnsi="Palatino Linotype"/>
        </w:rPr>
        <w:t>.</w:t>
      </w:r>
    </w:p>
  </w:footnote>
  <w:footnote w:id="35">
    <w:p w14:paraId="2F62D31B" w14:textId="2FE0D9F4" w:rsidR="00914B89" w:rsidRPr="005E547D" w:rsidRDefault="00914B8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6">
    <w:p w14:paraId="2B1A6163" w14:textId="4F57B152" w:rsidR="009C0FE9" w:rsidRPr="005E547D" w:rsidRDefault="009C0FE9">
      <w:pPr>
        <w:pStyle w:val="FootnoteText"/>
        <w:rPr>
          <w:rFonts w:ascii="Palatino Linotype" w:hAnsi="Palatino Linotype"/>
        </w:rPr>
      </w:pPr>
      <w:r w:rsidRPr="005E547D">
        <w:rPr>
          <w:rStyle w:val="FootnoteReference"/>
          <w:rFonts w:ascii="Palatino Linotype" w:hAnsi="Palatino Linotype"/>
        </w:rPr>
        <w:footnoteRef/>
      </w:r>
      <w:r w:rsidRPr="005E547D">
        <w:rPr>
          <w:rFonts w:ascii="Palatino Linotype" w:hAnsi="Palatino Linotype"/>
        </w:rPr>
        <w:t xml:space="preserve"> </w:t>
      </w:r>
      <w:r w:rsidR="00060E1A" w:rsidRPr="005E547D">
        <w:rPr>
          <w:rFonts w:ascii="Palatino Linotype" w:hAnsi="Palatino Linotype"/>
        </w:rPr>
        <w:t>AL 12-G at p. 2 &amp; 24.</w:t>
      </w:r>
    </w:p>
  </w:footnote>
  <w:footnote w:id="37">
    <w:p w14:paraId="77446F73" w14:textId="119BE32E" w:rsidR="009C0FE9" w:rsidRDefault="009C0FE9">
      <w:pPr>
        <w:pStyle w:val="FootnoteText"/>
      </w:pPr>
      <w:r w:rsidRPr="005E547D">
        <w:rPr>
          <w:rStyle w:val="FootnoteReference"/>
          <w:rFonts w:ascii="Palatino Linotype" w:hAnsi="Palatino Linotype"/>
        </w:rPr>
        <w:footnoteRef/>
      </w:r>
      <w:r w:rsidRPr="005E547D">
        <w:rPr>
          <w:rFonts w:ascii="Palatino Linotype" w:hAnsi="Palatino Linotype"/>
        </w:rPr>
        <w:t xml:space="preserve"> </w:t>
      </w:r>
      <w:r w:rsidR="00EE39ED" w:rsidRPr="005E547D">
        <w:rPr>
          <w:rFonts w:ascii="Palatino Linotype" w:hAnsi="Palatino Linotype"/>
        </w:rPr>
        <w:t>AL 12-G at p. 2, p. 24, &amp; Appendix F</w:t>
      </w:r>
      <w:r w:rsidR="00221BF7" w:rsidRPr="005E547D">
        <w:rPr>
          <w:rFonts w:ascii="Palatino Linotype" w:hAnsi="Palatino Linotype"/>
        </w:rPr>
        <w:t>.</w:t>
      </w:r>
    </w:p>
  </w:footnote>
  <w:footnote w:id="38">
    <w:p w14:paraId="41B9D3D3" w14:textId="77777777" w:rsidR="00B55A62" w:rsidRPr="008F3DB5" w:rsidRDefault="00B55A62" w:rsidP="00677332">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39">
    <w:p w14:paraId="0B455387" w14:textId="5A878182" w:rsidR="000C3FB4" w:rsidRPr="008F3DB5" w:rsidRDefault="000C3FB4">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w:t>
      </w:r>
      <w:r w:rsidR="004B067B" w:rsidRPr="008F3DB5">
        <w:rPr>
          <w:rFonts w:ascii="Palatino Linotype" w:hAnsi="Palatino Linotype"/>
        </w:rPr>
        <w:t>0</w:t>
      </w:r>
      <w:r w:rsidRPr="008F3DB5">
        <w:rPr>
          <w:rFonts w:ascii="Palatino Linotype" w:hAnsi="Palatino Linotype"/>
        </w:rPr>
        <w:t>-G-</w:t>
      </w:r>
      <w:r w:rsidRPr="008F3DB5">
        <w:rPr>
          <w:rFonts w:ascii="Palatino Linotype" w:hAnsi="Palatino Linotype"/>
          <w:color w:val="0D0D0D" w:themeColor="text1" w:themeTint="F2"/>
        </w:rPr>
        <w:t xml:space="preserve">A at p. </w:t>
      </w:r>
      <w:r w:rsidR="004B067B" w:rsidRPr="008F3DB5">
        <w:rPr>
          <w:rFonts w:ascii="Palatino Linotype" w:hAnsi="Palatino Linotype"/>
          <w:color w:val="0D0D0D" w:themeColor="text1" w:themeTint="F2"/>
        </w:rPr>
        <w:t>2</w:t>
      </w:r>
      <w:r w:rsidR="00D24CB1" w:rsidRPr="008F3DB5">
        <w:rPr>
          <w:rFonts w:ascii="Palatino Linotype" w:hAnsi="Palatino Linotype"/>
          <w:color w:val="0D0D0D" w:themeColor="text1" w:themeTint="F2"/>
        </w:rPr>
        <w:t>3-25</w:t>
      </w:r>
      <w:r w:rsidR="004B067B" w:rsidRPr="008F3DB5">
        <w:rPr>
          <w:rFonts w:ascii="Palatino Linotype" w:hAnsi="Palatino Linotype"/>
          <w:color w:val="0D0D0D" w:themeColor="text1" w:themeTint="F2"/>
        </w:rPr>
        <w:t>.</w:t>
      </w:r>
    </w:p>
  </w:footnote>
  <w:footnote w:id="40">
    <w:p w14:paraId="6BB87027" w14:textId="51121A88" w:rsidR="00953778" w:rsidRPr="008F3DB5" w:rsidRDefault="00953778">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w:t>
      </w:r>
      <w:r w:rsidR="0028687B" w:rsidRPr="008F3DB5">
        <w:rPr>
          <w:rFonts w:ascii="Palatino Linotype" w:hAnsi="Palatino Linotype"/>
          <w:color w:val="0D0D0D" w:themeColor="text1" w:themeTint="F2"/>
        </w:rPr>
        <w:t>5-31</w:t>
      </w:r>
      <w:r w:rsidRPr="008F3DB5">
        <w:rPr>
          <w:rFonts w:ascii="Palatino Linotype" w:hAnsi="Palatino Linotype"/>
          <w:color w:val="0D0D0D" w:themeColor="text1" w:themeTint="F2"/>
        </w:rPr>
        <w:t>.</w:t>
      </w:r>
    </w:p>
  </w:footnote>
  <w:footnote w:id="41">
    <w:p w14:paraId="183E11A1" w14:textId="6177ED47" w:rsidR="00DD07C6" w:rsidRDefault="00DD07C6">
      <w:pPr>
        <w:pStyle w:val="FootnoteText"/>
      </w:pPr>
      <w:r w:rsidRPr="008F3DB5">
        <w:rPr>
          <w:rStyle w:val="FootnoteReference"/>
          <w:rFonts w:ascii="Palatino Linotype" w:hAnsi="Palatino Linotype"/>
        </w:rPr>
        <w:footnoteRef/>
      </w:r>
      <w:r w:rsidRPr="008F3DB5">
        <w:rPr>
          <w:rFonts w:ascii="Palatino Linotype" w:hAnsi="Palatino Linotype"/>
        </w:rPr>
        <w:t xml:space="preserve"> AL 10-G-</w:t>
      </w:r>
      <w:r w:rsidRPr="008F3DB5">
        <w:rPr>
          <w:rFonts w:ascii="Palatino Linotype" w:hAnsi="Palatino Linotype"/>
          <w:color w:val="0D0D0D" w:themeColor="text1" w:themeTint="F2"/>
        </w:rPr>
        <w:t>A at p. 2 &amp; 22.</w:t>
      </w:r>
    </w:p>
  </w:footnote>
  <w:footnote w:id="42">
    <w:p w14:paraId="7912F661" w14:textId="1D1EF31A" w:rsidR="00EB2157" w:rsidRPr="008F3DB5" w:rsidRDefault="00EB215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581538" w:rsidRPr="008F3DB5">
        <w:rPr>
          <w:rFonts w:ascii="Palatino Linotype" w:hAnsi="Palatino Linotype"/>
          <w:color w:val="0D0D0D" w:themeColor="text1" w:themeTint="F2"/>
        </w:rPr>
        <w:t>31-3</w:t>
      </w:r>
      <w:r w:rsidR="00DD624B" w:rsidRPr="008F3DB5">
        <w:rPr>
          <w:rFonts w:ascii="Palatino Linotype" w:hAnsi="Palatino Linotype"/>
          <w:color w:val="0D0D0D" w:themeColor="text1" w:themeTint="F2"/>
        </w:rPr>
        <w:t>7</w:t>
      </w:r>
      <w:r w:rsidR="00581538" w:rsidRPr="008F3DB5">
        <w:rPr>
          <w:rFonts w:ascii="Palatino Linotype" w:hAnsi="Palatino Linotype"/>
          <w:color w:val="0D0D0D" w:themeColor="text1" w:themeTint="F2"/>
        </w:rPr>
        <w:t>.</w:t>
      </w:r>
    </w:p>
  </w:footnote>
  <w:footnote w:id="43">
    <w:p w14:paraId="111D7AB3" w14:textId="61580456"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4">
    <w:p w14:paraId="0739DD6D" w14:textId="4C4455A5" w:rsidR="004A0BA5" w:rsidRPr="008F3DB5" w:rsidRDefault="004A0BA5" w:rsidP="004A0BA5">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37-38</w:t>
      </w:r>
      <w:r w:rsidRPr="008F3DB5">
        <w:rPr>
          <w:rFonts w:ascii="Palatino Linotype" w:hAnsi="Palatino Linotype"/>
          <w:color w:val="0D0D0D" w:themeColor="text1" w:themeTint="F2"/>
        </w:rPr>
        <w:t>.</w:t>
      </w:r>
    </w:p>
  </w:footnote>
  <w:footnote w:id="45">
    <w:p w14:paraId="433AB53C" w14:textId="1BB41374" w:rsidR="00024E40" w:rsidRPr="008F3DB5" w:rsidRDefault="00024E40">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AL 10-G-A </w:t>
      </w:r>
      <w:r w:rsidRPr="008F3DB5">
        <w:rPr>
          <w:rFonts w:ascii="Palatino Linotype" w:hAnsi="Palatino Linotype"/>
          <w:color w:val="0D0D0D" w:themeColor="text1" w:themeTint="F2"/>
        </w:rPr>
        <w:t xml:space="preserve">at p. </w:t>
      </w:r>
      <w:r w:rsidR="00DD624B" w:rsidRPr="008F3DB5">
        <w:rPr>
          <w:rFonts w:ascii="Palatino Linotype" w:hAnsi="Palatino Linotype"/>
          <w:color w:val="0D0D0D" w:themeColor="text1" w:themeTint="F2"/>
        </w:rPr>
        <w:t>38-45.</w:t>
      </w:r>
    </w:p>
  </w:footnote>
  <w:footnote w:id="46">
    <w:p w14:paraId="2F61E7CB" w14:textId="1B6089EE" w:rsidR="00221BF7" w:rsidRPr="008F3DB5" w:rsidRDefault="00221BF7">
      <w:pPr>
        <w:pStyle w:val="FootnoteText"/>
        <w:rPr>
          <w:rFonts w:ascii="Palatino Linotype" w:hAnsi="Palatino Linotype"/>
        </w:rPr>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A at p. 2 &amp; 22.</w:t>
      </w:r>
    </w:p>
  </w:footnote>
  <w:footnote w:id="47">
    <w:p w14:paraId="6953775A" w14:textId="3B8583EE" w:rsidR="00EE39ED" w:rsidRDefault="00EE39ED">
      <w:pPr>
        <w:pStyle w:val="FootnoteText"/>
      </w:pPr>
      <w:r w:rsidRPr="008F3DB5">
        <w:rPr>
          <w:rStyle w:val="FootnoteReference"/>
          <w:rFonts w:ascii="Palatino Linotype" w:hAnsi="Palatino Linotype"/>
        </w:rPr>
        <w:footnoteRef/>
      </w:r>
      <w:r w:rsidRPr="008F3DB5">
        <w:rPr>
          <w:rFonts w:ascii="Palatino Linotype" w:hAnsi="Palatino Linotype"/>
        </w:rPr>
        <w:t xml:space="preserve"> </w:t>
      </w:r>
      <w:r w:rsidR="005603DF" w:rsidRPr="008F3DB5">
        <w:rPr>
          <w:rFonts w:ascii="Palatino Linotype" w:hAnsi="Palatino Linotype"/>
        </w:rPr>
        <w:t>AL 10-G-</w:t>
      </w:r>
      <w:r w:rsidR="005603DF" w:rsidRPr="008F3DB5">
        <w:rPr>
          <w:rFonts w:ascii="Palatino Linotype" w:hAnsi="Palatino Linotype"/>
          <w:color w:val="0D0D0D" w:themeColor="text1" w:themeTint="F2"/>
        </w:rPr>
        <w:t xml:space="preserve">A at p. 2, p. 22, </w:t>
      </w:r>
      <w:r w:rsidRPr="008F3DB5">
        <w:rPr>
          <w:rFonts w:ascii="Palatino Linotype" w:hAnsi="Palatino Linotype"/>
        </w:rPr>
        <w:t>&amp; Appendix F.</w:t>
      </w:r>
    </w:p>
  </w:footnote>
  <w:footnote w:id="48">
    <w:p w14:paraId="00BDB40E" w14:textId="11939794" w:rsidR="0019372D" w:rsidRPr="00391600" w:rsidRDefault="0019372D">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California Public Utilities Code Section 740.1 at (d).</w:t>
      </w:r>
    </w:p>
  </w:footnote>
  <w:footnote w:id="49">
    <w:p w14:paraId="6F59DE75" w14:textId="04D41AE8" w:rsidR="0019372D" w:rsidRPr="00391600" w:rsidRDefault="0019372D" w:rsidP="0019372D">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28" w:history="1">
        <w:r w:rsidRPr="00391600">
          <w:rPr>
            <w:rStyle w:val="Hyperlink"/>
            <w:rFonts w:ascii="Palatino Linotype" w:hAnsi="Palatino Linotype"/>
          </w:rPr>
          <w:t>D.04-08-010</w:t>
        </w:r>
      </w:hyperlink>
      <w:r w:rsidRPr="00391600">
        <w:rPr>
          <w:rFonts w:ascii="Palatino Linotype" w:hAnsi="Palatino Linotype"/>
        </w:rPr>
        <w:t xml:space="preserve"> at p. 47 &amp; 50.</w:t>
      </w:r>
    </w:p>
  </w:footnote>
  <w:footnote w:id="50">
    <w:p w14:paraId="262B74B9" w14:textId="6479DB8B" w:rsidR="0019372D" w:rsidRPr="00391600" w:rsidRDefault="0019372D">
      <w:pPr>
        <w:pStyle w:val="FootnoteText"/>
        <w:rPr>
          <w:rFonts w:ascii="Palatino Linotype" w:hAnsi="Palatino Linotype"/>
          <w:color w:val="EE0000"/>
        </w:rPr>
      </w:pPr>
      <w:r w:rsidRPr="00391600">
        <w:rPr>
          <w:rStyle w:val="FootnoteReference"/>
          <w:rFonts w:ascii="Palatino Linotype" w:hAnsi="Palatino Linotype"/>
        </w:rPr>
        <w:footnoteRef/>
      </w:r>
      <w:r w:rsidRPr="00391600">
        <w:rPr>
          <w:rFonts w:ascii="Palatino Linotype" w:hAnsi="Palatino Linotype"/>
        </w:rPr>
        <w:t xml:space="preserve"> </w:t>
      </w:r>
      <w:hyperlink r:id="rId29" w:history="1">
        <w:r w:rsidR="00BD59ED" w:rsidRPr="00391600">
          <w:rPr>
            <w:rStyle w:val="Hyperlink"/>
            <w:rFonts w:ascii="Palatino Linotype" w:hAnsi="Palatino Linotype"/>
          </w:rPr>
          <w:t>Resolution G-3603</w:t>
        </w:r>
      </w:hyperlink>
      <w:r w:rsidR="00BB7E9C" w:rsidRPr="00391600">
        <w:rPr>
          <w:rFonts w:ascii="Palatino Linotype" w:hAnsi="Palatino Linotype"/>
        </w:rPr>
        <w:t xml:space="preserve"> (202</w:t>
      </w:r>
      <w:r w:rsidR="00BD59ED" w:rsidRPr="00391600">
        <w:rPr>
          <w:rFonts w:ascii="Palatino Linotype" w:hAnsi="Palatino Linotype"/>
        </w:rPr>
        <w:t>4</w:t>
      </w:r>
      <w:r w:rsidR="00BB7E9C" w:rsidRPr="00391600">
        <w:rPr>
          <w:rFonts w:ascii="Palatino Linotype" w:hAnsi="Palatino Linotype"/>
        </w:rPr>
        <w:t>)</w:t>
      </w:r>
      <w:r w:rsidR="00BD59ED" w:rsidRPr="00391600">
        <w:rPr>
          <w:rFonts w:ascii="Palatino Linotype" w:hAnsi="Palatino Linotype"/>
        </w:rPr>
        <w:t xml:space="preserve"> </w:t>
      </w:r>
      <w:r w:rsidR="00C268EB" w:rsidRPr="00391600">
        <w:rPr>
          <w:rStyle w:val="eop"/>
          <w:rFonts w:ascii="Palatino Linotype" w:eastAsiaTheme="majorEastAsia" w:hAnsi="Palatino Linotype"/>
        </w:rPr>
        <w:t>at OP 4.</w:t>
      </w:r>
    </w:p>
  </w:footnote>
  <w:footnote w:id="51">
    <w:p w14:paraId="3D32B2A8" w14:textId="3B607C96" w:rsidR="00036DB0" w:rsidRPr="00391600" w:rsidRDefault="00036DB0">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30" w:history="1">
        <w:r w:rsidR="00A7552B" w:rsidRPr="00391600">
          <w:rPr>
            <w:rStyle w:val="Hyperlink"/>
            <w:rFonts w:ascii="Palatino Linotype" w:hAnsi="Palatino Linotype"/>
          </w:rPr>
          <w:t>Senate Bill (SB) 1221</w:t>
        </w:r>
      </w:hyperlink>
      <w:r w:rsidR="00A7552B" w:rsidRPr="00391600">
        <w:rPr>
          <w:rFonts w:ascii="Palatino Linotype" w:hAnsi="Palatino Linotype"/>
        </w:rPr>
        <w:t xml:space="preserve"> (</w:t>
      </w:r>
      <w:r w:rsidR="00685BF8" w:rsidRPr="00391600">
        <w:rPr>
          <w:rFonts w:ascii="Palatino Linotype" w:hAnsi="Palatino Linotype"/>
        </w:rPr>
        <w:t>2024).</w:t>
      </w:r>
      <w:r w:rsidR="00BB509C" w:rsidRPr="00391600">
        <w:rPr>
          <w:rFonts w:ascii="Palatino Linotype" w:hAnsi="Palatino Linotype"/>
        </w:rPr>
        <w:t xml:space="preserve"> </w:t>
      </w:r>
      <w:r w:rsidR="00BB509C" w:rsidRPr="00391600">
        <w:rPr>
          <w:rFonts w:ascii="Palatino Linotype" w:hAnsi="Palatino Linotype"/>
          <w:i/>
          <w:iCs/>
        </w:rPr>
        <w:t>Gas Corporations: Ceasing Service: Priority Neighborhood Decarbonization Zones.</w:t>
      </w:r>
    </w:p>
  </w:footnote>
  <w:footnote w:id="52">
    <w:p w14:paraId="66B7BD78" w14:textId="5351E10E" w:rsidR="008A1CF0" w:rsidRPr="00391600" w:rsidRDefault="008A1CF0">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hyperlink r:id="rId31" w:history="1">
        <w:r w:rsidRPr="00391600">
          <w:rPr>
            <w:rStyle w:val="Hyperlink"/>
            <w:rFonts w:ascii="Palatino Linotype" w:hAnsi="Palatino Linotype"/>
          </w:rPr>
          <w:t>R.24-09-012</w:t>
        </w:r>
      </w:hyperlink>
      <w:r w:rsidR="00BB509C" w:rsidRPr="00391600">
        <w:rPr>
          <w:rFonts w:ascii="Palatino Linotype" w:hAnsi="Palatino Linotype"/>
        </w:rPr>
        <w:t xml:space="preserve"> (2024)</w:t>
      </w:r>
      <w:r w:rsidRPr="00391600">
        <w:rPr>
          <w:rFonts w:ascii="Palatino Linotype" w:hAnsi="Palatino Linotype"/>
        </w:rPr>
        <w:t xml:space="preserve">: </w:t>
      </w:r>
      <w:r w:rsidR="00163EAF" w:rsidRPr="00391600">
        <w:rPr>
          <w:rFonts w:ascii="Palatino Linotype" w:hAnsi="Palatino Linotype"/>
        </w:rPr>
        <w:t>O</w:t>
      </w:r>
      <w:r w:rsidR="00ED2F77" w:rsidRPr="00391600">
        <w:rPr>
          <w:rFonts w:ascii="Palatino Linotype" w:hAnsi="Palatino Linotype"/>
        </w:rPr>
        <w:t>rder Instituting Rulemaking (OIR)</w:t>
      </w:r>
      <w:r w:rsidRPr="00391600">
        <w:rPr>
          <w:rFonts w:ascii="Palatino Linotype" w:hAnsi="Palatino Linotype"/>
        </w:rPr>
        <w:t xml:space="preserve"> to Establish Policies, Processes, and Rules to Ensure Safe and Reliable Gas Systems in California and Perform Long-Term Gas System Planning.</w:t>
      </w:r>
    </w:p>
  </w:footnote>
  <w:footnote w:id="53">
    <w:p w14:paraId="6A64403D" w14:textId="5A36CAC7" w:rsidR="00F8378A" w:rsidRPr="00391600" w:rsidRDefault="00F8378A">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University of California, Los Angeles (UCLA), Institute of the Environment and Sustainability, </w:t>
      </w:r>
      <w:hyperlink r:id="rId32" w:history="1">
        <w:r w:rsidRPr="00391600">
          <w:rPr>
            <w:rStyle w:val="Hyperlink"/>
            <w:rFonts w:ascii="Palatino Linotype" w:hAnsi="Palatino Linotype"/>
            <w:i/>
            <w:iCs/>
          </w:rPr>
          <w:t>Mindful Gas Decommissioning Research Project</w:t>
        </w:r>
      </w:hyperlink>
      <w:r w:rsidRPr="00391600">
        <w:rPr>
          <w:rFonts w:ascii="Palatino Linotype" w:hAnsi="Palatino Linotype"/>
        </w:rPr>
        <w:t xml:space="preserve"> </w:t>
      </w:r>
      <w:r w:rsidR="00233C07" w:rsidRPr="00391600">
        <w:rPr>
          <w:rFonts w:ascii="Palatino Linotype" w:hAnsi="Palatino Linotype"/>
        </w:rPr>
        <w:t>(2023).</w:t>
      </w:r>
    </w:p>
  </w:footnote>
  <w:footnote w:id="54">
    <w:p w14:paraId="7CD4D2E3" w14:textId="442FE301" w:rsidR="00C84C4C" w:rsidRPr="00391600" w:rsidRDefault="00C84C4C">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r w:rsidR="001C5D2E" w:rsidRPr="00391600">
        <w:rPr>
          <w:rFonts w:ascii="Palatino Linotype" w:hAnsi="Palatino Linotype"/>
        </w:rPr>
        <w:t>S</w:t>
      </w:r>
      <w:r w:rsidR="00D86396" w:rsidRPr="00391600">
        <w:rPr>
          <w:rFonts w:ascii="Palatino Linotype" w:hAnsi="Palatino Linotype"/>
        </w:rPr>
        <w:t>oCalGas</w:t>
      </w:r>
      <w:r w:rsidRPr="00391600">
        <w:rPr>
          <w:rFonts w:ascii="Palatino Linotype" w:hAnsi="Palatino Linotype"/>
        </w:rPr>
        <w:t>’ 2023 Gas RD&amp;D Plan</w:t>
      </w:r>
      <w:r w:rsidR="006E6F93" w:rsidRPr="00391600">
        <w:rPr>
          <w:rFonts w:ascii="Palatino Linotype" w:hAnsi="Palatino Linotype"/>
        </w:rPr>
        <w:t xml:space="preserve"> Tier 3 Advice Letter</w:t>
      </w:r>
      <w:r w:rsidRPr="00391600">
        <w:rPr>
          <w:rFonts w:ascii="Palatino Linotype" w:hAnsi="Palatino Linotype"/>
        </w:rPr>
        <w:t xml:space="preserve"> (5991-G).</w:t>
      </w:r>
    </w:p>
  </w:footnote>
  <w:footnote w:id="55">
    <w:p w14:paraId="59364EDE" w14:textId="167BC9CD" w:rsidR="00BB7E9C" w:rsidRDefault="00BB7E9C">
      <w:pPr>
        <w:pStyle w:val="FootnoteText"/>
      </w:pPr>
      <w:r w:rsidRPr="00391600">
        <w:rPr>
          <w:rStyle w:val="FootnoteReference"/>
          <w:rFonts w:ascii="Palatino Linotype" w:hAnsi="Palatino Linotype"/>
        </w:rPr>
        <w:footnoteRef/>
      </w:r>
      <w:r w:rsidRPr="00391600">
        <w:rPr>
          <w:rFonts w:ascii="Palatino Linotype" w:hAnsi="Palatino Linotype"/>
        </w:rPr>
        <w:t xml:space="preserve"> </w:t>
      </w:r>
      <w:hyperlink r:id="rId33" w:history="1">
        <w:r w:rsidR="008B7CF0" w:rsidRPr="00391600">
          <w:rPr>
            <w:rStyle w:val="Hyperlink"/>
            <w:rFonts w:ascii="Palatino Linotype" w:hAnsi="Palatino Linotype"/>
          </w:rPr>
          <w:t>Resolution G-3601</w:t>
        </w:r>
      </w:hyperlink>
      <w:r w:rsidRPr="00391600">
        <w:rPr>
          <w:rFonts w:ascii="Palatino Linotype" w:hAnsi="Palatino Linotype"/>
        </w:rPr>
        <w:t xml:space="preserve"> (2023): </w:t>
      </w:r>
      <w:r w:rsidR="008B7CF0" w:rsidRPr="00391600">
        <w:rPr>
          <w:rFonts w:ascii="Palatino Linotype" w:hAnsi="Palatino Linotype"/>
        </w:rPr>
        <w:t>A</w:t>
      </w:r>
      <w:r w:rsidRPr="00391600">
        <w:rPr>
          <w:rFonts w:ascii="Palatino Linotype" w:hAnsi="Palatino Linotype"/>
        </w:rPr>
        <w:t xml:space="preserve">pproving </w:t>
      </w:r>
      <w:r w:rsidR="001C5D2E" w:rsidRPr="00391600">
        <w:rPr>
          <w:rFonts w:ascii="Palatino Linotype" w:hAnsi="Palatino Linotype"/>
        </w:rPr>
        <w:t>S</w:t>
      </w:r>
      <w:r w:rsidR="00D86396" w:rsidRPr="00391600">
        <w:rPr>
          <w:rFonts w:ascii="Palatino Linotype" w:hAnsi="Palatino Linotype"/>
        </w:rPr>
        <w:t>oCalGas</w:t>
      </w:r>
      <w:r w:rsidRPr="00391600">
        <w:rPr>
          <w:rFonts w:ascii="Palatino Linotype" w:hAnsi="Palatino Linotype"/>
        </w:rPr>
        <w:t>’ 2023 Gas R</w:t>
      </w:r>
      <w:r w:rsidR="008B7CF0" w:rsidRPr="00391600">
        <w:rPr>
          <w:rFonts w:ascii="Palatino Linotype" w:hAnsi="Palatino Linotype"/>
        </w:rPr>
        <w:t>D</w:t>
      </w:r>
      <w:r w:rsidRPr="00391600">
        <w:rPr>
          <w:rFonts w:ascii="Palatino Linotype" w:hAnsi="Palatino Linotype"/>
        </w:rPr>
        <w:t>&amp;D Plan.</w:t>
      </w:r>
    </w:p>
  </w:footnote>
  <w:footnote w:id="56">
    <w:p w14:paraId="4D9AF053" w14:textId="77777777" w:rsidR="00D91658" w:rsidRPr="00391600" w:rsidRDefault="00D91658" w:rsidP="00D91658">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AL 10-G at p. 29 &amp; AL 10-G-A at p. 44.</w:t>
      </w:r>
    </w:p>
  </w:footnote>
  <w:footnote w:id="57">
    <w:p w14:paraId="7A642A34" w14:textId="22D99762" w:rsidR="00722562" w:rsidRPr="00391600" w:rsidRDefault="00722562">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AL 10-G-A at p. 35.</w:t>
      </w:r>
    </w:p>
  </w:footnote>
  <w:footnote w:id="58">
    <w:p w14:paraId="08E29159" w14:textId="38C71ED1" w:rsidR="00F345B5" w:rsidRDefault="00F345B5">
      <w:pPr>
        <w:pStyle w:val="FootnoteText"/>
      </w:pPr>
      <w:r w:rsidRPr="00391600">
        <w:rPr>
          <w:rStyle w:val="FootnoteReference"/>
          <w:rFonts w:ascii="Palatino Linotype" w:hAnsi="Palatino Linotype"/>
        </w:rPr>
        <w:footnoteRef/>
      </w:r>
      <w:r w:rsidRPr="00391600">
        <w:rPr>
          <w:rFonts w:ascii="Palatino Linotype" w:hAnsi="Palatino Linotype"/>
        </w:rPr>
        <w:t xml:space="preserve"> AL 10-G-A at p. 37.</w:t>
      </w:r>
    </w:p>
  </w:footnote>
  <w:footnote w:id="59">
    <w:p w14:paraId="06348B9C" w14:textId="735089C0" w:rsidR="00A40932" w:rsidRPr="00391600" w:rsidRDefault="00A40932">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AL 10-G-A at p. 45.</w:t>
      </w:r>
    </w:p>
  </w:footnote>
  <w:footnote w:id="60">
    <w:p w14:paraId="55497387" w14:textId="7A93457F" w:rsidR="00E456E0" w:rsidRPr="00391600" w:rsidRDefault="00E456E0">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See</w:t>
      </w:r>
      <w:r w:rsidRPr="00391600">
        <w:rPr>
          <w:rFonts w:ascii="Times New Roman" w:hAnsi="Times New Roman" w:cs="Times New Roman"/>
        </w:rPr>
        <w:t> </w:t>
      </w:r>
      <w:r w:rsidR="008A3957" w:rsidRPr="00391600">
        <w:rPr>
          <w:rFonts w:ascii="Palatino Linotype" w:hAnsi="Palatino Linotype"/>
        </w:rPr>
        <w:t>Resolution G</w:t>
      </w:r>
      <w:r w:rsidR="008A3957" w:rsidRPr="00391600">
        <w:rPr>
          <w:rFonts w:ascii="Palatino Linotype" w:hAnsi="Palatino Linotype"/>
          <w:color w:val="000000" w:themeColor="text1"/>
        </w:rPr>
        <w:t xml:space="preserve">-3622 </w:t>
      </w:r>
      <w:r w:rsidR="008A3957" w:rsidRPr="00391600">
        <w:rPr>
          <w:rFonts w:ascii="Palatino Linotype" w:hAnsi="Palatino Linotype"/>
        </w:rPr>
        <w:t xml:space="preserve">at </w:t>
      </w:r>
      <w:r w:rsidRPr="00391600">
        <w:rPr>
          <w:rFonts w:ascii="Palatino Linotype" w:hAnsi="Palatino Linotype"/>
        </w:rPr>
        <w:t>Appendix</w:t>
      </w:r>
      <w:r w:rsidRPr="00391600">
        <w:rPr>
          <w:rFonts w:ascii="Palatino Linotype" w:hAnsi="Palatino Linotype"/>
          <w:color w:val="000000" w:themeColor="text1"/>
        </w:rPr>
        <w:t xml:space="preserve"> </w:t>
      </w:r>
      <w:r w:rsidR="00D316FF" w:rsidRPr="00391600">
        <w:rPr>
          <w:rFonts w:ascii="Palatino Linotype" w:hAnsi="Palatino Linotype"/>
          <w:color w:val="000000" w:themeColor="text1"/>
        </w:rPr>
        <w:t>G</w:t>
      </w:r>
      <w:r w:rsidR="004364E1" w:rsidRPr="00391600">
        <w:rPr>
          <w:rFonts w:ascii="Palatino Linotype" w:hAnsi="Palatino Linotype"/>
          <w:color w:val="000000" w:themeColor="text1"/>
        </w:rPr>
        <w:t xml:space="preserve">: </w:t>
      </w:r>
      <w:r w:rsidRPr="00391600">
        <w:rPr>
          <w:rFonts w:ascii="Palatino Linotype" w:hAnsi="Palatino Linotype"/>
        </w:rPr>
        <w:t>Compliance Assessment of AL 12-G.</w:t>
      </w:r>
    </w:p>
  </w:footnote>
  <w:footnote w:id="61">
    <w:p w14:paraId="48987E65" w14:textId="19695F3B" w:rsidR="00765572" w:rsidRPr="00391600" w:rsidRDefault="00765572" w:rsidP="003C2508">
      <w:pPr>
        <w:pStyle w:val="FootnoteText"/>
        <w:jc w:val="both"/>
        <w:rPr>
          <w:rFonts w:ascii="Palatino Linotype" w:hAnsi="Palatino Linotype"/>
          <w:color w:val="000000" w:themeColor="text1"/>
        </w:rPr>
      </w:pPr>
      <w:r w:rsidRPr="00391600">
        <w:rPr>
          <w:rStyle w:val="FootnoteReference"/>
          <w:rFonts w:ascii="Palatino Linotype" w:hAnsi="Palatino Linotype"/>
        </w:rPr>
        <w:footnoteRef/>
      </w:r>
      <w:r w:rsidRPr="00391600">
        <w:rPr>
          <w:rFonts w:ascii="Palatino Linotype" w:hAnsi="Palatino Linotype"/>
        </w:rPr>
        <w:t xml:space="preserve"> See Resolution G</w:t>
      </w:r>
      <w:r w:rsidRPr="00391600">
        <w:rPr>
          <w:rFonts w:ascii="Palatino Linotype" w:hAnsi="Palatino Linotype"/>
          <w:color w:val="000000" w:themeColor="text1"/>
        </w:rPr>
        <w:t xml:space="preserve">-3622 </w:t>
      </w:r>
      <w:r w:rsidRPr="00391600">
        <w:rPr>
          <w:rFonts w:ascii="Palatino Linotype" w:hAnsi="Palatino Linotype"/>
        </w:rPr>
        <w:t xml:space="preserve">at Appendix </w:t>
      </w:r>
      <w:r w:rsidR="00D316FF" w:rsidRPr="00391600">
        <w:rPr>
          <w:rFonts w:ascii="Palatino Linotype" w:hAnsi="Palatino Linotype"/>
        </w:rPr>
        <w:t>F</w:t>
      </w:r>
      <w:r w:rsidRPr="00391600">
        <w:rPr>
          <w:rFonts w:ascii="Palatino Linotype" w:hAnsi="Palatino Linotype"/>
        </w:rPr>
        <w:t xml:space="preserve">: </w:t>
      </w:r>
      <w:r w:rsidRPr="00391600">
        <w:rPr>
          <w:rFonts w:ascii="Palatino Linotype" w:hAnsi="Palatino Linotype"/>
          <w:color w:val="000000" w:themeColor="text1"/>
        </w:rPr>
        <w:t xml:space="preserve">CEC Balances of Unspent Funds from Previously Approved Gas RD&amp;D Plans. </w:t>
      </w:r>
      <w:r w:rsidR="00BA15EC" w:rsidRPr="00391600">
        <w:rPr>
          <w:rFonts w:ascii="Palatino Linotype" w:hAnsi="Palatino Linotype"/>
          <w:color w:val="000000" w:themeColor="text1"/>
        </w:rPr>
        <w:t xml:space="preserve">Per </w:t>
      </w:r>
      <w:hyperlink r:id="rId34" w:history="1">
        <w:r w:rsidR="00B02A30" w:rsidRPr="00391600">
          <w:rPr>
            <w:rStyle w:val="Hyperlink"/>
            <w:rFonts w:ascii="Palatino Linotype" w:hAnsi="Palatino Linotype"/>
          </w:rPr>
          <w:t>Resolution G-3584</w:t>
        </w:r>
      </w:hyperlink>
      <w:r w:rsidR="00B02A30" w:rsidRPr="00391600">
        <w:rPr>
          <w:rFonts w:ascii="Palatino Linotype" w:hAnsi="Palatino Linotype"/>
          <w:color w:val="000000" w:themeColor="text1"/>
        </w:rPr>
        <w:t xml:space="preserve"> (2021) at OP 4 &amp; </w:t>
      </w:r>
      <w:hyperlink r:id="rId35" w:history="1">
        <w:r w:rsidR="00872179" w:rsidRPr="00391600">
          <w:rPr>
            <w:rStyle w:val="Hyperlink"/>
            <w:rFonts w:ascii="Palatino Linotype" w:hAnsi="Palatino Linotype"/>
          </w:rPr>
          <w:t>Resolution G-3592</w:t>
        </w:r>
      </w:hyperlink>
      <w:r w:rsidR="00872179" w:rsidRPr="00391600">
        <w:rPr>
          <w:rFonts w:ascii="Palatino Linotype" w:hAnsi="Palatino Linotype"/>
        </w:rPr>
        <w:t xml:space="preserve"> (2023) at OP 7.</w:t>
      </w:r>
      <w:r w:rsidR="00DE6C64" w:rsidRPr="00391600">
        <w:rPr>
          <w:rFonts w:ascii="Palatino Linotype" w:hAnsi="Palatino Linotype"/>
        </w:rPr>
        <w:t xml:space="preserve"> “[U]</w:t>
      </w:r>
      <w:proofErr w:type="spellStart"/>
      <w:r w:rsidR="00DE6C64" w:rsidRPr="00391600">
        <w:rPr>
          <w:rFonts w:ascii="Palatino Linotype" w:hAnsi="Palatino Linotype"/>
          <w:color w:val="000000" w:themeColor="text1"/>
        </w:rPr>
        <w:t>nencumbered</w:t>
      </w:r>
      <w:proofErr w:type="spellEnd"/>
      <w:r w:rsidR="00DE6C64" w:rsidRPr="00391600">
        <w:rPr>
          <w:rFonts w:ascii="Palatino Linotype" w:hAnsi="Palatino Linotype"/>
          <w:color w:val="000000" w:themeColor="text1"/>
        </w:rPr>
        <w:t xml:space="preserve"> and unspent funds should be utilized prior to the utilization of new and/or additional ratepayer funds.” </w:t>
      </w:r>
      <w:r w:rsidR="00DE770F" w:rsidRPr="00391600">
        <w:rPr>
          <w:rStyle w:val="normaltextrun"/>
          <w:rFonts w:ascii="Palatino Linotype" w:hAnsi="Palatino Linotype"/>
          <w:color w:val="000000" w:themeColor="text1"/>
        </w:rPr>
        <w:t>In</w:t>
      </w:r>
      <w:r w:rsidRPr="00391600">
        <w:rPr>
          <w:rStyle w:val="normaltextrun"/>
          <w:rFonts w:ascii="Palatino Linotype" w:hAnsi="Palatino Linotype"/>
          <w:color w:val="000000" w:themeColor="text1"/>
        </w:rPr>
        <w:t xml:space="preserve"> AL 12-G at p. 9, CEC </w:t>
      </w:r>
      <w:r w:rsidRPr="00391600">
        <w:rPr>
          <w:rFonts w:ascii="Palatino Linotype" w:hAnsi="Palatino Linotype"/>
          <w:color w:val="000000" w:themeColor="text1"/>
        </w:rPr>
        <w:t>states</w:t>
      </w:r>
      <w:r w:rsidR="00511CF6" w:rsidRPr="00391600">
        <w:rPr>
          <w:rFonts w:ascii="Palatino Linotype" w:hAnsi="Palatino Linotype"/>
          <w:color w:val="000000" w:themeColor="text1"/>
        </w:rPr>
        <w:t>: “P</w:t>
      </w:r>
      <w:r w:rsidRPr="00391600">
        <w:rPr>
          <w:rFonts w:ascii="Palatino Linotype" w:hAnsi="Palatino Linotype"/>
          <w:color w:val="000000" w:themeColor="text1"/>
        </w:rPr>
        <w:t>er Resolutions G-3584 and G-3592, the CEC will ensure that for any unspent funds that the CEC has identified and seeks to use for new Gas R&amp;D projects, the CEC will apply this unused funding before any new or additional ratepayer funds are used.”</w:t>
      </w:r>
    </w:p>
  </w:footnote>
  <w:footnote w:id="62">
    <w:p w14:paraId="7013A612" w14:textId="63B03F75" w:rsidR="00C92625" w:rsidRPr="00391600" w:rsidRDefault="00C92625">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r w:rsidR="00BA15EC" w:rsidRPr="00391600">
        <w:rPr>
          <w:rFonts w:ascii="Palatino Linotype" w:hAnsi="Palatino Linotype"/>
        </w:rPr>
        <w:t>Per</w:t>
      </w:r>
      <w:r w:rsidRPr="00391600">
        <w:rPr>
          <w:rFonts w:ascii="Palatino Linotype" w:hAnsi="Palatino Linotype"/>
        </w:rPr>
        <w:t xml:space="preserve"> </w:t>
      </w:r>
      <w:hyperlink r:id="rId36" w:history="1">
        <w:r w:rsidRPr="00391600">
          <w:rPr>
            <w:rStyle w:val="Hyperlink"/>
            <w:rFonts w:ascii="Palatino Linotype" w:hAnsi="Palatino Linotype"/>
          </w:rPr>
          <w:t>D.04-08-010</w:t>
        </w:r>
      </w:hyperlink>
      <w:r w:rsidRPr="00391600">
        <w:rPr>
          <w:rFonts w:ascii="Palatino Linotype" w:hAnsi="Palatino Linotype"/>
        </w:rPr>
        <w:t xml:space="preserve"> at p. 42</w:t>
      </w:r>
      <w:r w:rsidR="00D13D7D" w:rsidRPr="00391600">
        <w:rPr>
          <w:rFonts w:ascii="Palatino Linotype" w:hAnsi="Palatino Linotype"/>
        </w:rPr>
        <w:t xml:space="preserve"> &amp; OP 21</w:t>
      </w:r>
      <w:r w:rsidRPr="00391600">
        <w:rPr>
          <w:rFonts w:ascii="Palatino Linotype" w:hAnsi="Palatino Linotype"/>
        </w:rPr>
        <w:t>.</w:t>
      </w:r>
    </w:p>
  </w:footnote>
  <w:footnote w:id="63">
    <w:p w14:paraId="5F974061" w14:textId="602B87C2" w:rsidR="007D0439" w:rsidRPr="00391600" w:rsidRDefault="007D0439">
      <w:pPr>
        <w:pStyle w:val="FootnoteText"/>
        <w:rPr>
          <w:rFonts w:ascii="Palatino Linotype" w:hAnsi="Palatino Linotype"/>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w:t>
      </w:r>
      <w:r w:rsidR="00B74855" w:rsidRPr="00391600">
        <w:rPr>
          <w:rFonts w:ascii="Palatino Linotype" w:hAnsi="Palatino Linotype"/>
          <w:color w:val="000000" w:themeColor="text1"/>
        </w:rPr>
        <w:t xml:space="preserve">The </w:t>
      </w:r>
      <w:r w:rsidR="00F15EAA" w:rsidRPr="00391600">
        <w:rPr>
          <w:rFonts w:ascii="Palatino Linotype" w:hAnsi="Palatino Linotype"/>
          <w:color w:val="000000" w:themeColor="text1"/>
        </w:rPr>
        <w:t>CEC should refer to its 2024 Plan</w:t>
      </w:r>
      <w:r w:rsidR="007B6CE2" w:rsidRPr="00391600">
        <w:rPr>
          <w:rFonts w:ascii="Palatino Linotype" w:hAnsi="Palatino Linotype"/>
          <w:color w:val="000000" w:themeColor="text1"/>
        </w:rPr>
        <w:t xml:space="preserve"> submitted via AL 12-G</w:t>
      </w:r>
      <w:r w:rsidR="00F15EAA" w:rsidRPr="00391600">
        <w:rPr>
          <w:rFonts w:ascii="Palatino Linotype" w:hAnsi="Palatino Linotype"/>
          <w:color w:val="000000" w:themeColor="text1"/>
        </w:rPr>
        <w:t xml:space="preserve"> </w:t>
      </w:r>
      <w:r w:rsidR="00316DB9" w:rsidRPr="00391600">
        <w:rPr>
          <w:rFonts w:ascii="Palatino Linotype" w:hAnsi="Palatino Linotype"/>
          <w:color w:val="000000" w:themeColor="text1"/>
        </w:rPr>
        <w:t xml:space="preserve">at p. 42 on its </w:t>
      </w:r>
      <w:r w:rsidR="00316DB9" w:rsidRPr="00391600">
        <w:rPr>
          <w:rFonts w:ascii="Palatino Linotype" w:hAnsi="Palatino Linotype"/>
          <w:i/>
          <w:iCs/>
          <w:color w:val="000000" w:themeColor="text1"/>
        </w:rPr>
        <w:t>Fuel-Flexible Distributed Power Generation</w:t>
      </w:r>
      <w:r w:rsidR="00316DB9" w:rsidRPr="00391600">
        <w:rPr>
          <w:rFonts w:ascii="Palatino Linotype" w:hAnsi="Palatino Linotype"/>
          <w:color w:val="000000" w:themeColor="text1"/>
        </w:rPr>
        <w:t xml:space="preserve"> Initiative </w:t>
      </w:r>
      <w:r w:rsidR="00F15EAA" w:rsidRPr="00391600">
        <w:rPr>
          <w:rFonts w:ascii="Palatino Linotype" w:hAnsi="Palatino Linotype"/>
          <w:color w:val="000000" w:themeColor="text1"/>
        </w:rPr>
        <w:t xml:space="preserve">as a model for differentiating </w:t>
      </w:r>
      <w:r w:rsidR="007E32CF" w:rsidRPr="00391600">
        <w:rPr>
          <w:rFonts w:ascii="Palatino Linotype" w:hAnsi="Palatino Linotype"/>
          <w:color w:val="000000" w:themeColor="text1"/>
        </w:rPr>
        <w:t xml:space="preserve">each of </w:t>
      </w:r>
      <w:r w:rsidR="00F15EAA" w:rsidRPr="00391600">
        <w:rPr>
          <w:rFonts w:ascii="Palatino Linotype" w:hAnsi="Palatino Linotype"/>
          <w:color w:val="000000" w:themeColor="text1"/>
        </w:rPr>
        <w:t>its revised proposed Initiatives</w:t>
      </w:r>
      <w:r w:rsidR="0030119A" w:rsidRPr="00391600">
        <w:rPr>
          <w:rFonts w:ascii="Palatino Linotype" w:hAnsi="Palatino Linotype"/>
          <w:color w:val="000000" w:themeColor="text1"/>
        </w:rPr>
        <w:t xml:space="preserve"> from similar Initiatives </w:t>
      </w:r>
      <w:r w:rsidR="007E313F" w:rsidRPr="00391600">
        <w:rPr>
          <w:rFonts w:ascii="Palatino Linotype" w:hAnsi="Palatino Linotype"/>
          <w:color w:val="000000" w:themeColor="text1"/>
        </w:rPr>
        <w:t>conducted or proposed by other adminis</w:t>
      </w:r>
      <w:r w:rsidR="00935915" w:rsidRPr="00391600">
        <w:rPr>
          <w:rFonts w:ascii="Palatino Linotype" w:hAnsi="Palatino Linotype"/>
          <w:color w:val="000000" w:themeColor="text1"/>
        </w:rPr>
        <w:t>trators</w:t>
      </w:r>
      <w:r w:rsidR="007E32CF" w:rsidRPr="00391600">
        <w:rPr>
          <w:rFonts w:ascii="Palatino Linotype" w:hAnsi="Palatino Linotype"/>
          <w:color w:val="000000" w:themeColor="text1"/>
        </w:rPr>
        <w:t>.</w:t>
      </w:r>
    </w:p>
  </w:footnote>
  <w:footnote w:id="64">
    <w:p w14:paraId="668ED1B0" w14:textId="44933A5E" w:rsidR="00C92625" w:rsidRDefault="00C92625">
      <w:pPr>
        <w:pStyle w:val="FootnoteText"/>
      </w:pPr>
      <w:r w:rsidRPr="00391600">
        <w:rPr>
          <w:rStyle w:val="FootnoteReference"/>
          <w:rFonts w:ascii="Palatino Linotype" w:hAnsi="Palatino Linotype"/>
        </w:rPr>
        <w:footnoteRef/>
      </w:r>
      <w:r w:rsidRPr="00391600">
        <w:rPr>
          <w:rFonts w:ascii="Palatino Linotype" w:hAnsi="Palatino Linotype"/>
        </w:rPr>
        <w:t xml:space="preserve"> </w:t>
      </w:r>
      <w:r w:rsidR="00BA15EC" w:rsidRPr="00391600">
        <w:rPr>
          <w:rFonts w:ascii="Palatino Linotype" w:hAnsi="Palatino Linotype"/>
        </w:rPr>
        <w:t>Per</w:t>
      </w:r>
      <w:r w:rsidRPr="00391600">
        <w:rPr>
          <w:rFonts w:ascii="Palatino Linotype" w:hAnsi="Palatino Linotype"/>
        </w:rPr>
        <w:t xml:space="preserve"> </w:t>
      </w:r>
      <w:r w:rsidRPr="00391600">
        <w:rPr>
          <w:rFonts w:ascii="Palatino Linotype" w:hAnsi="Palatino Linotype"/>
          <w:color w:val="000000" w:themeColor="text1"/>
        </w:rPr>
        <w:t xml:space="preserve">Public Utilities Code 740.1 at </w:t>
      </w:r>
      <w:r w:rsidRPr="00391600">
        <w:rPr>
          <w:rFonts w:ascii="Palatino Linotype" w:eastAsia="SimSun" w:hAnsi="Palatino Linotype" w:cs="Times New Roman"/>
          <w:color w:val="000000" w:themeColor="text1"/>
          <w:kern w:val="0"/>
          <w14:ligatures w14:val="none"/>
        </w:rPr>
        <w:t>(d)</w:t>
      </w:r>
      <w:r w:rsidRPr="00391600">
        <w:rPr>
          <w:rFonts w:ascii="Palatino Linotype" w:hAnsi="Palatino Linotype"/>
          <w:color w:val="000000" w:themeColor="text1"/>
        </w:rPr>
        <w:t xml:space="preserve"> &amp; </w:t>
      </w:r>
      <w:hyperlink r:id="rId37" w:history="1">
        <w:r w:rsidRPr="00391600">
          <w:rPr>
            <w:rStyle w:val="Hyperlink"/>
            <w:rFonts w:ascii="Palatino Linotype" w:hAnsi="Palatino Linotype"/>
          </w:rPr>
          <w:t>Resolution G-3603</w:t>
        </w:r>
      </w:hyperlink>
      <w:r w:rsidRPr="00391600">
        <w:rPr>
          <w:rFonts w:ascii="Palatino Linotype" w:hAnsi="Palatino Linotype"/>
        </w:rPr>
        <w:t xml:space="preserve"> (2024) at OP 4.</w:t>
      </w:r>
    </w:p>
  </w:footnote>
  <w:footnote w:id="65">
    <w:p w14:paraId="14F608DD" w14:textId="3C1FA921" w:rsidR="00725E1F" w:rsidRPr="00391600" w:rsidRDefault="00725E1F" w:rsidP="00725E1F">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r w:rsidR="00BA15EC" w:rsidRPr="00391600">
        <w:rPr>
          <w:rFonts w:ascii="Palatino Linotype" w:hAnsi="Palatino Linotype"/>
        </w:rPr>
        <w:t>Per</w:t>
      </w:r>
      <w:r w:rsidRPr="00391600">
        <w:rPr>
          <w:rFonts w:ascii="Palatino Linotype" w:hAnsi="Palatino Linotype"/>
        </w:rPr>
        <w:t xml:space="preserve"> </w:t>
      </w:r>
      <w:hyperlink r:id="rId38" w:history="1">
        <w:r w:rsidRPr="00391600">
          <w:rPr>
            <w:rStyle w:val="Hyperlink"/>
            <w:rFonts w:ascii="Palatino Linotype" w:hAnsi="Palatino Linotype"/>
          </w:rPr>
          <w:t>Resolution G-3603</w:t>
        </w:r>
      </w:hyperlink>
      <w:r w:rsidRPr="00391600">
        <w:rPr>
          <w:rFonts w:ascii="Palatino Linotype" w:hAnsi="Palatino Linotype"/>
        </w:rPr>
        <w:t xml:space="preserve"> (2024) at OP 5.</w:t>
      </w:r>
    </w:p>
  </w:footnote>
  <w:footnote w:id="66">
    <w:p w14:paraId="4E122150" w14:textId="673E9C41" w:rsidR="000C0009" w:rsidRPr="00391600" w:rsidRDefault="000C0009">
      <w:pPr>
        <w:pStyle w:val="FootnoteText"/>
        <w:rPr>
          <w:rFonts w:ascii="Palatino Linotype" w:hAnsi="Palatino Linotype"/>
        </w:rPr>
      </w:pPr>
      <w:r w:rsidRPr="00391600">
        <w:rPr>
          <w:rStyle w:val="FootnoteReference"/>
          <w:rFonts w:ascii="Palatino Linotype" w:hAnsi="Palatino Linotype"/>
        </w:rPr>
        <w:footnoteRef/>
      </w:r>
      <w:r w:rsidRPr="00391600">
        <w:rPr>
          <w:rFonts w:ascii="Palatino Linotype" w:hAnsi="Palatino Linotype"/>
        </w:rPr>
        <w:t xml:space="preserve"> </w:t>
      </w:r>
      <w:r w:rsidR="00BA15EC" w:rsidRPr="00391600">
        <w:rPr>
          <w:rFonts w:ascii="Palatino Linotype" w:hAnsi="Palatino Linotype"/>
        </w:rPr>
        <w:t xml:space="preserve">Per Public Utilities Code 740.1 at (a) and (b) &amp; </w:t>
      </w:r>
      <w:hyperlink r:id="rId39" w:history="1">
        <w:r w:rsidR="00BA15EC" w:rsidRPr="00391600">
          <w:rPr>
            <w:rStyle w:val="Hyperlink"/>
            <w:rFonts w:ascii="Palatino Linotype" w:hAnsi="Palatino Linotype"/>
          </w:rPr>
          <w:t>Resolution G-3603</w:t>
        </w:r>
      </w:hyperlink>
      <w:r w:rsidR="00BA15EC" w:rsidRPr="00391600">
        <w:rPr>
          <w:rFonts w:ascii="Palatino Linotype" w:hAnsi="Palatino Linotype"/>
        </w:rPr>
        <w:t xml:space="preserve"> (2024) at OP 6.</w:t>
      </w:r>
    </w:p>
  </w:footnote>
  <w:footnote w:id="67">
    <w:p w14:paraId="16B3116A" w14:textId="124D914B" w:rsidR="009522CB" w:rsidRDefault="009522CB" w:rsidP="009522CB">
      <w:pPr>
        <w:pStyle w:val="FootnoteText"/>
      </w:pPr>
      <w:r w:rsidRPr="00391600">
        <w:rPr>
          <w:rStyle w:val="FootnoteReference"/>
          <w:rFonts w:ascii="Palatino Linotype" w:hAnsi="Palatino Linotype"/>
        </w:rPr>
        <w:footnoteRef/>
      </w:r>
      <w:r w:rsidRPr="00391600">
        <w:rPr>
          <w:rFonts w:ascii="Palatino Linotype" w:hAnsi="Palatino Linotype"/>
        </w:rPr>
        <w:t xml:space="preserve"> </w:t>
      </w:r>
      <w:r w:rsidR="00B65C9D" w:rsidRPr="00391600">
        <w:rPr>
          <w:rFonts w:ascii="Palatino Linotype" w:hAnsi="Palatino Linotype"/>
        </w:rPr>
        <w:t xml:space="preserve">In </w:t>
      </w:r>
      <w:r w:rsidRPr="00391600">
        <w:rPr>
          <w:rFonts w:ascii="Palatino Linotype" w:hAnsi="Palatino Linotype"/>
        </w:rPr>
        <w:t>AL 12-G at p. 42</w:t>
      </w:r>
      <w:r w:rsidR="00B65C9D" w:rsidRPr="00391600">
        <w:rPr>
          <w:rFonts w:ascii="Palatino Linotype" w:hAnsi="Palatino Linotype"/>
        </w:rPr>
        <w:t>,</w:t>
      </w:r>
      <w:r w:rsidRPr="00391600">
        <w:rPr>
          <w:rFonts w:ascii="Palatino Linotype" w:hAnsi="Palatino Linotype"/>
        </w:rPr>
        <w:t xml:space="preserve"> </w:t>
      </w:r>
      <w:r w:rsidR="00420272" w:rsidRPr="00391600">
        <w:rPr>
          <w:rFonts w:ascii="Palatino Linotype" w:hAnsi="Palatino Linotype"/>
        </w:rPr>
        <w:t>CEC states that “this proposed initiative is focused on technological advancements and demonstrations of fuel-flexible technologies not necessarily limited to hydrogen.”</w:t>
      </w:r>
    </w:p>
  </w:footnote>
  <w:footnote w:id="68">
    <w:p w14:paraId="6FEACFC3" w14:textId="68762C09" w:rsidR="00516BFC" w:rsidRPr="00391600" w:rsidRDefault="00516BFC" w:rsidP="00516BFC">
      <w:pPr>
        <w:pStyle w:val="FootnoteText"/>
        <w:rPr>
          <w:rFonts w:ascii="Palatino Linotype" w:hAnsi="Palatino Linotype"/>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w:t>
      </w:r>
      <w:r w:rsidR="00256FAA" w:rsidRPr="00391600">
        <w:rPr>
          <w:rFonts w:ascii="Palatino Linotype" w:hAnsi="Palatino Linotype"/>
          <w:color w:val="000000" w:themeColor="text1"/>
        </w:rPr>
        <w:t xml:space="preserve">Two prior examples of the </w:t>
      </w:r>
      <w:r w:rsidR="00B30A6A" w:rsidRPr="00391600">
        <w:rPr>
          <w:rFonts w:ascii="Palatino Linotype" w:hAnsi="Palatino Linotype"/>
          <w:color w:val="000000" w:themeColor="text1"/>
        </w:rPr>
        <w:t xml:space="preserve">Commission’s </w:t>
      </w:r>
      <w:r w:rsidR="00256FAA" w:rsidRPr="00391600">
        <w:rPr>
          <w:rFonts w:ascii="Palatino Linotype" w:hAnsi="Palatino Linotype"/>
          <w:color w:val="000000" w:themeColor="text1"/>
        </w:rPr>
        <w:t xml:space="preserve">precedent </w:t>
      </w:r>
      <w:r w:rsidR="00B30A6A" w:rsidRPr="00391600">
        <w:rPr>
          <w:rFonts w:ascii="Palatino Linotype" w:hAnsi="Palatino Linotype"/>
          <w:color w:val="000000" w:themeColor="text1"/>
        </w:rPr>
        <w:t>for a 10% cap on</w:t>
      </w:r>
      <w:r w:rsidR="00256FAA" w:rsidRPr="00391600">
        <w:rPr>
          <w:rFonts w:ascii="Palatino Linotype" w:hAnsi="Palatino Linotype"/>
          <w:color w:val="000000" w:themeColor="text1"/>
        </w:rPr>
        <w:t xml:space="preserve"> </w:t>
      </w:r>
      <w:r w:rsidR="00935EF7" w:rsidRPr="00391600">
        <w:rPr>
          <w:rFonts w:ascii="Palatino Linotype" w:hAnsi="Palatino Linotype"/>
          <w:color w:val="000000" w:themeColor="text1"/>
        </w:rPr>
        <w:t xml:space="preserve">the </w:t>
      </w:r>
      <w:r w:rsidR="00256FAA" w:rsidRPr="00391600">
        <w:rPr>
          <w:rFonts w:ascii="Palatino Linotype" w:hAnsi="Palatino Linotype"/>
          <w:color w:val="000000" w:themeColor="text1"/>
        </w:rPr>
        <w:t xml:space="preserve">CEC’s administrative </w:t>
      </w:r>
      <w:r w:rsidR="00935EF7" w:rsidRPr="00391600">
        <w:rPr>
          <w:rFonts w:ascii="Palatino Linotype" w:hAnsi="Palatino Linotype"/>
          <w:color w:val="000000" w:themeColor="text1"/>
        </w:rPr>
        <w:t xml:space="preserve">costs </w:t>
      </w:r>
      <w:r w:rsidR="00256FAA" w:rsidRPr="00391600">
        <w:rPr>
          <w:rFonts w:ascii="Palatino Linotype" w:hAnsi="Palatino Linotype"/>
          <w:color w:val="000000" w:themeColor="text1"/>
        </w:rPr>
        <w:t>are: 1)</w:t>
      </w:r>
      <w:r w:rsidRPr="00391600">
        <w:rPr>
          <w:rFonts w:ascii="Palatino Linotype" w:hAnsi="Palatino Linotype"/>
          <w:color w:val="000000" w:themeColor="text1"/>
        </w:rPr>
        <w:t xml:space="preserve"> </w:t>
      </w:r>
      <w:hyperlink r:id="rId40" w:history="1">
        <w:r w:rsidRPr="00391600">
          <w:rPr>
            <w:rStyle w:val="Hyperlink"/>
            <w:rFonts w:ascii="Palatino Linotype" w:hAnsi="Palatino Linotype"/>
          </w:rPr>
          <w:t>Resolution G-3546</w:t>
        </w:r>
      </w:hyperlink>
      <w:r w:rsidRPr="00391600">
        <w:rPr>
          <w:rFonts w:ascii="Palatino Linotype" w:hAnsi="Palatino Linotype"/>
        </w:rPr>
        <w:t xml:space="preserve"> (2019) at p. 7. “The CEC’s request for administrative expenses ($2.4 million, or </w:t>
      </w:r>
      <w:r w:rsidR="00556D03">
        <w:rPr>
          <w:rFonts w:ascii="Palatino Linotype" w:hAnsi="Palatino Linotype"/>
        </w:rPr>
        <w:br/>
      </w:r>
      <w:r w:rsidRPr="00391600">
        <w:rPr>
          <w:rFonts w:ascii="Palatino Linotype" w:hAnsi="Palatino Linotype"/>
        </w:rPr>
        <w:t>10 percent of the total proposed budget) is appropriate and in line with historical program administration costs. We adopt this limit and require the CEC to adhere to it and encourage the CEC to continue to keep such expenses at 10 percent or less for future budget proposals</w:t>
      </w:r>
      <w:r w:rsidR="00ED1226">
        <w:rPr>
          <w:rFonts w:ascii="Palatino Linotype" w:hAnsi="Palatino Linotype"/>
        </w:rPr>
        <w:t>;</w:t>
      </w:r>
      <w:r w:rsidRPr="00391600">
        <w:rPr>
          <w:rFonts w:ascii="Palatino Linotype" w:hAnsi="Palatino Linotype"/>
        </w:rPr>
        <w:t xml:space="preserve">” </w:t>
      </w:r>
      <w:r w:rsidR="00256FAA" w:rsidRPr="00391600">
        <w:rPr>
          <w:rFonts w:ascii="Palatino Linotype" w:hAnsi="Palatino Linotype"/>
        </w:rPr>
        <w:t xml:space="preserve">2) </w:t>
      </w:r>
      <w:hyperlink r:id="rId41">
        <w:r w:rsidRPr="00391600">
          <w:rPr>
            <w:rStyle w:val="Hyperlink"/>
            <w:rFonts w:ascii="Palatino Linotype" w:hAnsi="Palatino Linotype"/>
          </w:rPr>
          <w:t>Resolution G-3592</w:t>
        </w:r>
      </w:hyperlink>
      <w:r w:rsidRPr="00391600">
        <w:rPr>
          <w:rFonts w:ascii="Palatino Linotype" w:hAnsi="Palatino Linotype"/>
        </w:rPr>
        <w:t xml:space="preserve"> (2023) at OP 2. “CEC’s administrative budget is capped at 10 percent of the total budget of $24 million, or $2.4 million;” &amp; p. 20. “We adopt a 10 percent administrative budget for the CEC’s 2022-2023 Gas Plan as well as for future budget proposals.”</w:t>
      </w:r>
    </w:p>
  </w:footnote>
  <w:footnote w:id="69">
    <w:p w14:paraId="642E6D5E" w14:textId="18843900" w:rsidR="00B03DC9" w:rsidRPr="00391600" w:rsidRDefault="00B03DC9" w:rsidP="00B03DC9">
      <w:pPr>
        <w:pStyle w:val="FootnoteText"/>
        <w:rPr>
          <w:rFonts w:ascii="Palatino Linotype" w:hAnsi="Palatino Linotype"/>
        </w:rPr>
      </w:pPr>
      <w:r w:rsidRPr="00391600">
        <w:rPr>
          <w:rStyle w:val="FootnoteReference"/>
          <w:rFonts w:ascii="Palatino Linotype" w:hAnsi="Palatino Linotype"/>
          <w:color w:val="000000" w:themeColor="text1"/>
        </w:rPr>
        <w:footnoteRef/>
      </w:r>
      <w:r w:rsidRPr="00391600">
        <w:rPr>
          <w:rFonts w:ascii="Palatino Linotype" w:hAnsi="Palatino Linotype"/>
          <w:color w:val="000000" w:themeColor="text1"/>
        </w:rPr>
        <w:t xml:space="preserve"> See </w:t>
      </w:r>
      <w:r w:rsidR="008A3957" w:rsidRPr="00391600">
        <w:rPr>
          <w:rFonts w:ascii="Palatino Linotype" w:hAnsi="Palatino Linotype"/>
          <w:color w:val="000000" w:themeColor="text1"/>
        </w:rPr>
        <w:t xml:space="preserve">Resolution G-3622 at </w:t>
      </w:r>
      <w:r w:rsidRPr="00391600">
        <w:rPr>
          <w:rFonts w:ascii="Palatino Linotype" w:hAnsi="Palatino Linotype"/>
          <w:color w:val="000000" w:themeColor="text1"/>
        </w:rPr>
        <w:t xml:space="preserve">Appendix </w:t>
      </w:r>
      <w:r w:rsidR="0072344D" w:rsidRPr="00391600">
        <w:rPr>
          <w:rFonts w:ascii="Palatino Linotype" w:hAnsi="Palatino Linotype"/>
          <w:color w:val="000000" w:themeColor="text1"/>
        </w:rPr>
        <w:t>F</w:t>
      </w:r>
      <w:r w:rsidRPr="00391600">
        <w:rPr>
          <w:rFonts w:ascii="Palatino Linotype" w:hAnsi="Palatino Linotype"/>
          <w:color w:val="000000" w:themeColor="text1"/>
        </w:rPr>
        <w:t xml:space="preserve">: CEC Balances of Unspent Funds from Previously Approved Gas RD&amp;D Plans detailing balances provided by the CEC per an Energy Division data request on </w:t>
      </w:r>
      <w:r w:rsidR="00556D03">
        <w:rPr>
          <w:rFonts w:ascii="Palatino Linotype" w:hAnsi="Palatino Linotype"/>
          <w:color w:val="000000" w:themeColor="text1"/>
        </w:rPr>
        <w:br/>
      </w:r>
      <w:r w:rsidRPr="00391600">
        <w:rPr>
          <w:rFonts w:ascii="Palatino Linotype" w:hAnsi="Palatino Linotype"/>
          <w:color w:val="000000" w:themeColor="text1"/>
        </w:rPr>
        <w:t>April 30, 2026.</w:t>
      </w:r>
    </w:p>
  </w:footnote>
  <w:footnote w:id="70">
    <w:p w14:paraId="69B2BE66" w14:textId="494288C1" w:rsidR="00E456E0" w:rsidRDefault="00E456E0">
      <w:pPr>
        <w:pStyle w:val="FootnoteText"/>
      </w:pPr>
      <w:r w:rsidRPr="00391600">
        <w:rPr>
          <w:rStyle w:val="FootnoteReference"/>
          <w:rFonts w:ascii="Palatino Linotype" w:hAnsi="Palatino Linotype"/>
        </w:rPr>
        <w:footnoteRef/>
      </w:r>
      <w:r w:rsidRPr="00391600">
        <w:rPr>
          <w:rFonts w:ascii="Palatino Linotype" w:hAnsi="Palatino Linotype"/>
        </w:rPr>
        <w:t xml:space="preserve"> </w:t>
      </w:r>
      <w:r w:rsidRPr="00391600">
        <w:rPr>
          <w:rFonts w:ascii="Palatino Linotype" w:hAnsi="Palatino Linotype"/>
          <w:color w:val="000000" w:themeColor="text1"/>
        </w:rPr>
        <w:t>See</w:t>
      </w:r>
      <w:r w:rsidRPr="00391600">
        <w:rPr>
          <w:rFonts w:ascii="Times New Roman" w:hAnsi="Times New Roman" w:cs="Times New Roman"/>
          <w:color w:val="000000" w:themeColor="text1"/>
        </w:rPr>
        <w:t> </w:t>
      </w:r>
      <w:r w:rsidR="00A720F2" w:rsidRPr="00391600">
        <w:rPr>
          <w:rFonts w:ascii="Palatino Linotype" w:hAnsi="Palatino Linotype"/>
          <w:color w:val="000000" w:themeColor="text1"/>
        </w:rPr>
        <w:t xml:space="preserve">Resolution G-3622 at </w:t>
      </w:r>
      <w:r w:rsidRPr="00391600">
        <w:rPr>
          <w:rFonts w:ascii="Palatino Linotype" w:hAnsi="Palatino Linotype"/>
          <w:color w:val="000000" w:themeColor="text1"/>
        </w:rPr>
        <w:t xml:space="preserve">Appendix </w:t>
      </w:r>
      <w:r w:rsidR="0072344D" w:rsidRPr="00391600">
        <w:rPr>
          <w:rFonts w:ascii="Palatino Linotype" w:hAnsi="Palatino Linotype"/>
          <w:color w:val="000000" w:themeColor="text1"/>
        </w:rPr>
        <w:t>H</w:t>
      </w:r>
      <w:r w:rsidR="00A30E95" w:rsidRPr="00391600">
        <w:rPr>
          <w:rFonts w:ascii="Palatino Linotype" w:hAnsi="Palatino Linotype"/>
          <w:color w:val="000000" w:themeColor="text1"/>
        </w:rPr>
        <w:t xml:space="preserve">: </w:t>
      </w:r>
      <w:r w:rsidRPr="00391600">
        <w:rPr>
          <w:rFonts w:ascii="Palatino Linotype" w:hAnsi="Palatino Linotype"/>
        </w:rPr>
        <w:t>Compliance Assessment of AL 10-G-A.</w:t>
      </w:r>
    </w:p>
  </w:footnote>
  <w:footnote w:id="71">
    <w:p w14:paraId="7CB36A1F" w14:textId="3B844115" w:rsidR="001E4701" w:rsidRPr="00E63715" w:rsidRDefault="001E4701" w:rsidP="001E4701">
      <w:pPr>
        <w:pStyle w:val="FootnoteText"/>
        <w:rPr>
          <w:rFonts w:ascii="Palatino Linotype" w:hAnsi="Palatino Linotype"/>
          <w:color w:val="000000" w:themeColor="text1"/>
        </w:rPr>
      </w:pPr>
      <w:r w:rsidRPr="00E63715">
        <w:rPr>
          <w:rStyle w:val="FootnoteReference"/>
          <w:rFonts w:ascii="Palatino Linotype" w:hAnsi="Palatino Linotype"/>
        </w:rPr>
        <w:footnoteRef/>
      </w:r>
      <w:r w:rsidRPr="00E63715">
        <w:rPr>
          <w:rFonts w:ascii="Palatino Linotype" w:hAnsi="Palatino Linotype"/>
        </w:rPr>
        <w:t xml:space="preserve"> See Resolution G</w:t>
      </w:r>
      <w:r w:rsidRPr="00E63715">
        <w:rPr>
          <w:rFonts w:ascii="Palatino Linotype" w:hAnsi="Palatino Linotype"/>
          <w:color w:val="000000" w:themeColor="text1"/>
        </w:rPr>
        <w:t xml:space="preserve">-3622 </w:t>
      </w:r>
      <w:r w:rsidRPr="00E63715">
        <w:rPr>
          <w:rFonts w:ascii="Palatino Linotype" w:hAnsi="Palatino Linotype"/>
        </w:rPr>
        <w:t xml:space="preserve">at Appendix </w:t>
      </w:r>
      <w:r w:rsidR="0072344D" w:rsidRPr="00E63715">
        <w:rPr>
          <w:rFonts w:ascii="Palatino Linotype" w:hAnsi="Palatino Linotype"/>
        </w:rPr>
        <w:t>F</w:t>
      </w:r>
      <w:r w:rsidRPr="00E63715">
        <w:rPr>
          <w:rFonts w:ascii="Palatino Linotype" w:hAnsi="Palatino Linotype"/>
        </w:rPr>
        <w:t xml:space="preserve">: </w:t>
      </w:r>
      <w:r w:rsidRPr="00E63715">
        <w:rPr>
          <w:rFonts w:ascii="Palatino Linotype" w:hAnsi="Palatino Linotype"/>
          <w:color w:val="000000" w:themeColor="text1"/>
        </w:rPr>
        <w:t xml:space="preserve">CEC Balances of Unspent Funds from Previously Approved Gas RD&amp;D Plans. </w:t>
      </w:r>
      <w:r w:rsidR="00EE308F" w:rsidRPr="00E63715">
        <w:rPr>
          <w:rFonts w:ascii="Palatino Linotype" w:hAnsi="Palatino Linotype"/>
          <w:color w:val="000000" w:themeColor="text1"/>
        </w:rPr>
        <w:t xml:space="preserve">Per </w:t>
      </w:r>
      <w:hyperlink r:id="rId42" w:history="1">
        <w:r w:rsidR="00EE308F" w:rsidRPr="00E63715">
          <w:rPr>
            <w:rStyle w:val="Hyperlink"/>
            <w:rFonts w:ascii="Palatino Linotype" w:hAnsi="Palatino Linotype"/>
          </w:rPr>
          <w:t>Resolution G-3584</w:t>
        </w:r>
      </w:hyperlink>
      <w:r w:rsidR="00EE308F" w:rsidRPr="00E63715">
        <w:rPr>
          <w:rFonts w:ascii="Palatino Linotype" w:hAnsi="Palatino Linotype"/>
          <w:color w:val="000000" w:themeColor="text1"/>
        </w:rPr>
        <w:t xml:space="preserve"> (2021) at OP 4 &amp; </w:t>
      </w:r>
      <w:hyperlink r:id="rId43" w:history="1">
        <w:r w:rsidR="00EE308F" w:rsidRPr="00E63715">
          <w:rPr>
            <w:rStyle w:val="Hyperlink"/>
            <w:rFonts w:ascii="Palatino Linotype" w:hAnsi="Palatino Linotype"/>
          </w:rPr>
          <w:t>Resolution G-3592</w:t>
        </w:r>
      </w:hyperlink>
      <w:r w:rsidR="00EE308F" w:rsidRPr="00E63715">
        <w:rPr>
          <w:rFonts w:ascii="Palatino Linotype" w:hAnsi="Palatino Linotype"/>
        </w:rPr>
        <w:t xml:space="preserve"> (2023) at OP 7. </w:t>
      </w:r>
      <w:r w:rsidR="00577916" w:rsidRPr="00E63715">
        <w:rPr>
          <w:rFonts w:ascii="Palatino Linotype" w:hAnsi="Palatino Linotype"/>
        </w:rPr>
        <w:t>“</w:t>
      </w:r>
      <w:r w:rsidR="00EE308F" w:rsidRPr="00E63715">
        <w:rPr>
          <w:rFonts w:ascii="Palatino Linotype" w:hAnsi="Palatino Linotype"/>
        </w:rPr>
        <w:t>[</w:t>
      </w:r>
      <w:r w:rsidR="00D40E36" w:rsidRPr="00E63715">
        <w:rPr>
          <w:rFonts w:ascii="Palatino Linotype" w:hAnsi="Palatino Linotype"/>
        </w:rPr>
        <w:t>U]</w:t>
      </w:r>
      <w:proofErr w:type="spellStart"/>
      <w:r w:rsidR="00D40E36" w:rsidRPr="00E63715">
        <w:rPr>
          <w:rFonts w:ascii="Palatino Linotype" w:hAnsi="Palatino Linotype"/>
          <w:color w:val="000000" w:themeColor="text1"/>
        </w:rPr>
        <w:t>nencumbered</w:t>
      </w:r>
      <w:proofErr w:type="spellEnd"/>
      <w:r w:rsidR="00D40E36" w:rsidRPr="00E63715">
        <w:rPr>
          <w:rFonts w:ascii="Palatino Linotype" w:hAnsi="Palatino Linotype"/>
          <w:color w:val="000000" w:themeColor="text1"/>
        </w:rPr>
        <w:t xml:space="preserve"> and unspent funds should be utilized prior to the utilization of new and/or additional ratepayer funds.”</w:t>
      </w:r>
    </w:p>
  </w:footnote>
  <w:footnote w:id="72">
    <w:p w14:paraId="09FB3495" w14:textId="77777777" w:rsidR="001E4701" w:rsidRPr="00E63715" w:rsidRDefault="001E4701" w:rsidP="001E4701">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44" w:history="1">
        <w:r w:rsidRPr="00E63715">
          <w:rPr>
            <w:rStyle w:val="Hyperlink"/>
            <w:rFonts w:ascii="Palatino Linotype" w:hAnsi="Palatino Linotype"/>
          </w:rPr>
          <w:t>D.04-08-010</w:t>
        </w:r>
      </w:hyperlink>
      <w:r w:rsidRPr="00E63715">
        <w:rPr>
          <w:rFonts w:ascii="Palatino Linotype" w:hAnsi="Palatino Linotype"/>
        </w:rPr>
        <w:t xml:space="preserve"> at p. 42 &amp; OP 21.</w:t>
      </w:r>
    </w:p>
  </w:footnote>
  <w:footnote w:id="73">
    <w:p w14:paraId="164D66CB" w14:textId="11AC76A8" w:rsidR="00F65187" w:rsidRPr="001C57E6" w:rsidRDefault="00F65187" w:rsidP="00F65187">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008D2FCF" w:rsidRPr="00E63715">
        <w:rPr>
          <w:rFonts w:ascii="Palatino Linotype" w:hAnsi="Palatino Linotype"/>
        </w:rPr>
        <w:t xml:space="preserve">California </w:t>
      </w:r>
      <w:r w:rsidRPr="00E63715">
        <w:rPr>
          <w:rFonts w:ascii="Palatino Linotype" w:hAnsi="Palatino Linotype"/>
          <w:color w:val="000000" w:themeColor="text1"/>
        </w:rPr>
        <w:t xml:space="preserve">Public Utilities Code 740.1 at </w:t>
      </w:r>
      <w:r w:rsidRPr="00E63715">
        <w:rPr>
          <w:rFonts w:ascii="Palatino Linotype" w:eastAsia="SimSun" w:hAnsi="Palatino Linotype" w:cs="Times New Roman"/>
          <w:color w:val="000000" w:themeColor="text1"/>
          <w:kern w:val="0"/>
          <w14:ligatures w14:val="none"/>
        </w:rPr>
        <w:t>(d)</w:t>
      </w:r>
      <w:r w:rsidR="00DE4E7F" w:rsidRPr="00E63715">
        <w:rPr>
          <w:rFonts w:ascii="Palatino Linotype" w:hAnsi="Palatino Linotype"/>
          <w:color w:val="000000" w:themeColor="text1"/>
        </w:rPr>
        <w:t>.</w:t>
      </w:r>
      <w:r w:rsidR="003C0072" w:rsidRPr="00E63715">
        <w:rPr>
          <w:rFonts w:ascii="Palatino Linotype" w:hAnsi="Palatino Linotype"/>
          <w:color w:val="000000" w:themeColor="text1"/>
        </w:rPr>
        <w:t xml:space="preserve"> The CEC should refer to its 2024 Plan submitted via </w:t>
      </w:r>
      <w:r w:rsidR="00E263D8">
        <w:rPr>
          <w:rFonts w:ascii="Palatino Linotype" w:hAnsi="Palatino Linotype"/>
          <w:color w:val="000000" w:themeColor="text1"/>
        </w:rPr>
        <w:br/>
      </w:r>
      <w:r w:rsidR="003C0072" w:rsidRPr="00E63715">
        <w:rPr>
          <w:rFonts w:ascii="Palatino Linotype" w:hAnsi="Palatino Linotype"/>
          <w:color w:val="000000" w:themeColor="text1"/>
        </w:rPr>
        <w:t>AL 12-G at p</w:t>
      </w:r>
      <w:proofErr w:type="gramStart"/>
      <w:r w:rsidR="003C0072" w:rsidRPr="00E63715">
        <w:rPr>
          <w:rFonts w:ascii="Palatino Linotype" w:hAnsi="Palatino Linotype"/>
          <w:color w:val="000000" w:themeColor="text1"/>
        </w:rPr>
        <w:t>. 42</w:t>
      </w:r>
      <w:proofErr w:type="gramEnd"/>
      <w:r w:rsidR="003C0072" w:rsidRPr="00E63715">
        <w:rPr>
          <w:rFonts w:ascii="Palatino Linotype" w:hAnsi="Palatino Linotype"/>
          <w:color w:val="000000" w:themeColor="text1"/>
        </w:rPr>
        <w:t xml:space="preserve"> on its </w:t>
      </w:r>
      <w:r w:rsidR="003C0072" w:rsidRPr="00E63715">
        <w:rPr>
          <w:rFonts w:ascii="Palatino Linotype" w:hAnsi="Palatino Linotype"/>
          <w:i/>
          <w:iCs/>
          <w:color w:val="000000" w:themeColor="text1"/>
        </w:rPr>
        <w:t>Fuel-Flexible Distributed Power Generation</w:t>
      </w:r>
      <w:r w:rsidR="003C0072" w:rsidRPr="00E63715">
        <w:rPr>
          <w:rFonts w:ascii="Palatino Linotype" w:hAnsi="Palatino Linotype"/>
          <w:color w:val="000000" w:themeColor="text1"/>
        </w:rPr>
        <w:t xml:space="preserve"> Initiative as a model for differentiating each of its revised proposed Initiatives from similar Initiatives conducted or proposed by other administrators.</w:t>
      </w:r>
    </w:p>
  </w:footnote>
  <w:footnote w:id="74">
    <w:p w14:paraId="3C508BD3" w14:textId="6ECA9BF0" w:rsidR="00245A3A" w:rsidRPr="00E63715" w:rsidRDefault="00245A3A" w:rsidP="00245A3A">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45">
        <w:r w:rsidRPr="00E63715">
          <w:rPr>
            <w:rStyle w:val="Hyperlink"/>
            <w:rFonts w:ascii="Palatino Linotype" w:hAnsi="Palatino Linotype"/>
          </w:rPr>
          <w:t>Resolution G-3592</w:t>
        </w:r>
      </w:hyperlink>
      <w:r w:rsidRPr="00E63715">
        <w:rPr>
          <w:rFonts w:ascii="Palatino Linotype" w:hAnsi="Palatino Linotype"/>
        </w:rPr>
        <w:t xml:space="preserve"> (2023) at OP 2.</w:t>
      </w:r>
    </w:p>
  </w:footnote>
  <w:footnote w:id="75">
    <w:p w14:paraId="0A423289" w14:textId="77777777" w:rsidR="0096646D" w:rsidRPr="00E63715" w:rsidRDefault="0096646D" w:rsidP="0096646D">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Consistent with </w:t>
      </w:r>
      <w:hyperlink r:id="rId46" w:history="1">
        <w:r w:rsidRPr="00E63715">
          <w:rPr>
            <w:rStyle w:val="Hyperlink"/>
            <w:rFonts w:ascii="Palatino Linotype" w:hAnsi="Palatino Linotype"/>
          </w:rPr>
          <w:t>Resolution G-3495</w:t>
        </w:r>
      </w:hyperlink>
      <w:r w:rsidRPr="00E63715">
        <w:rPr>
          <w:rFonts w:ascii="Palatino Linotype" w:hAnsi="Palatino Linotype"/>
        </w:rPr>
        <w:t xml:space="preserve"> (2014): Approving CEC’s FY 2014-2015 Gas RD&amp;D Plan at p. 9. "We find it appropriate that the CEC apply the cumulative unspent amount of $4.492 million from previous program cycles to CEC’s funding request at the CPUC for the 2015-16 program cycle, which will result in reducing the amount the CEC will need to draw out of the program funds for the 2015-16 program cycle. As an example, if for Fiscal Year 2015-2016 CEC requests $24 million in its proposed budget, and the CPUC authorizes $24 million in spending, then the CEC shall draw $19.508 million from the CPUC instead of $24 million." See also: </w:t>
      </w:r>
      <w:hyperlink r:id="rId47" w:history="1">
        <w:r w:rsidRPr="00E63715">
          <w:rPr>
            <w:rStyle w:val="Hyperlink"/>
            <w:rFonts w:ascii="Palatino Linotype" w:hAnsi="Palatino Linotype"/>
            <w:bCs/>
          </w:rPr>
          <w:t>Resolution G-3495</w:t>
        </w:r>
      </w:hyperlink>
      <w:r w:rsidRPr="00E63715">
        <w:rPr>
          <w:rFonts w:ascii="Palatino Linotype" w:hAnsi="Palatino Linotype"/>
          <w:bCs/>
          <w:color w:val="000000" w:themeColor="text1"/>
        </w:rPr>
        <w:t xml:space="preserve"> (2014) at p. 6-9, FOF 6, &amp; OP 5; </w:t>
      </w:r>
      <w:hyperlink r:id="rId48" w:tgtFrame="_blank" w:history="1">
        <w:r w:rsidRPr="00E63715">
          <w:rPr>
            <w:rStyle w:val="Hyperlink"/>
            <w:rFonts w:ascii="Palatino Linotype" w:hAnsi="Palatino Linotype"/>
          </w:rPr>
          <w:t>Resolution G-3584</w:t>
        </w:r>
      </w:hyperlink>
      <w:r w:rsidRPr="00E63715">
        <w:rPr>
          <w:rFonts w:ascii="Palatino Linotype" w:hAnsi="Palatino Linotype"/>
        </w:rPr>
        <w:t xml:space="preserve"> (2021) at OP 4; </w:t>
      </w:r>
      <w:hyperlink r:id="rId49" w:tgtFrame="_blank" w:history="1">
        <w:r w:rsidRPr="00E63715">
          <w:rPr>
            <w:rStyle w:val="Hyperlink"/>
            <w:rFonts w:ascii="Palatino Linotype" w:hAnsi="Palatino Linotype"/>
          </w:rPr>
          <w:t>Resolution G-3592</w:t>
        </w:r>
      </w:hyperlink>
      <w:r w:rsidRPr="00E63715">
        <w:rPr>
          <w:rFonts w:ascii="Palatino Linotype" w:hAnsi="Palatino Linotype"/>
        </w:rPr>
        <w:t xml:space="preserve"> (2023) at OP 7; </w:t>
      </w:r>
      <w:r w:rsidR="00D42D46" w:rsidRPr="00E63715">
        <w:rPr>
          <w:rFonts w:ascii="Palatino Linotype" w:hAnsi="Palatino Linotype"/>
        </w:rPr>
        <w:t xml:space="preserve">&amp; </w:t>
      </w:r>
      <w:r w:rsidRPr="00E63715">
        <w:rPr>
          <w:rFonts w:ascii="Palatino Linotype" w:hAnsi="Palatino Linotype"/>
        </w:rPr>
        <w:t>Resolution G</w:t>
      </w:r>
      <w:r w:rsidRPr="00E63715">
        <w:rPr>
          <w:rFonts w:ascii="Palatino Linotype" w:hAnsi="Palatino Linotype"/>
          <w:color w:val="000000" w:themeColor="text1"/>
        </w:rPr>
        <w:t xml:space="preserve">-3622 </w:t>
      </w:r>
      <w:r w:rsidRPr="00E63715">
        <w:rPr>
          <w:rFonts w:ascii="Palatino Linotype" w:hAnsi="Palatino Linotype"/>
        </w:rPr>
        <w:t xml:space="preserve">at Appendix </w:t>
      </w:r>
      <w:r w:rsidR="000B6588" w:rsidRPr="00E63715">
        <w:rPr>
          <w:rFonts w:ascii="Palatino Linotype" w:hAnsi="Palatino Linotype"/>
        </w:rPr>
        <w:t>E</w:t>
      </w:r>
      <w:r w:rsidRPr="00E63715">
        <w:rPr>
          <w:rFonts w:ascii="Palatino Linotype" w:hAnsi="Palatino Linotype"/>
        </w:rPr>
        <w:t>: CEC Gas RD&amp;D Funding Process for Budgets Less Than $24M detailing how if “the CPUC decides to authorize less than $24 million, the Energy Commission will proportionally reduce the requested transfers from the Gas Consumption Surcharge Fund by that amount.”</w:t>
      </w:r>
    </w:p>
  </w:footnote>
  <w:footnote w:id="76">
    <w:p w14:paraId="43A91EEC" w14:textId="54FEB03F" w:rsidR="00332F91" w:rsidRPr="008E2230" w:rsidRDefault="00332F91" w:rsidP="00332F91">
      <w:pPr>
        <w:pStyle w:val="FootnoteText"/>
        <w:rPr>
          <w:rFonts w:ascii="Palatino Linotype" w:hAnsi="Palatino Linotype"/>
        </w:rPr>
      </w:pPr>
      <w:r w:rsidRPr="00E63715">
        <w:rPr>
          <w:rStyle w:val="FootnoteReference"/>
          <w:rFonts w:ascii="Palatino Linotype" w:hAnsi="Palatino Linotype"/>
          <w:color w:val="000000" w:themeColor="text1"/>
        </w:rPr>
        <w:footnoteRef/>
      </w:r>
      <w:r w:rsidRPr="00E63715">
        <w:rPr>
          <w:rFonts w:ascii="Palatino Linotype" w:hAnsi="Palatino Linotype"/>
          <w:color w:val="000000" w:themeColor="text1"/>
        </w:rPr>
        <w:t xml:space="preserve"> </w:t>
      </w:r>
      <w:r w:rsidR="00511ABD" w:rsidRPr="00E63715">
        <w:rPr>
          <w:rFonts w:ascii="Palatino Linotype" w:hAnsi="Palatino Linotype"/>
          <w:color w:val="000000" w:themeColor="text1"/>
        </w:rPr>
        <w:t>Two prior examples of the Commission’s precedent for a 10% cap on the CEC’s administrative costs are</w:t>
      </w:r>
      <w:r w:rsidR="00AF3F80" w:rsidRPr="00E63715">
        <w:rPr>
          <w:rFonts w:ascii="Palatino Linotype" w:hAnsi="Palatino Linotype"/>
          <w:color w:val="000000" w:themeColor="text1"/>
        </w:rPr>
        <w:t xml:space="preserve"> </w:t>
      </w:r>
      <w:hyperlink r:id="rId50" w:history="1">
        <w:r w:rsidR="00511ABD" w:rsidRPr="00E63715">
          <w:rPr>
            <w:rStyle w:val="Hyperlink"/>
            <w:rFonts w:ascii="Palatino Linotype" w:hAnsi="Palatino Linotype"/>
          </w:rPr>
          <w:t>Resolution G-3546</w:t>
        </w:r>
      </w:hyperlink>
      <w:r w:rsidR="00511ABD" w:rsidRPr="00E63715">
        <w:rPr>
          <w:rFonts w:ascii="Palatino Linotype" w:hAnsi="Palatino Linotype"/>
        </w:rPr>
        <w:t xml:space="preserve"> (2019) at p. 7</w:t>
      </w:r>
      <w:r w:rsidR="00AF3F80" w:rsidRPr="00E63715">
        <w:rPr>
          <w:rFonts w:ascii="Palatino Linotype" w:hAnsi="Palatino Linotype"/>
        </w:rPr>
        <w:t xml:space="preserve"> &amp;</w:t>
      </w:r>
      <w:r w:rsidRPr="00E63715">
        <w:rPr>
          <w:rFonts w:ascii="Palatino Linotype" w:hAnsi="Palatino Linotype"/>
        </w:rPr>
        <w:t xml:space="preserve"> </w:t>
      </w:r>
      <w:hyperlink r:id="rId51">
        <w:r w:rsidRPr="00E63715">
          <w:rPr>
            <w:rStyle w:val="Hyperlink"/>
            <w:rFonts w:ascii="Palatino Linotype" w:hAnsi="Palatino Linotype"/>
          </w:rPr>
          <w:t>Resolution G-3592</w:t>
        </w:r>
      </w:hyperlink>
      <w:r w:rsidRPr="00E63715">
        <w:rPr>
          <w:rFonts w:ascii="Palatino Linotype" w:hAnsi="Palatino Linotype"/>
        </w:rPr>
        <w:t xml:space="preserve"> (2023) at OP 2</w:t>
      </w:r>
      <w:r w:rsidR="00AF3F80" w:rsidRPr="00E63715">
        <w:rPr>
          <w:rFonts w:ascii="Palatino Linotype" w:hAnsi="Palatino Linotype"/>
        </w:rPr>
        <w:t xml:space="preserve"> </w:t>
      </w:r>
      <w:r w:rsidRPr="00E63715">
        <w:rPr>
          <w:rFonts w:ascii="Palatino Linotype" w:hAnsi="Palatino Linotype"/>
        </w:rPr>
        <w:t>&amp; p. 20.</w:t>
      </w:r>
      <w:r w:rsidRPr="00CA5388">
        <w:rPr>
          <w:rFonts w:ascii="Palatino Linotype" w:hAnsi="Palatino Linotype"/>
        </w:rPr>
        <w:t xml:space="preserve"> </w:t>
      </w:r>
    </w:p>
  </w:footnote>
  <w:footnote w:id="77">
    <w:p w14:paraId="6A32C95A" w14:textId="458AEBA7" w:rsidR="00987734" w:rsidRPr="00E63715" w:rsidRDefault="00987734">
      <w:pPr>
        <w:pStyle w:val="FootnoteText"/>
        <w:rPr>
          <w:rFonts w:ascii="Palatino Linotype" w:hAnsi="Palatino Linotype"/>
        </w:rPr>
      </w:pPr>
      <w:r w:rsidRPr="00E63715">
        <w:rPr>
          <w:rStyle w:val="FootnoteReference"/>
          <w:rFonts w:ascii="Palatino Linotype" w:hAnsi="Palatino Linotype"/>
          <w:color w:val="000000" w:themeColor="text1"/>
        </w:rPr>
        <w:footnoteRef/>
      </w:r>
      <w:r w:rsidRPr="00E63715">
        <w:rPr>
          <w:rFonts w:ascii="Palatino Linotype" w:hAnsi="Palatino Linotype"/>
          <w:color w:val="000000" w:themeColor="text1"/>
        </w:rPr>
        <w:t xml:space="preserve"> See </w:t>
      </w:r>
      <w:r w:rsidR="00A720F2" w:rsidRPr="00E63715">
        <w:rPr>
          <w:rFonts w:ascii="Palatino Linotype" w:hAnsi="Palatino Linotype"/>
          <w:color w:val="000000" w:themeColor="text1"/>
        </w:rPr>
        <w:t xml:space="preserve">Resolution G-3622 at </w:t>
      </w:r>
      <w:r w:rsidRPr="00E63715">
        <w:rPr>
          <w:rFonts w:ascii="Palatino Linotype" w:hAnsi="Palatino Linotype"/>
          <w:color w:val="000000" w:themeColor="text1"/>
        </w:rPr>
        <w:t xml:space="preserve">Appendix </w:t>
      </w:r>
      <w:r w:rsidR="000B6588" w:rsidRPr="00E63715">
        <w:rPr>
          <w:rFonts w:ascii="Palatino Linotype" w:hAnsi="Palatino Linotype"/>
          <w:color w:val="000000" w:themeColor="text1"/>
        </w:rPr>
        <w:t>F</w:t>
      </w:r>
      <w:r w:rsidRPr="00E63715">
        <w:rPr>
          <w:rFonts w:ascii="Palatino Linotype" w:hAnsi="Palatino Linotype"/>
          <w:color w:val="000000" w:themeColor="text1"/>
        </w:rPr>
        <w:t xml:space="preserve">: CEC Balances of Unspent Funds from Previously Approved Gas RD&amp;D Plans detailing balances provided by the CEC per an Energy Division data request on </w:t>
      </w:r>
      <w:r w:rsidR="001C0C44">
        <w:rPr>
          <w:rFonts w:ascii="Palatino Linotype" w:hAnsi="Palatino Linotype"/>
          <w:color w:val="000000" w:themeColor="text1"/>
        </w:rPr>
        <w:br/>
      </w:r>
      <w:r w:rsidRPr="00E63715">
        <w:rPr>
          <w:rFonts w:ascii="Palatino Linotype" w:hAnsi="Palatino Linotype"/>
          <w:color w:val="000000" w:themeColor="text1"/>
        </w:rPr>
        <w:t>April 30, 2026.</w:t>
      </w:r>
    </w:p>
  </w:footnote>
  <w:footnote w:id="78">
    <w:p w14:paraId="70D8DF4E" w14:textId="2221E6C3" w:rsidR="00256781" w:rsidRPr="006A38E0" w:rsidRDefault="00256781">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This Resolution was modified to allow the CEC to collect new ratepayer funds to support the administrative needs of implementing its 2024 and 2025 Plans.</w:t>
      </w:r>
      <w:r w:rsidRPr="006A38E0">
        <w:rPr>
          <w:rFonts w:ascii="Palatino Linotype" w:hAnsi="Palatino Linotype"/>
        </w:rPr>
        <w:t xml:space="preserve"> </w:t>
      </w:r>
    </w:p>
  </w:footnote>
  <w:footnote w:id="79">
    <w:p w14:paraId="5FC101FC" w14:textId="77777777" w:rsidR="00DE64B9" w:rsidRPr="00E63715" w:rsidRDefault="00DE64B9" w:rsidP="00DE64B9">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See </w:t>
      </w:r>
      <w:r w:rsidRPr="00E63715">
        <w:rPr>
          <w:rFonts w:ascii="Palatino Linotype" w:hAnsi="Palatino Linotype" w:cs="Times New Roman"/>
        </w:rPr>
        <w:t xml:space="preserve">Resolution G-3622 at </w:t>
      </w:r>
      <w:r w:rsidRPr="00E63715">
        <w:rPr>
          <w:rFonts w:ascii="Palatino Linotype" w:hAnsi="Palatino Linotype"/>
        </w:rPr>
        <w:t>Appendix A: Key CPUC Gas RD&amp;D Resolution Requirements.</w:t>
      </w:r>
    </w:p>
  </w:footnote>
  <w:footnote w:id="80">
    <w:p w14:paraId="396F48D7" w14:textId="6BF2FD2B" w:rsidR="006A0099" w:rsidRPr="00E63715" w:rsidRDefault="006A0099" w:rsidP="006A0099">
      <w:pPr>
        <w:pStyle w:val="FootnoteText"/>
        <w:rPr>
          <w:rFonts w:ascii="Palatino Linotype" w:hAnsi="Palatino Linotype"/>
          <w:color w:val="000000" w:themeColor="text1"/>
        </w:rPr>
      </w:pPr>
      <w:r w:rsidRPr="00E63715">
        <w:rPr>
          <w:rStyle w:val="FootnoteReference"/>
          <w:rFonts w:ascii="Palatino Linotype" w:hAnsi="Palatino Linotype"/>
          <w:color w:val="000000" w:themeColor="text1"/>
        </w:rPr>
        <w:footnoteRef/>
      </w:r>
      <w:r w:rsidR="35F2EE98" w:rsidRPr="00E63715">
        <w:rPr>
          <w:rFonts w:ascii="Palatino Linotype" w:hAnsi="Palatino Linotype"/>
          <w:color w:val="000000" w:themeColor="text1"/>
        </w:rPr>
        <w:t xml:space="preserve"> </w:t>
      </w:r>
      <w:r w:rsidR="35F2EE98" w:rsidRPr="00E63715">
        <w:rPr>
          <w:rFonts w:ascii="Palatino Linotype" w:eastAsia="Palatino Linotype" w:hAnsi="Palatino Linotype" w:cs="Palatino Linotype"/>
          <w:color w:val="000000" w:themeColor="text1"/>
        </w:rPr>
        <w:t xml:space="preserve">Consistent with Commission guidance to </w:t>
      </w:r>
      <w:r w:rsidR="001C5D2E" w:rsidRPr="00E63715">
        <w:rPr>
          <w:rFonts w:ascii="Palatino Linotype" w:eastAsia="Palatino Linotype" w:hAnsi="Palatino Linotype" w:cs="Palatino Linotype"/>
          <w:color w:val="000000" w:themeColor="text1"/>
        </w:rPr>
        <w:t>S</w:t>
      </w:r>
      <w:r w:rsidR="00D86396" w:rsidRPr="00E63715">
        <w:rPr>
          <w:rFonts w:ascii="Palatino Linotype" w:eastAsia="Palatino Linotype" w:hAnsi="Palatino Linotype" w:cs="Palatino Linotype"/>
          <w:color w:val="000000" w:themeColor="text1"/>
        </w:rPr>
        <w:t>oCalGas</w:t>
      </w:r>
      <w:r w:rsidR="001C5D2E" w:rsidRPr="00E63715">
        <w:rPr>
          <w:rFonts w:ascii="Palatino Linotype" w:eastAsia="Palatino Linotype" w:hAnsi="Palatino Linotype" w:cs="Palatino Linotype"/>
          <w:color w:val="000000" w:themeColor="text1"/>
        </w:rPr>
        <w:t xml:space="preserve"> </w:t>
      </w:r>
      <w:r w:rsidR="35F2EE98" w:rsidRPr="00E63715">
        <w:rPr>
          <w:rFonts w:ascii="Palatino Linotype" w:eastAsia="Palatino Linotype" w:hAnsi="Palatino Linotype" w:cs="Palatino Linotype"/>
          <w:color w:val="000000" w:themeColor="text1"/>
        </w:rPr>
        <w:t>provided via</w:t>
      </w:r>
      <w:r w:rsidR="35F2EE98" w:rsidRPr="00E63715">
        <w:rPr>
          <w:rFonts w:ascii="Palatino Linotype" w:hAnsi="Palatino Linotype"/>
          <w:color w:val="000000" w:themeColor="text1"/>
        </w:rPr>
        <w:t xml:space="preserve"> </w:t>
      </w:r>
      <w:hyperlink r:id="rId52">
        <w:r w:rsidR="35F2EE98" w:rsidRPr="00E63715">
          <w:rPr>
            <w:rStyle w:val="Hyperlink"/>
            <w:rFonts w:ascii="Palatino Linotype" w:hAnsi="Palatino Linotype"/>
          </w:rPr>
          <w:t>Resolution G-3601</w:t>
        </w:r>
      </w:hyperlink>
      <w:r w:rsidR="35F2EE98" w:rsidRPr="00E63715">
        <w:rPr>
          <w:rFonts w:ascii="Palatino Linotype" w:hAnsi="Palatino Linotype"/>
          <w:color w:val="000000" w:themeColor="text1"/>
        </w:rPr>
        <w:t xml:space="preserve"> (2023) at OP 5. “The only exception made is for projects affiliated with out-of-state federal labs, in which case Administrators shall explicitly justify benefits to California ratepayers.”</w:t>
      </w:r>
    </w:p>
  </w:footnote>
  <w:footnote w:id="81">
    <w:p w14:paraId="7D4A35BF" w14:textId="59A5616D" w:rsidR="006A0099" w:rsidRPr="00E63715" w:rsidRDefault="006A0099" w:rsidP="35F2EE98">
      <w:pPr>
        <w:spacing w:after="0" w:line="240" w:lineRule="auto"/>
        <w:rPr>
          <w:rFonts w:ascii="Palatino Linotype" w:eastAsia="Century Gothic" w:hAnsi="Palatino Linotype" w:cs="Century Gothic"/>
          <w:sz w:val="20"/>
          <w:szCs w:val="20"/>
        </w:rPr>
      </w:pPr>
      <w:r w:rsidRPr="00E63715">
        <w:rPr>
          <w:rStyle w:val="FootnoteReference"/>
          <w:rFonts w:ascii="Palatino Linotype" w:hAnsi="Palatino Linotype"/>
          <w:sz w:val="20"/>
          <w:szCs w:val="20"/>
        </w:rPr>
        <w:footnoteRef/>
      </w:r>
      <w:r w:rsidR="35F2EE98" w:rsidRPr="00E63715">
        <w:rPr>
          <w:rFonts w:ascii="Palatino Linotype" w:hAnsi="Palatino Linotype"/>
          <w:sz w:val="20"/>
          <w:szCs w:val="20"/>
        </w:rPr>
        <w:t xml:space="preserve"> </w:t>
      </w:r>
      <w:r w:rsidR="35F2EE98" w:rsidRPr="00E63715">
        <w:rPr>
          <w:rFonts w:ascii="Palatino Linotype" w:eastAsia="Century Gothic" w:hAnsi="Palatino Linotype" w:cs="Century Gothic"/>
          <w:color w:val="467886"/>
          <w:sz w:val="20"/>
          <w:szCs w:val="20"/>
          <w:u w:val="single"/>
        </w:rPr>
        <w:t>Resolution G-3603</w:t>
      </w:r>
      <w:r w:rsidR="35F2EE98" w:rsidRPr="00E63715">
        <w:rPr>
          <w:rFonts w:ascii="Palatino Linotype" w:hAnsi="Palatino Linotype"/>
          <w:sz w:val="20"/>
          <w:szCs w:val="20"/>
        </w:rPr>
        <w:t xml:space="preserve"> (2024)</w:t>
      </w:r>
      <w:r w:rsidR="005446B1" w:rsidRPr="00E63715">
        <w:rPr>
          <w:rFonts w:ascii="Palatino Linotype" w:hAnsi="Palatino Linotype"/>
          <w:sz w:val="20"/>
          <w:szCs w:val="20"/>
        </w:rPr>
        <w:t xml:space="preserve"> </w:t>
      </w:r>
      <w:r w:rsidR="35F2EE98" w:rsidRPr="00E63715">
        <w:rPr>
          <w:rFonts w:ascii="Palatino Linotype" w:hAnsi="Palatino Linotype"/>
          <w:sz w:val="20"/>
          <w:szCs w:val="20"/>
        </w:rPr>
        <w:t>at</w:t>
      </w:r>
      <w:r w:rsidR="35F2EE98" w:rsidRPr="00E63715">
        <w:rPr>
          <w:rFonts w:ascii="Palatino Linotype" w:eastAsia="Century Gothic" w:hAnsi="Palatino Linotype" w:cs="Century Gothic"/>
          <w:sz w:val="20"/>
          <w:szCs w:val="20"/>
        </w:rPr>
        <w:t xml:space="preserve"> OP 6. </w:t>
      </w:r>
      <w:r w:rsidR="009A1731" w:rsidRPr="00E63715">
        <w:rPr>
          <w:rFonts w:ascii="Palatino Linotype" w:hAnsi="Palatino Linotype"/>
          <w:sz w:val="20"/>
          <w:szCs w:val="20"/>
        </w:rPr>
        <w:t>See Re</w:t>
      </w:r>
      <w:r w:rsidR="008102D5" w:rsidRPr="00E63715">
        <w:rPr>
          <w:rFonts w:ascii="Palatino Linotype" w:hAnsi="Palatino Linotype"/>
          <w:sz w:val="20"/>
          <w:szCs w:val="20"/>
        </w:rPr>
        <w:t>solution G</w:t>
      </w:r>
      <w:r w:rsidR="002E0702" w:rsidRPr="00E63715">
        <w:rPr>
          <w:rFonts w:ascii="Palatino Linotype" w:hAnsi="Palatino Linotype"/>
          <w:sz w:val="20"/>
          <w:szCs w:val="20"/>
        </w:rPr>
        <w:t xml:space="preserve">-3622 </w:t>
      </w:r>
      <w:r w:rsidR="008102D5" w:rsidRPr="00E63715">
        <w:rPr>
          <w:rFonts w:ascii="Palatino Linotype" w:hAnsi="Palatino Linotype"/>
          <w:sz w:val="20"/>
          <w:szCs w:val="20"/>
        </w:rPr>
        <w:t xml:space="preserve">at Appendix </w:t>
      </w:r>
      <w:r w:rsidR="00BB4E69" w:rsidRPr="00E63715">
        <w:rPr>
          <w:rFonts w:ascii="Palatino Linotype" w:hAnsi="Palatino Linotype"/>
          <w:sz w:val="20"/>
          <w:szCs w:val="20"/>
        </w:rPr>
        <w:t>D</w:t>
      </w:r>
      <w:r w:rsidR="008102D5" w:rsidRPr="00E63715">
        <w:rPr>
          <w:rFonts w:ascii="Palatino Linotype" w:hAnsi="Palatino Linotype"/>
          <w:sz w:val="20"/>
          <w:szCs w:val="20"/>
        </w:rPr>
        <w:t>: EPIC Foundational Principles</w:t>
      </w:r>
      <w:r w:rsidR="008102D5" w:rsidRPr="00E63715">
        <w:rPr>
          <w:rFonts w:ascii="Palatino Linotype" w:eastAsia="Century Gothic" w:hAnsi="Palatino Linotype" w:cs="Century Gothic"/>
          <w:sz w:val="20"/>
          <w:szCs w:val="20"/>
        </w:rPr>
        <w:t xml:space="preserve"> </w:t>
      </w:r>
      <w:r w:rsidR="008102D5" w:rsidRPr="00E63715">
        <w:rPr>
          <w:rFonts w:ascii="Palatino Linotype" w:hAnsi="Palatino Linotype"/>
          <w:sz w:val="20"/>
          <w:szCs w:val="20"/>
        </w:rPr>
        <w:t>for the Development of a Uniform Impact Analysis Framework, a</w:t>
      </w:r>
      <w:r w:rsidR="0053077E" w:rsidRPr="00E63715">
        <w:rPr>
          <w:rFonts w:ascii="Palatino Linotype" w:hAnsi="Palatino Linotype"/>
          <w:sz w:val="20"/>
          <w:szCs w:val="20"/>
        </w:rPr>
        <w:t>dopted</w:t>
      </w:r>
      <w:r w:rsidR="008102D5" w:rsidRPr="00E63715">
        <w:rPr>
          <w:rFonts w:ascii="Palatino Linotype" w:eastAsia="Century Gothic" w:hAnsi="Palatino Linotype" w:cs="Century Gothic"/>
          <w:sz w:val="20"/>
          <w:szCs w:val="20"/>
        </w:rPr>
        <w:t xml:space="preserve"> via </w:t>
      </w:r>
      <w:hyperlink r:id="rId53" w:history="1">
        <w:r w:rsidR="008102D5" w:rsidRPr="00E63715">
          <w:rPr>
            <w:rFonts w:ascii="Palatino Linotype" w:hAnsi="Palatino Linotype"/>
            <w:color w:val="467886" w:themeColor="hyperlink"/>
            <w:sz w:val="20"/>
            <w:szCs w:val="20"/>
            <w:u w:val="single"/>
          </w:rPr>
          <w:t>D.23-04-042</w:t>
        </w:r>
      </w:hyperlink>
      <w:r w:rsidR="003B3F18" w:rsidRPr="00E63715">
        <w:rPr>
          <w:rFonts w:ascii="Palatino Linotype" w:hAnsi="Palatino Linotype"/>
          <w:sz w:val="20"/>
          <w:szCs w:val="20"/>
        </w:rPr>
        <w:t xml:space="preserve"> </w:t>
      </w:r>
      <w:r w:rsidR="008102D5" w:rsidRPr="00E63715">
        <w:rPr>
          <w:rFonts w:ascii="Palatino Linotype" w:hAnsi="Palatino Linotype"/>
          <w:sz w:val="20"/>
          <w:szCs w:val="20"/>
        </w:rPr>
        <w:t>at Appendix A.</w:t>
      </w:r>
    </w:p>
  </w:footnote>
  <w:footnote w:id="82">
    <w:p w14:paraId="22FCD1D5" w14:textId="77777777" w:rsidR="006A0099" w:rsidRDefault="006A0099" w:rsidP="006A0099">
      <w:pPr>
        <w:spacing w:after="0" w:line="240" w:lineRule="auto"/>
      </w:pPr>
      <w:r w:rsidRPr="00E63715">
        <w:rPr>
          <w:rStyle w:val="FootnoteReference"/>
          <w:rFonts w:ascii="Palatino Linotype" w:hAnsi="Palatino Linotype"/>
          <w:sz w:val="20"/>
          <w:szCs w:val="20"/>
        </w:rPr>
        <w:footnoteRef/>
      </w:r>
      <w:r w:rsidRPr="00E63715">
        <w:rPr>
          <w:rStyle w:val="FootnoteReference"/>
          <w:rFonts w:ascii="Palatino Linotype" w:hAnsi="Palatino Linotype"/>
          <w:sz w:val="20"/>
          <w:szCs w:val="20"/>
        </w:rPr>
        <w:t xml:space="preserve"> </w:t>
      </w:r>
      <w:hyperlink r:id="rId54">
        <w:r w:rsidRPr="00E63715">
          <w:rPr>
            <w:rStyle w:val="Hyperlink"/>
            <w:rFonts w:ascii="Palatino Linotype" w:hAnsi="Palatino Linotype"/>
            <w:sz w:val="20"/>
            <w:szCs w:val="16"/>
          </w:rPr>
          <w:t>Environmental &amp; Social Justice (ESJ) Action Plan Version 2.0</w:t>
        </w:r>
      </w:hyperlink>
      <w:r w:rsidRPr="00E63715">
        <w:rPr>
          <w:rFonts w:ascii="Palatino Linotype" w:hAnsi="Palatino Linotype"/>
          <w:color w:val="000000" w:themeColor="text1"/>
          <w:sz w:val="20"/>
          <w:szCs w:val="20"/>
        </w:rPr>
        <w:t xml:space="preserve"> (2022).</w:t>
      </w:r>
    </w:p>
  </w:footnote>
  <w:footnote w:id="83">
    <w:p w14:paraId="2430EB16" w14:textId="288532FD" w:rsidR="003A4AC1" w:rsidRPr="00E63715" w:rsidRDefault="003A4AC1" w:rsidP="003A4AC1">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Modifies </w:t>
      </w:r>
      <w:hyperlink r:id="rId55" w:history="1">
        <w:r w:rsidRPr="00E63715">
          <w:rPr>
            <w:rFonts w:ascii="Palatino Linotype" w:hAnsi="Palatino Linotype"/>
            <w:color w:val="467886" w:themeColor="hyperlink"/>
            <w:u w:val="single"/>
          </w:rPr>
          <w:t>Resolution G-3571</w:t>
        </w:r>
      </w:hyperlink>
      <w:r w:rsidRPr="00E63715">
        <w:rPr>
          <w:rFonts w:ascii="Palatino Linotype" w:hAnsi="Palatino Linotype"/>
        </w:rPr>
        <w:t xml:space="preserve"> (2020) at OP 5e &amp; </w:t>
      </w:r>
      <w:hyperlink r:id="rId56">
        <w:r w:rsidRPr="00E63715">
          <w:rPr>
            <w:rStyle w:val="Hyperlink"/>
            <w:rFonts w:ascii="Palatino Linotype" w:hAnsi="Palatino Linotype"/>
          </w:rPr>
          <w:t>Resolution G-3592</w:t>
        </w:r>
      </w:hyperlink>
      <w:r w:rsidRPr="00E63715">
        <w:rPr>
          <w:rFonts w:ascii="Palatino Linotype" w:hAnsi="Palatino Linotype"/>
          <w:color w:val="000000" w:themeColor="text1"/>
        </w:rPr>
        <w:t xml:space="preserve"> (2023) at OP 5b: </w:t>
      </w:r>
      <w:r w:rsidR="00EC37AE" w:rsidRPr="00E63715">
        <w:rPr>
          <w:rFonts w:ascii="Palatino Linotype" w:hAnsi="Palatino Linotype"/>
          <w:color w:val="000000" w:themeColor="text1"/>
        </w:rPr>
        <w:t xml:space="preserve">The </w:t>
      </w:r>
      <w:r w:rsidRPr="00E63715">
        <w:rPr>
          <w:rFonts w:ascii="Palatino Linotype" w:hAnsi="Palatino Linotype"/>
          <w:color w:val="000000" w:themeColor="text1"/>
        </w:rPr>
        <w:t>CEC is no longer required to provide the option to present to CPUC Commissioners in advance of Plan submittal.</w:t>
      </w:r>
    </w:p>
  </w:footnote>
  <w:footnote w:id="84">
    <w:p w14:paraId="5A6C90CE" w14:textId="22C34F3D" w:rsidR="00B95C9C" w:rsidRPr="00E63715" w:rsidRDefault="00B95C9C" w:rsidP="00B95C9C">
      <w:pPr>
        <w:spacing w:after="0" w:line="240" w:lineRule="auto"/>
        <w:rPr>
          <w:rFonts w:ascii="Palatino Linotype" w:hAnsi="Palatino Linotype"/>
          <w:sz w:val="20"/>
          <w:szCs w:val="20"/>
        </w:rPr>
      </w:pPr>
      <w:r w:rsidRPr="00E63715">
        <w:rPr>
          <w:rStyle w:val="FootnoteReference"/>
          <w:rFonts w:ascii="Palatino Linotype" w:hAnsi="Palatino Linotype"/>
          <w:sz w:val="20"/>
          <w:szCs w:val="20"/>
        </w:rPr>
        <w:footnoteRef/>
      </w:r>
      <w:r w:rsidRPr="00E63715">
        <w:rPr>
          <w:rFonts w:ascii="Palatino Linotype" w:hAnsi="Palatino Linotype"/>
          <w:sz w:val="20"/>
          <w:szCs w:val="20"/>
        </w:rPr>
        <w:t xml:space="preserve"> California Public Utilities Code Section 740.1 (d).</w:t>
      </w:r>
    </w:p>
  </w:footnote>
  <w:footnote w:id="85">
    <w:p w14:paraId="580A8C27" w14:textId="6AD96CD2" w:rsidR="006A0099" w:rsidRPr="00E63715" w:rsidRDefault="006A0099" w:rsidP="00B95C9C">
      <w:pPr>
        <w:spacing w:after="0" w:line="240" w:lineRule="auto"/>
        <w:rPr>
          <w:rFonts w:ascii="Palatino Linotype" w:hAnsi="Palatino Linotype"/>
          <w:b/>
          <w:bCs/>
          <w:sz w:val="22"/>
          <w:szCs w:val="22"/>
        </w:rPr>
      </w:pPr>
      <w:r w:rsidRPr="00E63715">
        <w:rPr>
          <w:rStyle w:val="FootnoteReference"/>
          <w:rFonts w:ascii="Palatino Linotype" w:hAnsi="Palatino Linotype"/>
          <w:sz w:val="20"/>
          <w:szCs w:val="20"/>
        </w:rPr>
        <w:footnoteRef/>
      </w:r>
      <w:r w:rsidR="35F2EE98" w:rsidRPr="00E63715">
        <w:rPr>
          <w:rStyle w:val="FootnoteReference"/>
          <w:rFonts w:ascii="Palatino Linotype" w:hAnsi="Palatino Linotype"/>
          <w:sz w:val="20"/>
          <w:szCs w:val="20"/>
        </w:rPr>
        <w:t xml:space="preserve"> </w:t>
      </w:r>
      <w:hyperlink r:id="rId57" w:tgtFrame="_blank" w:history="1">
        <w:r w:rsidR="35F2EE98" w:rsidRPr="00E63715">
          <w:rPr>
            <w:rFonts w:ascii="Palatino Linotype" w:hAnsi="Palatino Linotype"/>
            <w:color w:val="467886" w:themeColor="hyperlink"/>
            <w:sz w:val="20"/>
            <w:szCs w:val="20"/>
            <w:u w:val="single"/>
          </w:rPr>
          <w:t>Resolution G-3603</w:t>
        </w:r>
      </w:hyperlink>
      <w:r w:rsidR="35F2EE98" w:rsidRPr="00E63715">
        <w:rPr>
          <w:rFonts w:ascii="Palatino Linotype" w:hAnsi="Palatino Linotype"/>
          <w:sz w:val="20"/>
          <w:szCs w:val="20"/>
        </w:rPr>
        <w:t xml:space="preserve"> (2024) at OP 4. See Resolution G</w:t>
      </w:r>
      <w:r w:rsidR="002E0702" w:rsidRPr="00E63715">
        <w:rPr>
          <w:rFonts w:ascii="Palatino Linotype" w:hAnsi="Palatino Linotype"/>
          <w:sz w:val="20"/>
          <w:szCs w:val="20"/>
        </w:rPr>
        <w:t>-3622</w:t>
      </w:r>
      <w:r w:rsidR="35F2EE98" w:rsidRPr="00E63715">
        <w:rPr>
          <w:rFonts w:ascii="Palatino Linotype" w:hAnsi="Palatino Linotype"/>
          <w:sz w:val="20"/>
          <w:szCs w:val="20"/>
        </w:rPr>
        <w:t xml:space="preserve"> at Appendix </w:t>
      </w:r>
      <w:r w:rsidR="00BB4E69" w:rsidRPr="00E63715">
        <w:rPr>
          <w:rFonts w:ascii="Palatino Linotype" w:hAnsi="Palatino Linotype"/>
          <w:color w:val="000000" w:themeColor="text1"/>
          <w:sz w:val="20"/>
          <w:szCs w:val="20"/>
        </w:rPr>
        <w:t>C</w:t>
      </w:r>
      <w:r w:rsidR="35F2EE98" w:rsidRPr="00E63715">
        <w:rPr>
          <w:rFonts w:ascii="Palatino Linotype" w:hAnsi="Palatino Linotype"/>
          <w:color w:val="000000" w:themeColor="text1"/>
          <w:sz w:val="20"/>
          <w:szCs w:val="20"/>
        </w:rPr>
        <w:t xml:space="preserve">: </w:t>
      </w:r>
      <w:r w:rsidR="35F2EE98" w:rsidRPr="00E63715">
        <w:rPr>
          <w:rFonts w:ascii="Palatino Linotype" w:hAnsi="Palatino Linotype"/>
          <w:sz w:val="20"/>
          <w:szCs w:val="20"/>
        </w:rPr>
        <w:t>Commission Guidance on Gas RD&amp;D Initiative Criteria at 2.</w:t>
      </w:r>
      <w:r w:rsidR="35F2EE98" w:rsidRPr="00E63715">
        <w:rPr>
          <w:rFonts w:ascii="Palatino Linotype" w:hAnsi="Palatino Linotype"/>
          <w:b/>
          <w:bCs/>
          <w:sz w:val="20"/>
          <w:szCs w:val="20"/>
        </w:rPr>
        <w:t xml:space="preserve"> </w:t>
      </w:r>
    </w:p>
  </w:footnote>
  <w:footnote w:id="86">
    <w:p w14:paraId="27AFA1B7" w14:textId="1A2A591F" w:rsidR="006A0099" w:rsidRPr="0064129A" w:rsidRDefault="006A0099" w:rsidP="006A0099">
      <w:pPr>
        <w:pStyle w:val="FootnoteText"/>
        <w:rPr>
          <w:rFonts w:ascii="Palatino Linotype" w:hAnsi="Palatino Linotype"/>
        </w:rPr>
      </w:pPr>
      <w:r w:rsidRPr="00E63715">
        <w:rPr>
          <w:rStyle w:val="FootnoteReference"/>
          <w:rFonts w:ascii="Palatino Linotype" w:hAnsi="Palatino Linotype"/>
        </w:rPr>
        <w:footnoteRef/>
      </w:r>
      <w:r w:rsidR="35F2EE98" w:rsidRPr="00E63715">
        <w:rPr>
          <w:rFonts w:ascii="Palatino Linotype" w:hAnsi="Palatino Linotype"/>
        </w:rPr>
        <w:t xml:space="preserve"> </w:t>
      </w:r>
      <w:hyperlink r:id="rId58" w:history="1">
        <w:r w:rsidR="00BA5C73" w:rsidRPr="00E63715">
          <w:rPr>
            <w:rStyle w:val="Hyperlink"/>
            <w:rFonts w:ascii="Palatino Linotype" w:hAnsi="Palatino Linotype"/>
          </w:rPr>
          <w:t>Resolution G-3571</w:t>
        </w:r>
      </w:hyperlink>
      <w:r w:rsidR="00BA5C73" w:rsidRPr="00E63715">
        <w:rPr>
          <w:rFonts w:ascii="Palatino Linotype" w:hAnsi="Palatino Linotype"/>
        </w:rPr>
        <w:t xml:space="preserve"> (2020)</w:t>
      </w:r>
      <w:r w:rsidR="004619E6" w:rsidRPr="00E63715">
        <w:rPr>
          <w:rFonts w:ascii="Palatino Linotype" w:hAnsi="Palatino Linotype"/>
        </w:rPr>
        <w:t>: Approving CEC’s FY 2020-2021 Gas RD&amp;D Plan</w:t>
      </w:r>
      <w:r w:rsidR="00BA5C73" w:rsidRPr="00E63715">
        <w:rPr>
          <w:rFonts w:ascii="Palatino Linotype" w:hAnsi="Palatino Linotype"/>
        </w:rPr>
        <w:t xml:space="preserve"> at OP 5a &amp; </w:t>
      </w:r>
      <w:hyperlink r:id="rId59">
        <w:r w:rsidR="35F2EE98" w:rsidRPr="00E63715">
          <w:rPr>
            <w:rStyle w:val="Hyperlink"/>
            <w:rFonts w:ascii="Palatino Linotype" w:hAnsi="Palatino Linotype"/>
          </w:rPr>
          <w:t xml:space="preserve">Resolution </w:t>
        </w:r>
        <w:r w:rsidR="000B324C" w:rsidRPr="00E63715">
          <w:rPr>
            <w:rStyle w:val="Hyperlink"/>
            <w:rFonts w:ascii="Palatino Linotype" w:hAnsi="Palatino Linotype"/>
          </w:rPr>
          <w:br/>
        </w:r>
        <w:r w:rsidR="35F2EE98" w:rsidRPr="00E63715">
          <w:rPr>
            <w:rStyle w:val="Hyperlink"/>
            <w:rFonts w:ascii="Palatino Linotype" w:hAnsi="Palatino Linotype"/>
          </w:rPr>
          <w:t>G-3603</w:t>
        </w:r>
      </w:hyperlink>
      <w:r w:rsidR="35F2EE98" w:rsidRPr="00E63715">
        <w:rPr>
          <w:rFonts w:ascii="Palatino Linotype" w:hAnsi="Palatino Linotype"/>
        </w:rPr>
        <w:t xml:space="preserve"> (2024) at OP </w:t>
      </w:r>
      <w:r w:rsidR="003340F6" w:rsidRPr="00E63715">
        <w:rPr>
          <w:rFonts w:ascii="Palatino Linotype" w:hAnsi="Palatino Linotype"/>
        </w:rPr>
        <w:t>5</w:t>
      </w:r>
      <w:r w:rsidR="35F2EE98" w:rsidRPr="00E63715">
        <w:rPr>
          <w:rFonts w:ascii="Palatino Linotype" w:hAnsi="Palatino Linotype"/>
        </w:rPr>
        <w:t xml:space="preserve">. See Resolution </w:t>
      </w:r>
      <w:r w:rsidR="002E0702" w:rsidRPr="00E63715">
        <w:rPr>
          <w:rFonts w:ascii="Palatino Linotype" w:hAnsi="Palatino Linotype"/>
        </w:rPr>
        <w:t xml:space="preserve">G-3622 </w:t>
      </w:r>
      <w:r w:rsidR="35F2EE98" w:rsidRPr="00E63715">
        <w:rPr>
          <w:rFonts w:ascii="Palatino Linotype" w:hAnsi="Palatino Linotype"/>
        </w:rPr>
        <w:t xml:space="preserve">at Appendix </w:t>
      </w:r>
      <w:r w:rsidR="00BB4E69" w:rsidRPr="00E63715">
        <w:rPr>
          <w:rFonts w:ascii="Palatino Linotype" w:hAnsi="Palatino Linotype"/>
          <w:color w:val="000000" w:themeColor="text1"/>
        </w:rPr>
        <w:t>C</w:t>
      </w:r>
      <w:r w:rsidR="35F2EE98" w:rsidRPr="00E63715">
        <w:rPr>
          <w:rFonts w:ascii="Palatino Linotype" w:hAnsi="Palatino Linotype"/>
        </w:rPr>
        <w:t>: Commission Guidance on Gas RD&amp;D Initiative Criteria at 1.</w:t>
      </w:r>
      <w:r w:rsidR="35F2EE98">
        <w:rPr>
          <w:rFonts w:ascii="Palatino Linotype" w:hAnsi="Palatino Linotype"/>
        </w:rPr>
        <w:t xml:space="preserve"> </w:t>
      </w:r>
    </w:p>
  </w:footnote>
  <w:footnote w:id="87">
    <w:p w14:paraId="17DBB263" w14:textId="12621D64" w:rsidR="006A0099" w:rsidRPr="00E63715" w:rsidRDefault="006A0099" w:rsidP="006A0099">
      <w:pPr>
        <w:pStyle w:val="FootnoteText"/>
        <w:rPr>
          <w:rFonts w:ascii="Palatino Linotype" w:hAnsi="Palatino Linotype"/>
        </w:rPr>
      </w:pPr>
      <w:r w:rsidRPr="00E63715">
        <w:rPr>
          <w:rStyle w:val="FootnoteReference"/>
          <w:rFonts w:ascii="Palatino Linotype" w:hAnsi="Palatino Linotype"/>
        </w:rPr>
        <w:footnoteRef/>
      </w:r>
      <w:r w:rsidRPr="00E63715">
        <w:rPr>
          <w:rStyle w:val="FootnoteReference"/>
          <w:rFonts w:ascii="Palatino Linotype" w:hAnsi="Palatino Linotype"/>
        </w:rPr>
        <w:t xml:space="preserve"> </w:t>
      </w:r>
      <w:hyperlink r:id="rId60" w:tgtFrame="_blank" w:history="1">
        <w:r w:rsidRPr="00E63715">
          <w:rPr>
            <w:rStyle w:val="Hyperlink"/>
            <w:rFonts w:ascii="Palatino Linotype" w:hAnsi="Palatino Linotype" w:cs="Palatino"/>
          </w:rPr>
          <w:t>D.24-03-007</w:t>
        </w:r>
      </w:hyperlink>
      <w:r w:rsidR="000C073D" w:rsidRPr="00E63715">
        <w:rPr>
          <w:rFonts w:ascii="Palatino Linotype" w:hAnsi="Palatino Linotype"/>
        </w:rPr>
        <w:t xml:space="preserve">: </w:t>
      </w:r>
      <w:r w:rsidR="00FF7F42" w:rsidRPr="00E63715">
        <w:rPr>
          <w:rFonts w:ascii="Palatino Linotype" w:hAnsi="Palatino Linotype"/>
        </w:rPr>
        <w:t>Decision Adopting Strategic Goals for the EPIC Program</w:t>
      </w:r>
      <w:r w:rsidR="003B3F18" w:rsidRPr="00E63715">
        <w:rPr>
          <w:rFonts w:ascii="Palatino Linotype" w:hAnsi="Palatino Linotype"/>
        </w:rPr>
        <w:t xml:space="preserve"> </w:t>
      </w:r>
      <w:r w:rsidRPr="00E63715">
        <w:rPr>
          <w:rFonts w:ascii="Palatino Linotype" w:hAnsi="Palatino Linotype"/>
        </w:rPr>
        <w:t>at p. 19-20.</w:t>
      </w:r>
    </w:p>
  </w:footnote>
  <w:footnote w:id="88">
    <w:p w14:paraId="62574FB0" w14:textId="6247D187" w:rsidR="006A0099" w:rsidRPr="00E63715" w:rsidRDefault="006A0099" w:rsidP="006A0099">
      <w:pPr>
        <w:pStyle w:val="paragraph"/>
        <w:spacing w:before="0" w:beforeAutospacing="0" w:after="0" w:afterAutospacing="0"/>
        <w:textAlignment w:val="baseline"/>
        <w:rPr>
          <w:rFonts w:ascii="Palatino Linotype" w:hAnsi="Palatino Linotype"/>
          <w:bCs/>
          <w:i/>
          <w:iCs/>
          <w:sz w:val="20"/>
          <w:szCs w:val="20"/>
        </w:rPr>
      </w:pPr>
      <w:r w:rsidRPr="00E63715">
        <w:rPr>
          <w:rStyle w:val="FootnoteReference"/>
          <w:rFonts w:ascii="Palatino Linotype" w:eastAsiaTheme="minorHAnsi" w:hAnsi="Palatino Linotype" w:cstheme="minorBidi"/>
          <w:kern w:val="2"/>
          <w:sz w:val="20"/>
          <w:szCs w:val="20"/>
          <w14:ligatures w14:val="standardContextual"/>
        </w:rPr>
        <w:footnoteRef/>
      </w:r>
      <w:r w:rsidRPr="00E63715">
        <w:rPr>
          <w:rStyle w:val="FootnoteReference"/>
          <w:rFonts w:ascii="Palatino Linotype" w:eastAsiaTheme="minorHAnsi" w:hAnsi="Palatino Linotype" w:cstheme="minorBidi"/>
          <w:kern w:val="2"/>
          <w14:ligatures w14:val="standardContextual"/>
        </w:rPr>
        <w:t xml:space="preserve"> </w:t>
      </w:r>
      <w:hyperlink r:id="rId61" w:history="1">
        <w:r w:rsidRPr="00E63715">
          <w:rPr>
            <w:rStyle w:val="Hyperlink"/>
            <w:rFonts w:ascii="Palatino Linotype" w:eastAsiaTheme="majorEastAsia" w:hAnsi="Palatino Linotype"/>
            <w:sz w:val="20"/>
            <w:szCs w:val="20"/>
          </w:rPr>
          <w:t>D.24-09-012</w:t>
        </w:r>
      </w:hyperlink>
      <w:r w:rsidR="002E7377" w:rsidRPr="00E63715">
        <w:rPr>
          <w:rFonts w:ascii="Palatino Linotype" w:hAnsi="Palatino Linotype"/>
          <w:sz w:val="20"/>
          <w:szCs w:val="20"/>
        </w:rPr>
        <w:t xml:space="preserve"> </w:t>
      </w:r>
      <w:r w:rsidRPr="00E63715">
        <w:rPr>
          <w:rFonts w:ascii="Palatino Linotype" w:hAnsi="Palatino Linotype"/>
          <w:bCs/>
          <w:sz w:val="20"/>
          <w:szCs w:val="20"/>
        </w:rPr>
        <w:t>at p. 6.</w:t>
      </w:r>
    </w:p>
  </w:footnote>
  <w:footnote w:id="89">
    <w:p w14:paraId="4A98F6F7" w14:textId="15F9F2A8" w:rsidR="006A0099" w:rsidRPr="00E47E07" w:rsidRDefault="006A0099" w:rsidP="35F2EE98">
      <w:pPr>
        <w:spacing w:after="0" w:line="240" w:lineRule="auto"/>
        <w:rPr>
          <w:rFonts w:ascii="Palatino Linotype" w:hAnsi="Palatino Linotype"/>
          <w:b/>
          <w:bCs/>
          <w:sz w:val="22"/>
          <w:szCs w:val="22"/>
        </w:rPr>
      </w:pPr>
      <w:r w:rsidRPr="00E63715">
        <w:rPr>
          <w:rStyle w:val="FootnoteReference"/>
          <w:rFonts w:ascii="Palatino Linotype" w:hAnsi="Palatino Linotype"/>
          <w:sz w:val="20"/>
          <w:szCs w:val="20"/>
        </w:rPr>
        <w:footnoteRef/>
      </w:r>
      <w:r w:rsidR="35F2EE98" w:rsidRPr="00E63715">
        <w:rPr>
          <w:rStyle w:val="FootnoteReference"/>
          <w:rFonts w:ascii="Palatino Linotype" w:hAnsi="Palatino Linotype"/>
          <w:sz w:val="20"/>
          <w:szCs w:val="20"/>
        </w:rPr>
        <w:t xml:space="preserve"> </w:t>
      </w:r>
      <w:hyperlink r:id="rId62" w:tgtFrame="_blank" w:history="1">
        <w:r w:rsidR="35F2EE98" w:rsidRPr="00E63715">
          <w:rPr>
            <w:rFonts w:ascii="Palatino Linotype" w:hAnsi="Palatino Linotype"/>
            <w:color w:val="467886" w:themeColor="hyperlink"/>
            <w:sz w:val="20"/>
            <w:szCs w:val="20"/>
            <w:u w:val="single"/>
          </w:rPr>
          <w:t>Resolution G-3555</w:t>
        </w:r>
      </w:hyperlink>
      <w:r w:rsidR="35F2EE98" w:rsidRPr="00E63715">
        <w:rPr>
          <w:rFonts w:ascii="Palatino Linotype" w:hAnsi="Palatino Linotype"/>
          <w:sz w:val="20"/>
          <w:szCs w:val="20"/>
        </w:rPr>
        <w:t xml:space="preserve"> (2019)</w:t>
      </w:r>
      <w:r w:rsidR="002E7377" w:rsidRPr="00E63715">
        <w:rPr>
          <w:rFonts w:ascii="Palatino Linotype" w:hAnsi="Palatino Linotype"/>
          <w:sz w:val="20"/>
          <w:szCs w:val="20"/>
        </w:rPr>
        <w:t>: Approving</w:t>
      </w:r>
      <w:r w:rsidR="00623584" w:rsidRPr="00E63715">
        <w:rPr>
          <w:rFonts w:ascii="Palatino Linotype" w:hAnsi="Palatino Linotype"/>
          <w:sz w:val="20"/>
          <w:szCs w:val="20"/>
        </w:rPr>
        <w:t xml:space="preserve"> CEC’s </w:t>
      </w:r>
      <w:r w:rsidR="008A4A3A" w:rsidRPr="00E63715">
        <w:rPr>
          <w:rFonts w:ascii="Palatino Linotype" w:hAnsi="Palatino Linotype"/>
          <w:sz w:val="20"/>
          <w:szCs w:val="20"/>
        </w:rPr>
        <w:t>FY 2019-2020 Gas RD&amp;D Plan</w:t>
      </w:r>
      <w:r w:rsidR="35F2EE98" w:rsidRPr="00E63715">
        <w:rPr>
          <w:rFonts w:ascii="Palatino Linotype" w:hAnsi="Palatino Linotype"/>
          <w:sz w:val="20"/>
          <w:szCs w:val="20"/>
        </w:rPr>
        <w:t xml:space="preserve"> at OP 6</w:t>
      </w:r>
      <w:r w:rsidR="00EC45FC" w:rsidRPr="00E63715">
        <w:rPr>
          <w:rFonts w:ascii="Palatino Linotype" w:hAnsi="Palatino Linotype"/>
          <w:sz w:val="20"/>
          <w:szCs w:val="20"/>
        </w:rPr>
        <w:t xml:space="preserve">a </w:t>
      </w:r>
      <w:r w:rsidR="0075362B" w:rsidRPr="00E63715">
        <w:rPr>
          <w:rFonts w:ascii="Palatino Linotype" w:hAnsi="Palatino Linotype"/>
          <w:sz w:val="20"/>
          <w:szCs w:val="20"/>
        </w:rPr>
        <w:t>&amp; 6b;</w:t>
      </w:r>
      <w:r w:rsidR="35F2EE98" w:rsidRPr="00E63715">
        <w:rPr>
          <w:rFonts w:ascii="Palatino Linotype" w:hAnsi="Palatino Linotype"/>
          <w:sz w:val="20"/>
          <w:szCs w:val="20"/>
        </w:rPr>
        <w:t xml:space="preserve"> </w:t>
      </w:r>
      <w:r w:rsidR="00D421F5" w:rsidRPr="00E63715">
        <w:rPr>
          <w:rFonts w:ascii="Palatino Linotype" w:hAnsi="Palatino Linotype"/>
          <w:sz w:val="20"/>
          <w:szCs w:val="20"/>
        </w:rPr>
        <w:t xml:space="preserve">&amp; </w:t>
      </w:r>
      <w:hyperlink r:id="rId63" w:history="1">
        <w:r w:rsidR="35F2EE98" w:rsidRPr="00E63715">
          <w:rPr>
            <w:rFonts w:ascii="Palatino Linotype" w:hAnsi="Palatino Linotype"/>
            <w:color w:val="467886" w:themeColor="hyperlink"/>
            <w:sz w:val="20"/>
            <w:szCs w:val="20"/>
            <w:u w:val="single"/>
          </w:rPr>
          <w:t>Resolution G-3571</w:t>
        </w:r>
      </w:hyperlink>
      <w:r w:rsidR="35F2EE98" w:rsidRPr="00E63715">
        <w:rPr>
          <w:rFonts w:ascii="Palatino Linotype" w:hAnsi="Palatino Linotype"/>
          <w:sz w:val="20"/>
          <w:szCs w:val="20"/>
        </w:rPr>
        <w:t xml:space="preserve"> (2020)</w:t>
      </w:r>
      <w:r w:rsidR="004619E6" w:rsidRPr="00E63715">
        <w:rPr>
          <w:rFonts w:ascii="Palatino Linotype" w:hAnsi="Palatino Linotype"/>
          <w:sz w:val="20"/>
          <w:szCs w:val="20"/>
        </w:rPr>
        <w:t xml:space="preserve"> </w:t>
      </w:r>
      <w:r w:rsidR="35F2EE98" w:rsidRPr="00E63715">
        <w:rPr>
          <w:rFonts w:ascii="Palatino Linotype" w:hAnsi="Palatino Linotype"/>
          <w:sz w:val="20"/>
          <w:szCs w:val="20"/>
        </w:rPr>
        <w:t>at OP 8b</w:t>
      </w:r>
      <w:r w:rsidR="35F2EE98" w:rsidRPr="00E63715">
        <w:rPr>
          <w:rFonts w:ascii="Palatino Linotype" w:hAnsi="Palatino Linotype"/>
          <w:color w:val="000000" w:themeColor="text1"/>
          <w:sz w:val="20"/>
          <w:szCs w:val="20"/>
        </w:rPr>
        <w:t xml:space="preserve">. Consistent with: </w:t>
      </w:r>
      <w:hyperlink r:id="rId64" w:history="1">
        <w:r w:rsidR="35F2EE98" w:rsidRPr="00E63715">
          <w:rPr>
            <w:rFonts w:ascii="Palatino Linotype" w:hAnsi="Palatino Linotype"/>
            <w:color w:val="467886" w:themeColor="hyperlink"/>
            <w:sz w:val="20"/>
            <w:szCs w:val="20"/>
            <w:u w:val="single"/>
          </w:rPr>
          <w:t>Resolution G-</w:t>
        </w:r>
        <w:r w:rsidR="35F2EE98" w:rsidRPr="00E63715">
          <w:rPr>
            <w:rFonts w:ascii="Palatino Linotype" w:hAnsi="Palatino Linotype" w:cs="Arial"/>
            <w:color w:val="467886" w:themeColor="hyperlink"/>
            <w:sz w:val="20"/>
            <w:szCs w:val="20"/>
            <w:u w:val="single"/>
          </w:rPr>
          <w:t>3573</w:t>
        </w:r>
      </w:hyperlink>
      <w:r w:rsidR="35F2EE98" w:rsidRPr="00E63715">
        <w:rPr>
          <w:rFonts w:ascii="Palatino Linotype" w:hAnsi="Palatino Linotype"/>
          <w:sz w:val="20"/>
          <w:szCs w:val="20"/>
        </w:rPr>
        <w:t xml:space="preserve"> (2021)</w:t>
      </w:r>
      <w:r w:rsidR="008A4A3A" w:rsidRPr="00E63715">
        <w:rPr>
          <w:rFonts w:ascii="Palatino Linotype" w:hAnsi="Palatino Linotype"/>
          <w:sz w:val="20"/>
          <w:szCs w:val="20"/>
        </w:rPr>
        <w:t xml:space="preserve">: </w:t>
      </w:r>
      <w:r w:rsidR="0003314F" w:rsidRPr="00E63715">
        <w:rPr>
          <w:rFonts w:ascii="Palatino Linotype" w:hAnsi="Palatino Linotype"/>
          <w:sz w:val="20"/>
          <w:szCs w:val="20"/>
        </w:rPr>
        <w:t>Approving S</w:t>
      </w:r>
      <w:r w:rsidR="00D86396" w:rsidRPr="00E63715">
        <w:rPr>
          <w:rFonts w:ascii="Palatino Linotype" w:hAnsi="Palatino Linotype"/>
          <w:sz w:val="20"/>
          <w:szCs w:val="20"/>
        </w:rPr>
        <w:t>oCalGas</w:t>
      </w:r>
      <w:r w:rsidR="0003314F" w:rsidRPr="00E63715">
        <w:rPr>
          <w:rFonts w:ascii="Palatino Linotype" w:hAnsi="Palatino Linotype"/>
          <w:sz w:val="20"/>
          <w:szCs w:val="20"/>
        </w:rPr>
        <w:t>’ 2021 Gas RD&amp;D Plan</w:t>
      </w:r>
      <w:r w:rsidR="35F2EE98" w:rsidRPr="00E63715">
        <w:rPr>
          <w:rFonts w:ascii="Palatino Linotype" w:hAnsi="Palatino Linotype"/>
          <w:sz w:val="20"/>
          <w:szCs w:val="20"/>
        </w:rPr>
        <w:t xml:space="preserve"> at OP 3 &amp; </w:t>
      </w:r>
      <w:hyperlink r:id="rId65" w:history="1">
        <w:r w:rsidR="35F2EE98" w:rsidRPr="00E63715">
          <w:rPr>
            <w:rStyle w:val="Hyperlink"/>
            <w:rFonts w:ascii="Palatino Linotype" w:hAnsi="Palatino Linotype"/>
            <w:sz w:val="20"/>
            <w:szCs w:val="20"/>
          </w:rPr>
          <w:t>Resolution G-3586</w:t>
        </w:r>
      </w:hyperlink>
      <w:r w:rsidR="35F2EE98" w:rsidRPr="00E63715">
        <w:rPr>
          <w:rFonts w:ascii="Palatino Linotype" w:hAnsi="Palatino Linotype"/>
          <w:sz w:val="20"/>
          <w:szCs w:val="20"/>
        </w:rPr>
        <w:t xml:space="preserve"> (2022)</w:t>
      </w:r>
      <w:r w:rsidR="0052668F" w:rsidRPr="00E63715">
        <w:rPr>
          <w:rFonts w:ascii="Palatino Linotype" w:hAnsi="Palatino Linotype"/>
          <w:sz w:val="20"/>
          <w:szCs w:val="20"/>
        </w:rPr>
        <w:t>: Approving S</w:t>
      </w:r>
      <w:r w:rsidR="00D86396" w:rsidRPr="00E63715">
        <w:rPr>
          <w:rFonts w:ascii="Palatino Linotype" w:hAnsi="Palatino Linotype"/>
          <w:sz w:val="20"/>
          <w:szCs w:val="20"/>
        </w:rPr>
        <w:t>oCalGas</w:t>
      </w:r>
      <w:r w:rsidR="0052668F" w:rsidRPr="00E63715">
        <w:rPr>
          <w:rFonts w:ascii="Palatino Linotype" w:hAnsi="Palatino Linotype"/>
          <w:sz w:val="20"/>
          <w:szCs w:val="20"/>
        </w:rPr>
        <w:t>’ 2022 Gas RD&amp;D Plan</w:t>
      </w:r>
      <w:r w:rsidR="35F2EE98" w:rsidRPr="00E63715">
        <w:rPr>
          <w:rFonts w:ascii="Palatino Linotype" w:hAnsi="Palatino Linotype"/>
          <w:sz w:val="20"/>
          <w:szCs w:val="20"/>
        </w:rPr>
        <w:t xml:space="preserve"> at OP 5</w:t>
      </w:r>
      <w:r w:rsidR="00D421F5" w:rsidRPr="00E63715">
        <w:rPr>
          <w:rFonts w:ascii="Palatino Linotype" w:hAnsi="Palatino Linotype"/>
          <w:sz w:val="20"/>
          <w:szCs w:val="20"/>
        </w:rPr>
        <w:t>; &amp;</w:t>
      </w:r>
      <w:r w:rsidR="00445486" w:rsidRPr="00E63715">
        <w:rPr>
          <w:rFonts w:ascii="Palatino Linotype" w:hAnsi="Palatino Linotype"/>
        </w:rPr>
        <w:t xml:space="preserve"> </w:t>
      </w:r>
      <w:hyperlink r:id="rId66">
        <w:r w:rsidR="00445486" w:rsidRPr="00E63715">
          <w:rPr>
            <w:rStyle w:val="Hyperlink"/>
            <w:rFonts w:ascii="Palatino Linotype" w:hAnsi="Palatino Linotype"/>
            <w:sz w:val="20"/>
            <w:szCs w:val="20"/>
          </w:rPr>
          <w:t>Resolution G-3592</w:t>
        </w:r>
      </w:hyperlink>
      <w:r w:rsidR="00445486" w:rsidRPr="00E63715">
        <w:rPr>
          <w:rFonts w:ascii="Palatino Linotype" w:hAnsi="Palatino Linotype"/>
          <w:color w:val="000000" w:themeColor="text1"/>
          <w:sz w:val="20"/>
          <w:szCs w:val="20"/>
        </w:rPr>
        <w:t xml:space="preserve"> (2023) at OP 5d</w:t>
      </w:r>
      <w:r w:rsidR="00D421F5" w:rsidRPr="00E63715">
        <w:rPr>
          <w:rFonts w:ascii="Palatino Linotype" w:hAnsi="Palatino Linotype"/>
          <w:color w:val="000000" w:themeColor="text1"/>
          <w:sz w:val="20"/>
          <w:szCs w:val="20"/>
        </w:rPr>
        <w:t>.</w:t>
      </w:r>
    </w:p>
  </w:footnote>
  <w:footnote w:id="90">
    <w:p w14:paraId="36D869B7" w14:textId="33A4BFC8" w:rsidR="00121763" w:rsidRPr="00E63715" w:rsidRDefault="00121763" w:rsidP="00121763">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67" w:history="1">
        <w:r w:rsidRPr="00E63715">
          <w:rPr>
            <w:rFonts w:ascii="Palatino Linotype" w:hAnsi="Palatino Linotype"/>
            <w:color w:val="467886" w:themeColor="hyperlink"/>
            <w:u w:val="single"/>
          </w:rPr>
          <w:t>Resolution G-3571</w:t>
        </w:r>
      </w:hyperlink>
      <w:r w:rsidRPr="00E63715">
        <w:rPr>
          <w:rFonts w:ascii="Palatino Linotype" w:hAnsi="Palatino Linotype"/>
        </w:rPr>
        <w:t xml:space="preserve"> (2020) at OP 8a &amp; </w:t>
      </w:r>
      <w:hyperlink r:id="rId68">
        <w:r w:rsidRPr="00E63715">
          <w:rPr>
            <w:rStyle w:val="Hyperlink"/>
            <w:rFonts w:ascii="Palatino Linotype" w:hAnsi="Palatino Linotype"/>
          </w:rPr>
          <w:t>Resolution G-3592</w:t>
        </w:r>
      </w:hyperlink>
      <w:r w:rsidRPr="00E63715">
        <w:rPr>
          <w:rFonts w:ascii="Palatino Linotype" w:hAnsi="Palatino Linotype"/>
          <w:color w:val="000000" w:themeColor="text1"/>
        </w:rPr>
        <w:t xml:space="preserve"> (2023) at OP 5a.</w:t>
      </w:r>
    </w:p>
  </w:footnote>
  <w:footnote w:id="91">
    <w:p w14:paraId="194B564A" w14:textId="3AA32E4B" w:rsidR="00D9082C" w:rsidRPr="00E63715" w:rsidRDefault="00D9082C">
      <w:pPr>
        <w:pStyle w:val="FootnoteText"/>
        <w:rPr>
          <w:rFonts w:ascii="Palatino Linotype" w:hAnsi="Palatino Linotype"/>
          <w:color w:val="000000" w:themeColor="text1"/>
        </w:rPr>
      </w:pPr>
      <w:r w:rsidRPr="00E63715">
        <w:rPr>
          <w:rStyle w:val="FootnoteReference"/>
          <w:rFonts w:ascii="Palatino Linotype" w:hAnsi="Palatino Linotype"/>
        </w:rPr>
        <w:footnoteRef/>
      </w:r>
      <w:r w:rsidR="6599C7BD" w:rsidRPr="00E63715">
        <w:rPr>
          <w:rFonts w:ascii="Palatino Linotype" w:hAnsi="Palatino Linotype"/>
        </w:rPr>
        <w:t xml:space="preserve"> </w:t>
      </w:r>
      <w:hyperlink r:id="rId69">
        <w:r w:rsidR="6599C7BD" w:rsidRPr="00E63715">
          <w:rPr>
            <w:rStyle w:val="Hyperlink"/>
            <w:rFonts w:ascii="Palatino Linotype" w:hAnsi="Palatino Linotype"/>
          </w:rPr>
          <w:t>Resolution G-3571</w:t>
        </w:r>
      </w:hyperlink>
      <w:r w:rsidR="6599C7BD" w:rsidRPr="00E63715">
        <w:rPr>
          <w:rFonts w:ascii="Palatino Linotype" w:hAnsi="Palatino Linotype"/>
          <w:color w:val="000000" w:themeColor="text1"/>
        </w:rPr>
        <w:t xml:space="preserve"> (2020) at OP 6.</w:t>
      </w:r>
    </w:p>
  </w:footnote>
  <w:footnote w:id="92">
    <w:p w14:paraId="7A3A220E" w14:textId="77777777" w:rsidR="006A0099" w:rsidRPr="00E63715" w:rsidRDefault="006A0099" w:rsidP="006A0099">
      <w:pPr>
        <w:pStyle w:val="FootnoteText"/>
        <w:rPr>
          <w:rFonts w:ascii="Palatino Linotype" w:hAnsi="Palatino Linotype"/>
        </w:rPr>
      </w:pPr>
      <w:r w:rsidRPr="00E63715">
        <w:rPr>
          <w:rStyle w:val="FootnoteReference"/>
          <w:rFonts w:ascii="Palatino Linotype" w:hAnsi="Palatino Linotype"/>
        </w:rPr>
        <w:footnoteRef/>
      </w:r>
      <w:r w:rsidR="35F2EE98" w:rsidRPr="00E63715">
        <w:rPr>
          <w:rFonts w:ascii="Palatino Linotype" w:hAnsi="Palatino Linotype"/>
        </w:rPr>
        <w:t xml:space="preserve"> </w:t>
      </w:r>
      <w:hyperlink r:id="rId70" w:history="1">
        <w:r w:rsidR="35F2EE98" w:rsidRPr="00E63715">
          <w:rPr>
            <w:rStyle w:val="Hyperlink"/>
            <w:rFonts w:ascii="Palatino Linotype" w:hAnsi="Palatino Linotype"/>
          </w:rPr>
          <w:t>Resolution G-3571</w:t>
        </w:r>
      </w:hyperlink>
      <w:r w:rsidR="35F2EE98" w:rsidRPr="00E63715">
        <w:rPr>
          <w:rFonts w:ascii="Palatino Linotype" w:hAnsi="Palatino Linotype"/>
        </w:rPr>
        <w:t xml:space="preserve"> (2020) at OP 5c &amp; 5d.</w:t>
      </w:r>
    </w:p>
  </w:footnote>
  <w:footnote w:id="93">
    <w:p w14:paraId="233976BD" w14:textId="77777777" w:rsidR="00891935" w:rsidRPr="00E63715" w:rsidRDefault="00891935" w:rsidP="00891935">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71" w:anchor="page=17" w:history="1">
        <w:r w:rsidRPr="00E63715">
          <w:rPr>
            <w:rStyle w:val="Hyperlink"/>
            <w:rFonts w:ascii="Palatino Linotype" w:hAnsi="Palatino Linotype"/>
          </w:rPr>
          <w:t>General Order 96-B</w:t>
        </w:r>
      </w:hyperlink>
      <w:r w:rsidRPr="00E63715">
        <w:rPr>
          <w:rFonts w:ascii="Palatino Linotype" w:hAnsi="Palatino Linotype"/>
        </w:rPr>
        <w:t xml:space="preserve"> Rule 7.3.5 at PDF p. 19.</w:t>
      </w:r>
      <w:r w:rsidR="0030086C" w:rsidRPr="00E63715">
        <w:rPr>
          <w:rFonts w:ascii="Palatino Linotype" w:hAnsi="Palatino Linotype"/>
        </w:rPr>
        <w:t xml:space="preserve"> </w:t>
      </w:r>
      <w:hyperlink r:id="rId72">
        <w:r w:rsidR="0030086C" w:rsidRPr="00E63715">
          <w:rPr>
            <w:rStyle w:val="Hyperlink"/>
            <w:rFonts w:ascii="Palatino Linotype" w:eastAsia="Palatino Linotype" w:hAnsi="Palatino Linotype" w:cs="Palatino Linotype"/>
          </w:rPr>
          <w:t>D.04-08-010</w:t>
        </w:r>
      </w:hyperlink>
      <w:r w:rsidR="0030086C" w:rsidRPr="00E63715">
        <w:rPr>
          <w:rFonts w:ascii="Palatino Linotype" w:eastAsia="Palatino Linotype" w:hAnsi="Palatino Linotype" w:cs="Palatino Linotype"/>
        </w:rPr>
        <w:t xml:space="preserve"> at p. 37: “[W]e will adopt a zero-based budget subject to approval by the Commission.”</w:t>
      </w:r>
    </w:p>
  </w:footnote>
  <w:footnote w:id="94">
    <w:p w14:paraId="271A4206" w14:textId="45A6BA33" w:rsidR="008364E1" w:rsidRPr="00E63715" w:rsidRDefault="008364E1" w:rsidP="008364E1">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73" w:tgtFrame="_blank" w:history="1">
        <w:r w:rsidRPr="00E63715">
          <w:rPr>
            <w:rStyle w:val="Hyperlink"/>
            <w:rFonts w:ascii="Palatino Linotype" w:hAnsi="Palatino Linotype"/>
          </w:rPr>
          <w:t>D.04-08-010</w:t>
        </w:r>
      </w:hyperlink>
      <w:r w:rsidRPr="00E63715">
        <w:rPr>
          <w:rFonts w:ascii="Palatino Linotype" w:hAnsi="Palatino Linotype"/>
        </w:rPr>
        <w:t> at p. 37-38</w:t>
      </w:r>
      <w:r w:rsidR="007630A1" w:rsidRPr="00E63715">
        <w:rPr>
          <w:rFonts w:ascii="Palatino Linotype" w:hAnsi="Palatino Linotype"/>
        </w:rPr>
        <w:t>.</w:t>
      </w:r>
    </w:p>
  </w:footnote>
  <w:footnote w:id="95">
    <w:p w14:paraId="4CEA1388" w14:textId="3D6342BE" w:rsidR="00745434" w:rsidRDefault="00745434">
      <w:pPr>
        <w:pStyle w:val="FootnoteText"/>
      </w:pPr>
      <w:r w:rsidRPr="00E63715">
        <w:rPr>
          <w:rStyle w:val="FootnoteReference"/>
          <w:rFonts w:ascii="Palatino Linotype" w:hAnsi="Palatino Linotype"/>
        </w:rPr>
        <w:footnoteRef/>
      </w:r>
      <w:r w:rsidRPr="00E63715">
        <w:rPr>
          <w:rFonts w:ascii="Palatino Linotype" w:hAnsi="Palatino Linotype"/>
        </w:rPr>
        <w:t xml:space="preserve"> </w:t>
      </w:r>
      <w:r w:rsidR="0008548D" w:rsidRPr="00E63715">
        <w:rPr>
          <w:rFonts w:ascii="Palatino Linotype" w:hAnsi="Palatino Linotype"/>
        </w:rPr>
        <w:t xml:space="preserve">Per </w:t>
      </w:r>
      <w:hyperlink r:id="rId74" w:history="1">
        <w:r w:rsidR="0008548D" w:rsidRPr="00E63715">
          <w:rPr>
            <w:rStyle w:val="Hyperlink"/>
            <w:rFonts w:ascii="Palatino Linotype" w:hAnsi="Palatino Linotype"/>
          </w:rPr>
          <w:t>Resolution G-3546</w:t>
        </w:r>
      </w:hyperlink>
      <w:r w:rsidR="0008548D" w:rsidRPr="00E63715">
        <w:rPr>
          <w:rFonts w:ascii="Palatino Linotype" w:hAnsi="Palatino Linotype"/>
        </w:rPr>
        <w:t xml:space="preserve"> (2019) at p. 7 &amp; </w:t>
      </w:r>
      <w:hyperlink r:id="rId75">
        <w:r w:rsidR="00684FA0" w:rsidRPr="00E63715">
          <w:rPr>
            <w:rStyle w:val="Hyperlink"/>
            <w:rFonts w:ascii="Palatino Linotype" w:hAnsi="Palatino Linotype"/>
          </w:rPr>
          <w:t>Resolution G-3592</w:t>
        </w:r>
      </w:hyperlink>
      <w:r w:rsidR="00684FA0" w:rsidRPr="00E63715">
        <w:rPr>
          <w:rFonts w:ascii="Palatino Linotype" w:hAnsi="Palatino Linotype"/>
        </w:rPr>
        <w:t xml:space="preserve"> (2023) at OP 2 &amp; 5e. </w:t>
      </w:r>
      <w:r w:rsidRPr="00E63715">
        <w:rPr>
          <w:rFonts w:ascii="Palatino Linotype" w:hAnsi="Palatino Linotype"/>
        </w:rPr>
        <w:t xml:space="preserve">See Resolution G-3622 at Appendix </w:t>
      </w:r>
      <w:r w:rsidR="00BB4E69" w:rsidRPr="00E63715">
        <w:rPr>
          <w:rFonts w:ascii="Palatino Linotype" w:hAnsi="Palatino Linotype"/>
        </w:rPr>
        <w:t>B</w:t>
      </w:r>
      <w:r w:rsidRPr="00E63715">
        <w:rPr>
          <w:rFonts w:ascii="Palatino Linotype" w:hAnsi="Palatino Linotype"/>
        </w:rPr>
        <w:t>: Administrative Budget Cost Categories</w:t>
      </w:r>
      <w:r w:rsidR="00924814" w:rsidRPr="00E63715">
        <w:rPr>
          <w:rFonts w:ascii="Palatino Linotype" w:hAnsi="Palatino Linotype"/>
        </w:rPr>
        <w:t>.</w:t>
      </w:r>
    </w:p>
  </w:footnote>
  <w:footnote w:id="96">
    <w:p w14:paraId="3D6F2699" w14:textId="756839F1" w:rsidR="00083381" w:rsidRDefault="00083381">
      <w:pPr>
        <w:pStyle w:val="FootnoteText"/>
      </w:pPr>
      <w:r>
        <w:rPr>
          <w:rStyle w:val="FootnoteReference"/>
        </w:rPr>
        <w:footnoteRef/>
      </w:r>
      <w:r>
        <w:t xml:space="preserve"> </w:t>
      </w:r>
      <w:r w:rsidRPr="7B8331DF">
        <w:rPr>
          <w:rFonts w:ascii="Palatino Linotype" w:hAnsi="Palatino Linotype"/>
        </w:rPr>
        <w:t xml:space="preserve">Email: </w:t>
      </w:r>
      <w:hyperlink r:id="rId76">
        <w:r w:rsidRPr="7B8331DF">
          <w:rPr>
            <w:rStyle w:val="Hyperlink"/>
            <w:rFonts w:ascii="Palatino Linotype" w:hAnsi="Palatino Linotype"/>
          </w:rPr>
          <w:t>EnergyDivisionCentralFiles@cpuc.ca.gov</w:t>
        </w:r>
      </w:hyperlink>
    </w:p>
  </w:footnote>
  <w:footnote w:id="97">
    <w:p w14:paraId="7B43F8FF" w14:textId="1DA3E0AD" w:rsidR="00020FC1" w:rsidRDefault="00020FC1">
      <w:pPr>
        <w:pStyle w:val="FootnoteText"/>
      </w:pPr>
      <w:r>
        <w:rPr>
          <w:rStyle w:val="FootnoteReference"/>
        </w:rPr>
        <w:footnoteRef/>
      </w:r>
      <w:r>
        <w:t xml:space="preserve"> </w:t>
      </w:r>
      <w:hyperlink r:id="rId77">
        <w:r w:rsidR="005C0717" w:rsidRPr="35F2EE98">
          <w:rPr>
            <w:rStyle w:val="Hyperlink"/>
            <w:rFonts w:ascii="Palatino Linotype" w:eastAsia="Palatino Linotype" w:hAnsi="Palatino Linotype" w:cs="Palatino Linotype"/>
          </w:rPr>
          <w:t>D.04-08-010</w:t>
        </w:r>
      </w:hyperlink>
      <w:r w:rsidR="005C0717" w:rsidRPr="35F2EE98">
        <w:rPr>
          <w:rFonts w:ascii="Palatino Linotype" w:eastAsia="Palatino Linotype" w:hAnsi="Palatino Linotype" w:cs="Palatino Linotype"/>
        </w:rPr>
        <w:t xml:space="preserve"> at p.</w:t>
      </w:r>
      <w:r w:rsidR="005C0717">
        <w:rPr>
          <w:rFonts w:ascii="Palatino Linotype" w:eastAsia="Palatino Linotype" w:hAnsi="Palatino Linotype" w:cs="Palatino Linotype"/>
        </w:rPr>
        <w:t xml:space="preserve"> 4</w:t>
      </w:r>
      <w:r w:rsidR="00477BF1">
        <w:rPr>
          <w:rFonts w:ascii="Palatino Linotype" w:eastAsia="Palatino Linotype" w:hAnsi="Palatino Linotype" w:cs="Palatino Linotype"/>
        </w:rPr>
        <w:t>2 &amp; OP 21.</w:t>
      </w:r>
    </w:p>
  </w:footnote>
  <w:footnote w:id="98">
    <w:p w14:paraId="4DBF27BF" w14:textId="77777777" w:rsidR="00C5549F" w:rsidRDefault="00C5549F" w:rsidP="00C5549F">
      <w:pPr>
        <w:pStyle w:val="FootnoteText"/>
      </w:pPr>
      <w:r>
        <w:rPr>
          <w:rStyle w:val="FootnoteReference"/>
        </w:rPr>
        <w:footnoteRef/>
      </w:r>
      <w:r>
        <w:t xml:space="preserve"> </w:t>
      </w:r>
      <w:hyperlink r:id="rId78" w:history="1">
        <w:r w:rsidRPr="00840622">
          <w:rPr>
            <w:rStyle w:val="Hyperlink"/>
            <w:rFonts w:ascii="Palatino Linotype" w:hAnsi="Palatino Linotype"/>
            <w:bCs/>
          </w:rPr>
          <w:t>Resolution G-3495</w:t>
        </w:r>
      </w:hyperlink>
      <w:r w:rsidRPr="00840622">
        <w:rPr>
          <w:rFonts w:ascii="Palatino Linotype" w:hAnsi="Palatino Linotype"/>
          <w:bCs/>
          <w:color w:val="000000" w:themeColor="text1"/>
        </w:rPr>
        <w:t xml:space="preserve"> (2014) at p. 6-9</w:t>
      </w:r>
      <w:r>
        <w:rPr>
          <w:rFonts w:ascii="Palatino Linotype" w:hAnsi="Palatino Linotype"/>
          <w:bCs/>
          <w:color w:val="000000" w:themeColor="text1"/>
        </w:rPr>
        <w:t>,</w:t>
      </w:r>
      <w:r w:rsidRPr="00840622">
        <w:rPr>
          <w:rFonts w:ascii="Palatino Linotype" w:hAnsi="Palatino Linotype"/>
          <w:bCs/>
          <w:color w:val="000000" w:themeColor="text1"/>
        </w:rPr>
        <w:t xml:space="preserve"> FOF 6</w:t>
      </w:r>
      <w:r>
        <w:rPr>
          <w:rFonts w:ascii="Palatino Linotype" w:hAnsi="Palatino Linotype"/>
          <w:bCs/>
          <w:color w:val="000000" w:themeColor="text1"/>
        </w:rPr>
        <w:t>,</w:t>
      </w:r>
      <w:r w:rsidRPr="00840622">
        <w:rPr>
          <w:rFonts w:ascii="Palatino Linotype" w:hAnsi="Palatino Linotype"/>
          <w:bCs/>
          <w:color w:val="000000" w:themeColor="text1"/>
        </w:rPr>
        <w:t xml:space="preserve"> &amp; OP 5; </w:t>
      </w:r>
      <w:hyperlink r:id="rId79" w:tgtFrame="_blank" w:history="1">
        <w:r w:rsidRPr="00840622">
          <w:rPr>
            <w:rStyle w:val="Hyperlink"/>
            <w:rFonts w:ascii="Palatino Linotype" w:hAnsi="Palatino Linotype"/>
          </w:rPr>
          <w:t>Resolution G-3584</w:t>
        </w:r>
      </w:hyperlink>
      <w:r w:rsidRPr="00840622">
        <w:rPr>
          <w:rFonts w:ascii="Palatino Linotype" w:hAnsi="Palatino Linotype"/>
        </w:rPr>
        <w:t xml:space="preserve"> (2021) at OP 4; </w:t>
      </w:r>
      <w:r>
        <w:rPr>
          <w:rFonts w:ascii="Palatino Linotype" w:hAnsi="Palatino Linotype"/>
        </w:rPr>
        <w:t xml:space="preserve">&amp; </w:t>
      </w:r>
      <w:hyperlink r:id="rId80" w:tgtFrame="_blank" w:history="1">
        <w:r w:rsidRPr="00840622">
          <w:rPr>
            <w:rStyle w:val="Hyperlink"/>
            <w:rFonts w:ascii="Palatino Linotype" w:hAnsi="Palatino Linotype"/>
          </w:rPr>
          <w:t xml:space="preserve">Resolution </w:t>
        </w:r>
        <w:r>
          <w:rPr>
            <w:rStyle w:val="Hyperlink"/>
            <w:rFonts w:ascii="Palatino Linotype" w:hAnsi="Palatino Linotype"/>
          </w:rPr>
          <w:br/>
        </w:r>
        <w:r w:rsidRPr="00840622">
          <w:rPr>
            <w:rStyle w:val="Hyperlink"/>
            <w:rFonts w:ascii="Palatino Linotype" w:hAnsi="Palatino Linotype"/>
          </w:rPr>
          <w:t>G-3592</w:t>
        </w:r>
      </w:hyperlink>
      <w:r w:rsidRPr="00840622">
        <w:rPr>
          <w:rFonts w:ascii="Palatino Linotype" w:hAnsi="Palatino Linotype"/>
        </w:rPr>
        <w:t> (2023) at OP 7.</w:t>
      </w:r>
      <w:r>
        <w:rPr>
          <w:rFonts w:ascii="Palatino Linotype" w:hAnsi="Palatino Linotype"/>
        </w:rPr>
        <w:t xml:space="preserve"> See Resolution </w:t>
      </w:r>
      <w:r w:rsidRPr="00A22C9B">
        <w:rPr>
          <w:rFonts w:ascii="Palatino Linotype" w:hAnsi="Palatino Linotype"/>
        </w:rPr>
        <w:t>G</w:t>
      </w:r>
      <w:r>
        <w:rPr>
          <w:rFonts w:ascii="Palatino Linotype" w:hAnsi="Palatino Linotype"/>
        </w:rPr>
        <w:t>-3622</w:t>
      </w:r>
      <w:r w:rsidRPr="00A22C9B">
        <w:rPr>
          <w:rFonts w:ascii="Palatino Linotype" w:hAnsi="Palatino Linotype"/>
        </w:rPr>
        <w:t xml:space="preserve"> </w:t>
      </w:r>
      <w:r>
        <w:rPr>
          <w:rFonts w:ascii="Palatino Linotype" w:hAnsi="Palatino Linotype"/>
        </w:rPr>
        <w:t>at Appendix E:</w:t>
      </w:r>
      <w:r w:rsidRPr="00631D2A">
        <w:rPr>
          <w:rFonts w:ascii="Palatino Linotype" w:hAnsi="Palatino Linotype"/>
        </w:rPr>
        <w:t xml:space="preserve"> CEC Gas RD&amp;D Funding Process for Budgets Less </w:t>
      </w:r>
      <w:r>
        <w:rPr>
          <w:rFonts w:ascii="Palatino Linotype" w:hAnsi="Palatino Linotype"/>
        </w:rPr>
        <w:t>T</w:t>
      </w:r>
      <w:r w:rsidRPr="00631D2A">
        <w:rPr>
          <w:rFonts w:ascii="Palatino Linotype" w:hAnsi="Palatino Linotype"/>
        </w:rPr>
        <w:t>han $24M</w:t>
      </w:r>
      <w:r>
        <w:rPr>
          <w:rFonts w:ascii="Palatino Linotype" w:hAnsi="Palatino Linotype"/>
        </w:rPr>
        <w:t xml:space="preserve"> detailing how if “the </w:t>
      </w:r>
      <w:r w:rsidRPr="003E7037">
        <w:rPr>
          <w:rFonts w:ascii="Palatino Linotype" w:hAnsi="Palatino Linotype"/>
        </w:rPr>
        <w:t>CPUC decides to authorize less than $24 million, the Energy Commission will proportionally reduce the requested transfers from the Gas Consumption Surcharge Fund by that amount</w:t>
      </w:r>
      <w:r>
        <w:rPr>
          <w:rFonts w:ascii="Palatino Linotype" w:hAnsi="Palatino Linotype"/>
        </w:rPr>
        <w:t>.”</w:t>
      </w:r>
    </w:p>
  </w:footnote>
  <w:footnote w:id="99">
    <w:p w14:paraId="2D5D1135" w14:textId="77777777" w:rsidR="00531E67" w:rsidRDefault="00531E67" w:rsidP="00531E67">
      <w:pPr>
        <w:pStyle w:val="FootnoteText"/>
      </w:pPr>
      <w:r>
        <w:rPr>
          <w:rStyle w:val="FootnoteReference"/>
        </w:rPr>
        <w:footnoteRef/>
      </w:r>
      <w:r>
        <w:t xml:space="preserve"> </w:t>
      </w:r>
      <w:hyperlink r:id="rId81">
        <w:r w:rsidRPr="35F2EE98">
          <w:rPr>
            <w:rStyle w:val="Hyperlink"/>
            <w:rFonts w:ascii="Palatino Linotype" w:eastAsia="Palatino Linotype" w:hAnsi="Palatino Linotype" w:cs="Palatino Linotype"/>
          </w:rPr>
          <w:t>D.04-08-010</w:t>
        </w:r>
      </w:hyperlink>
      <w:r w:rsidRPr="35F2EE98">
        <w:rPr>
          <w:rFonts w:ascii="Palatino Linotype" w:eastAsia="Palatino Linotype" w:hAnsi="Palatino Linotype" w:cs="Palatino Linotype"/>
        </w:rPr>
        <w:t xml:space="preserve"> at p.</w:t>
      </w:r>
      <w:r>
        <w:rPr>
          <w:rFonts w:ascii="Palatino Linotype" w:eastAsia="Palatino Linotype" w:hAnsi="Palatino Linotype" w:cs="Palatino Linotype"/>
        </w:rPr>
        <w:t xml:space="preserve"> 41.</w:t>
      </w:r>
    </w:p>
  </w:footnote>
  <w:footnote w:id="100">
    <w:p w14:paraId="6E8CE9AE" w14:textId="77777777" w:rsidR="00891935" w:rsidRPr="00E63715" w:rsidRDefault="00891935" w:rsidP="00891935">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82">
        <w:r w:rsidRPr="00E63715">
          <w:rPr>
            <w:rStyle w:val="Hyperlink"/>
            <w:rFonts w:ascii="Palatino Linotype" w:eastAsia="Palatino Linotype" w:hAnsi="Palatino Linotype" w:cs="Palatino Linotype"/>
          </w:rPr>
          <w:t>D.04-08-010</w:t>
        </w:r>
      </w:hyperlink>
      <w:r w:rsidRPr="00E63715">
        <w:rPr>
          <w:rFonts w:ascii="Palatino Linotype" w:eastAsia="Palatino Linotype" w:hAnsi="Palatino Linotype" w:cs="Palatino Linotype"/>
        </w:rPr>
        <w:t xml:space="preserve"> at p. 44.</w:t>
      </w:r>
    </w:p>
  </w:footnote>
  <w:footnote w:id="101">
    <w:p w14:paraId="2D7EA5B9" w14:textId="76A5F96D" w:rsidR="006F5018" w:rsidRPr="00E63715" w:rsidRDefault="006F5018" w:rsidP="006F5018">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By January 1</w:t>
      </w:r>
      <w:r w:rsidR="00014427" w:rsidRPr="00E63715">
        <w:rPr>
          <w:rFonts w:ascii="Palatino Linotype" w:hAnsi="Palatino Linotype"/>
        </w:rPr>
        <w:t>5</w:t>
      </w:r>
      <w:r w:rsidRPr="00E63715">
        <w:rPr>
          <w:rFonts w:ascii="Palatino Linotype" w:hAnsi="Palatino Linotype"/>
        </w:rPr>
        <w:t xml:space="preserve"> </w:t>
      </w:r>
      <w:r w:rsidR="003B1B66" w:rsidRPr="00E63715">
        <w:rPr>
          <w:rFonts w:ascii="Palatino Linotype" w:hAnsi="Palatino Linotype"/>
        </w:rPr>
        <w:t xml:space="preserve">pertaining to July – December of the previous year </w:t>
      </w:r>
      <w:r w:rsidRPr="00E63715">
        <w:rPr>
          <w:rFonts w:ascii="Palatino Linotype" w:hAnsi="Palatino Linotype"/>
        </w:rPr>
        <w:t>and July 1</w:t>
      </w:r>
      <w:r w:rsidR="00014427" w:rsidRPr="00E63715">
        <w:rPr>
          <w:rFonts w:ascii="Palatino Linotype" w:hAnsi="Palatino Linotype"/>
        </w:rPr>
        <w:t>5</w:t>
      </w:r>
      <w:r w:rsidR="00006650" w:rsidRPr="00E63715">
        <w:rPr>
          <w:rFonts w:ascii="Palatino Linotype" w:hAnsi="Palatino Linotype"/>
        </w:rPr>
        <w:t xml:space="preserve"> pertaining to January – June of that year</w:t>
      </w:r>
      <w:r w:rsidRPr="00E63715">
        <w:rPr>
          <w:rFonts w:ascii="Palatino Linotype" w:hAnsi="Palatino Linotype"/>
        </w:rPr>
        <w:t>.</w:t>
      </w:r>
    </w:p>
  </w:footnote>
  <w:footnote w:id="102">
    <w:p w14:paraId="5B265EAD" w14:textId="143AC626" w:rsidR="00CE4322" w:rsidRPr="00E63715" w:rsidRDefault="00CE4322">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This Resolution modifies </w:t>
      </w:r>
      <w:hyperlink r:id="rId83" w:history="1">
        <w:r w:rsidR="008D5DB9" w:rsidRPr="00E63715">
          <w:rPr>
            <w:rStyle w:val="Hyperlink"/>
            <w:rFonts w:ascii="Palatino Linotype" w:eastAsia="Century Gothic" w:hAnsi="Palatino Linotype" w:cs="Century Gothic"/>
          </w:rPr>
          <w:t>Resolution G-3592</w:t>
        </w:r>
      </w:hyperlink>
      <w:r w:rsidR="008D5DB9" w:rsidRPr="00E63715">
        <w:rPr>
          <w:rFonts w:ascii="Palatino Linotype" w:eastAsia="Century Gothic" w:hAnsi="Palatino Linotype" w:cs="Century Gothic"/>
        </w:rPr>
        <w:t xml:space="preserve"> (2023) at OP 7</w:t>
      </w:r>
      <w:r w:rsidR="00CF7185" w:rsidRPr="00E63715">
        <w:rPr>
          <w:rFonts w:ascii="Palatino Linotype" w:eastAsia="Century Gothic" w:hAnsi="Palatino Linotype" w:cs="Century Gothic"/>
        </w:rPr>
        <w:t>: The CEC is no longer required to list all spent, encumbered, and uncommitted funds organized by Gas R&amp;D initiative in its Annual Plans.</w:t>
      </w:r>
    </w:p>
  </w:footnote>
  <w:footnote w:id="103">
    <w:p w14:paraId="02A94B4A" w14:textId="77777777" w:rsidR="00565FD3" w:rsidRPr="00E63715" w:rsidRDefault="00565FD3" w:rsidP="00565FD3">
      <w:pPr>
        <w:pStyle w:val="FootnoteText"/>
        <w:rPr>
          <w:rFonts w:ascii="Palatino Linotype" w:eastAsia="Palatino Linotype" w:hAnsi="Palatino Linotype" w:cs="Palatino Linotype"/>
          <w:color w:val="FF0000"/>
          <w:sz w:val="24"/>
          <w:szCs w:val="24"/>
        </w:rPr>
      </w:pPr>
      <w:r w:rsidRPr="00E63715">
        <w:rPr>
          <w:rStyle w:val="FootnoteReference"/>
          <w:rFonts w:ascii="Palatino Linotype" w:hAnsi="Palatino Linotype"/>
          <w:color w:val="000000" w:themeColor="text1"/>
        </w:rPr>
        <w:footnoteRef/>
      </w:r>
      <w:r w:rsidRPr="00E63715">
        <w:rPr>
          <w:rFonts w:ascii="Palatino Linotype" w:hAnsi="Palatino Linotype"/>
          <w:color w:val="000000" w:themeColor="text1"/>
        </w:rPr>
        <w:t xml:space="preserve"> </w:t>
      </w:r>
      <w:hyperlink r:id="rId84" w:tgtFrame="_blank" w:history="1">
        <w:r w:rsidRPr="00E63715">
          <w:rPr>
            <w:rStyle w:val="Hyperlink"/>
            <w:rFonts w:ascii="Palatino Linotype" w:hAnsi="Palatino Linotype"/>
          </w:rPr>
          <w:t>Resolution G-3584</w:t>
        </w:r>
      </w:hyperlink>
      <w:r w:rsidRPr="00E63715">
        <w:rPr>
          <w:rFonts w:ascii="Palatino Linotype" w:hAnsi="Palatino Linotype"/>
        </w:rPr>
        <w:t xml:space="preserve"> (2021) at p. 8. </w:t>
      </w:r>
      <w:r w:rsidRPr="00E63715">
        <w:rPr>
          <w:rFonts w:ascii="Palatino Linotype" w:eastAsia="Palatino Linotype" w:hAnsi="Palatino Linotype" w:cs="Palatino Linotype"/>
          <w:color w:val="000000" w:themeColor="text1"/>
        </w:rPr>
        <w:t>“’Disencumbered funds’ refers to previously encumbered funds that become unencumbered because the project has been terminated or was completed under budget or due to other reasons.”</w:t>
      </w:r>
    </w:p>
  </w:footnote>
  <w:footnote w:id="104">
    <w:p w14:paraId="6D6C208F" w14:textId="6EC78D72" w:rsidR="005A7C04" w:rsidRPr="00E63715" w:rsidRDefault="005A7C04" w:rsidP="005A7C04">
      <w:pPr>
        <w:pStyle w:val="FootnoteText"/>
        <w:rPr>
          <w:rFonts w:ascii="Palatino Linotype" w:hAnsi="Palatino Linotype"/>
        </w:rPr>
      </w:pPr>
      <w:r w:rsidRPr="00E63715">
        <w:rPr>
          <w:rStyle w:val="FootnoteReference"/>
          <w:rFonts w:ascii="Palatino Linotype" w:hAnsi="Palatino Linotype"/>
          <w:color w:val="000000" w:themeColor="text1"/>
        </w:rPr>
        <w:footnoteRef/>
      </w:r>
      <w:r w:rsidRPr="00E63715">
        <w:rPr>
          <w:rFonts w:ascii="Palatino Linotype" w:hAnsi="Palatino Linotype"/>
          <w:color w:val="000000" w:themeColor="text1"/>
        </w:rPr>
        <w:t xml:space="preserve"> </w:t>
      </w:r>
      <w:r w:rsidRPr="00E63715">
        <w:rPr>
          <w:rFonts w:ascii="Palatino Linotype" w:eastAsia="Palatino Linotype" w:hAnsi="Palatino Linotype" w:cs="Times New Roman"/>
          <w:color w:val="000000" w:themeColor="text1"/>
        </w:rPr>
        <w:t>CEC shall delineate balances of Program Administration funds in reporting according to the required template</w:t>
      </w:r>
      <w:r w:rsidRPr="00E63715">
        <w:rPr>
          <w:rFonts w:ascii="Palatino Linotype" w:hAnsi="Palatino Linotype"/>
          <w:color w:val="000000" w:themeColor="text1"/>
        </w:rPr>
        <w:t xml:space="preserve">. </w:t>
      </w:r>
      <w:r w:rsidRPr="00E63715">
        <w:rPr>
          <w:rFonts w:ascii="Palatino Linotype" w:hAnsi="Palatino Linotype"/>
        </w:rPr>
        <w:t xml:space="preserve">See Resolution G-3622 at Appendix </w:t>
      </w:r>
      <w:r w:rsidR="00BB4E69" w:rsidRPr="00E63715">
        <w:rPr>
          <w:rFonts w:ascii="Palatino Linotype" w:hAnsi="Palatino Linotype"/>
        </w:rPr>
        <w:t>B</w:t>
      </w:r>
      <w:r w:rsidRPr="00E63715">
        <w:rPr>
          <w:rFonts w:ascii="Palatino Linotype" w:hAnsi="Palatino Linotype"/>
        </w:rPr>
        <w:t xml:space="preserve">: Administrative Budget Cost Categories adopted in </w:t>
      </w:r>
      <w:hyperlink r:id="rId85">
        <w:r w:rsidRPr="00E63715">
          <w:rPr>
            <w:rStyle w:val="Hyperlink"/>
            <w:rFonts w:ascii="Palatino Linotype" w:hAnsi="Palatino Linotype"/>
          </w:rPr>
          <w:t>Resolution G-3592</w:t>
        </w:r>
      </w:hyperlink>
      <w:r w:rsidRPr="00E63715">
        <w:rPr>
          <w:rFonts w:ascii="Palatino Linotype" w:hAnsi="Palatino Linotype"/>
        </w:rPr>
        <w:t xml:space="preserve"> (2023) at OP 5e.</w:t>
      </w:r>
    </w:p>
  </w:footnote>
  <w:footnote w:id="105">
    <w:p w14:paraId="61C7F103" w14:textId="77777777" w:rsidR="00DD118F" w:rsidRPr="00E63715" w:rsidRDefault="00DD118F" w:rsidP="00DD118F">
      <w:pPr>
        <w:pStyle w:val="FootnoteText"/>
        <w:rPr>
          <w:rFonts w:ascii="Palatino Linotype" w:eastAsia="Palatino Linotype" w:hAnsi="Palatino Linotype" w:cs="Palatino Linotype"/>
          <w:color w:val="000000" w:themeColor="text1"/>
        </w:rPr>
      </w:pPr>
      <w:r w:rsidRPr="00E63715">
        <w:rPr>
          <w:rStyle w:val="FootnoteReference"/>
          <w:rFonts w:ascii="Palatino Linotype" w:hAnsi="Palatino Linotype"/>
        </w:rPr>
        <w:footnoteRef/>
      </w:r>
      <w:r w:rsidRPr="00E63715">
        <w:rPr>
          <w:rFonts w:ascii="Palatino Linotype" w:hAnsi="Palatino Linotype"/>
        </w:rPr>
        <w:t xml:space="preserve"> </w:t>
      </w:r>
      <w:hyperlink r:id="rId86" w:tgtFrame="_blank" w:history="1">
        <w:r w:rsidRPr="00E63715">
          <w:rPr>
            <w:rStyle w:val="Hyperlink"/>
            <w:rFonts w:ascii="Palatino Linotype" w:hAnsi="Palatino Linotype"/>
          </w:rPr>
          <w:t>Resolution G-3584</w:t>
        </w:r>
      </w:hyperlink>
      <w:r w:rsidRPr="00E63715">
        <w:rPr>
          <w:rFonts w:ascii="Palatino Linotype" w:hAnsi="Palatino Linotype"/>
        </w:rPr>
        <w:t> (2021) at p. 8. “’</w:t>
      </w:r>
      <w:r w:rsidRPr="00E63715">
        <w:rPr>
          <w:rFonts w:ascii="Palatino Linotype" w:eastAsia="Palatino Linotype" w:hAnsi="Palatino Linotype" w:cs="Palatino Linotype"/>
          <w:color w:val="000000" w:themeColor="text1"/>
        </w:rPr>
        <w:t>Unspent funds’ refers to contracted funds that have not yet been spent on a project or funds that have not been encumbered.”</w:t>
      </w:r>
    </w:p>
  </w:footnote>
  <w:footnote w:id="106">
    <w:p w14:paraId="4E75E8D7" w14:textId="77777777" w:rsidR="00DD118F" w:rsidRDefault="00DD118F" w:rsidP="00DD118F">
      <w:pPr>
        <w:pStyle w:val="FootnoteText"/>
      </w:pPr>
      <w:r w:rsidRPr="00E63715">
        <w:rPr>
          <w:rStyle w:val="FootnoteReference"/>
          <w:rFonts w:ascii="Palatino Linotype" w:hAnsi="Palatino Linotype"/>
        </w:rPr>
        <w:footnoteRef/>
      </w:r>
      <w:r w:rsidRPr="00E63715">
        <w:rPr>
          <w:rFonts w:ascii="Palatino Linotype" w:hAnsi="Palatino Linotype"/>
        </w:rPr>
        <w:t xml:space="preserve"> </w:t>
      </w:r>
      <w:hyperlink r:id="rId87" w:tgtFrame="_blank" w:history="1">
        <w:r w:rsidRPr="00E63715">
          <w:rPr>
            <w:rStyle w:val="Hyperlink"/>
            <w:rFonts w:ascii="Palatino Linotype" w:hAnsi="Palatino Linotype"/>
          </w:rPr>
          <w:t>Resolution G-3584</w:t>
        </w:r>
      </w:hyperlink>
      <w:r w:rsidRPr="00E63715">
        <w:rPr>
          <w:rFonts w:ascii="Palatino Linotype" w:hAnsi="Palatino Linotype"/>
        </w:rPr>
        <w:t xml:space="preserve"> (2021) at p. 8. </w:t>
      </w:r>
      <w:r w:rsidRPr="00E63715">
        <w:rPr>
          <w:rFonts w:ascii="Palatino Linotype" w:eastAsia="Palatino Linotype" w:hAnsi="Palatino Linotype" w:cs="Palatino Linotype"/>
          <w:color w:val="000000" w:themeColor="text1"/>
        </w:rPr>
        <w:t xml:space="preserve">"’Encumbered funds’ refers to funds that are committed to projects through an executed contract but have not yet been </w:t>
      </w:r>
      <w:proofErr w:type="gramStart"/>
      <w:r w:rsidRPr="00E63715">
        <w:rPr>
          <w:rFonts w:ascii="Palatino Linotype" w:eastAsia="Palatino Linotype" w:hAnsi="Palatino Linotype" w:cs="Palatino Linotype"/>
          <w:color w:val="000000" w:themeColor="text1"/>
        </w:rPr>
        <w:t>spent.”</w:t>
      </w:r>
      <w:proofErr w:type="gramEnd"/>
      <w:r w:rsidRPr="00E63715">
        <w:rPr>
          <w:rFonts w:ascii="Palatino Linotype" w:hAnsi="Palatino Linotype"/>
        </w:rPr>
        <w:t xml:space="preserve"> </w:t>
      </w:r>
      <w:r w:rsidRPr="00E63715">
        <w:rPr>
          <w:rFonts w:ascii="Palatino Linotype" w:eastAsia="Palatino Linotype" w:hAnsi="Palatino Linotype" w:cs="Palatino Linotype"/>
          <w:color w:val="000000" w:themeColor="text1"/>
        </w:rPr>
        <w:t>“’Spent funds’ refers to contracted funds that are spent on a project.”</w:t>
      </w:r>
    </w:p>
  </w:footnote>
  <w:footnote w:id="107">
    <w:p w14:paraId="4433AFA7" w14:textId="03D4B6BB" w:rsidR="00FA7531" w:rsidRPr="00E63715" w:rsidDel="00B62503" w:rsidRDefault="00FA7531" w:rsidP="00FA7531">
      <w:pPr>
        <w:pStyle w:val="FootnoteText"/>
        <w:rPr>
          <w:rFonts w:ascii="Palatino Linotype" w:hAnsi="Palatino Linotype"/>
        </w:rPr>
      </w:pPr>
      <w:r w:rsidRPr="00E63715" w:rsidDel="00B62503">
        <w:rPr>
          <w:rStyle w:val="FootnoteReference"/>
          <w:rFonts w:ascii="Palatino Linotype" w:hAnsi="Palatino Linotype"/>
          <w:color w:val="000000" w:themeColor="text1"/>
        </w:rPr>
        <w:footnoteRef/>
      </w:r>
      <w:r w:rsidR="00CC3783" w:rsidRPr="00E63715">
        <w:rPr>
          <w:rFonts w:ascii="Palatino Linotype" w:hAnsi="Palatino Linotype"/>
          <w:color w:val="000000" w:themeColor="text1"/>
        </w:rPr>
        <w:t xml:space="preserve"> Commission</w:t>
      </w:r>
      <w:r w:rsidR="00D83F09" w:rsidRPr="00E63715">
        <w:rPr>
          <w:rFonts w:ascii="Palatino Linotype" w:hAnsi="Palatino Linotype"/>
          <w:color w:val="000000" w:themeColor="text1"/>
        </w:rPr>
        <w:t xml:space="preserve"> </w:t>
      </w:r>
      <w:r w:rsidR="00CC3783" w:rsidRPr="00E63715">
        <w:rPr>
          <w:rFonts w:ascii="Palatino Linotype" w:hAnsi="Palatino Linotype"/>
          <w:color w:val="000000" w:themeColor="text1"/>
        </w:rPr>
        <w:t xml:space="preserve">approval dates may vary by specific Initiative in the same Gas RD&amp;D Plan </w:t>
      </w:r>
      <w:r w:rsidR="00D83F09" w:rsidRPr="00E63715">
        <w:rPr>
          <w:rFonts w:ascii="Palatino Linotype" w:hAnsi="Palatino Linotype"/>
          <w:color w:val="000000" w:themeColor="text1"/>
        </w:rPr>
        <w:t xml:space="preserve">as the Commission may approve some Initiatives via </w:t>
      </w:r>
      <w:r w:rsidR="00CD56B3" w:rsidRPr="00E63715">
        <w:rPr>
          <w:rFonts w:ascii="Palatino Linotype" w:hAnsi="Palatino Linotype"/>
          <w:color w:val="000000" w:themeColor="text1"/>
        </w:rPr>
        <w:t>Tier 3 ALs in r</w:t>
      </w:r>
      <w:r w:rsidR="00D83F09" w:rsidRPr="00E63715">
        <w:rPr>
          <w:rFonts w:ascii="Palatino Linotype" w:hAnsi="Palatino Linotype"/>
          <w:color w:val="000000" w:themeColor="text1"/>
        </w:rPr>
        <w:t>esolution</w:t>
      </w:r>
      <w:r w:rsidR="00CD56B3" w:rsidRPr="00E63715">
        <w:rPr>
          <w:rFonts w:ascii="Palatino Linotype" w:hAnsi="Palatino Linotype"/>
          <w:color w:val="000000" w:themeColor="text1"/>
        </w:rPr>
        <w:t>s</w:t>
      </w:r>
      <w:r w:rsidR="00D83F09" w:rsidRPr="00E63715">
        <w:rPr>
          <w:rFonts w:ascii="Palatino Linotype" w:hAnsi="Palatino Linotype"/>
          <w:color w:val="000000" w:themeColor="text1"/>
        </w:rPr>
        <w:t xml:space="preserve"> and others via subsequent Tier 2 AL</w:t>
      </w:r>
      <w:r w:rsidR="00682DEC" w:rsidRPr="00E63715">
        <w:rPr>
          <w:rFonts w:ascii="Palatino Linotype" w:hAnsi="Palatino Linotype"/>
          <w:color w:val="000000" w:themeColor="text1"/>
        </w:rPr>
        <w:t>s</w:t>
      </w:r>
      <w:r w:rsidR="00D83F09" w:rsidRPr="00E63715">
        <w:rPr>
          <w:rFonts w:ascii="Palatino Linotype" w:hAnsi="Palatino Linotype"/>
          <w:color w:val="000000" w:themeColor="text1"/>
        </w:rPr>
        <w:t>.</w:t>
      </w:r>
    </w:p>
  </w:footnote>
  <w:footnote w:id="108">
    <w:p w14:paraId="7EB19D75" w14:textId="573660D3" w:rsidR="00E36ED8" w:rsidRPr="00E63715" w:rsidRDefault="00E36ED8" w:rsidP="00E36ED8">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88" w:tgtFrame="_blank" w:history="1">
        <w:r w:rsidRPr="00E63715">
          <w:rPr>
            <w:rStyle w:val="Hyperlink"/>
            <w:rFonts w:ascii="Palatino Linotype" w:hAnsi="Palatino Linotype"/>
          </w:rPr>
          <w:t>Resolution G-3571</w:t>
        </w:r>
      </w:hyperlink>
      <w:r w:rsidRPr="00E63715">
        <w:rPr>
          <w:rFonts w:ascii="Palatino Linotype" w:hAnsi="Palatino Linotype"/>
        </w:rPr>
        <w:t> (2020) at OP 4. </w:t>
      </w:r>
      <w:r w:rsidRPr="00E63715">
        <w:rPr>
          <w:rFonts w:ascii="Palatino Linotype" w:eastAsia="Palatino Linotype" w:hAnsi="Palatino Linotype" w:cs="Palatino Linotype"/>
        </w:rPr>
        <w:t xml:space="preserve">“If the CEC is unable to obtain data it deems necessary to complete any of the projects proposed in the Fiscal Year 2020-2021 plan, it must first consult with Energy Division staff overseeing this program before reallocating any funding.” </w:t>
      </w:r>
    </w:p>
  </w:footnote>
  <w:footnote w:id="109">
    <w:p w14:paraId="175F9EBD" w14:textId="77777777" w:rsidR="00B11018" w:rsidRPr="00E63715" w:rsidRDefault="00B11018" w:rsidP="00B11018">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89">
        <w:r w:rsidRPr="00E63715">
          <w:rPr>
            <w:rStyle w:val="Hyperlink"/>
            <w:rFonts w:ascii="Palatino Linotype" w:hAnsi="Palatino Linotype"/>
          </w:rPr>
          <w:t>Resolution G-3584</w:t>
        </w:r>
      </w:hyperlink>
      <w:r w:rsidRPr="00E63715">
        <w:rPr>
          <w:rFonts w:ascii="Palatino Linotype" w:hAnsi="Palatino Linotype"/>
        </w:rPr>
        <w:t xml:space="preserve"> (2021) at OP 3 &amp; </w:t>
      </w:r>
      <w:hyperlink r:id="rId90">
        <w:r w:rsidRPr="00E63715">
          <w:rPr>
            <w:rStyle w:val="Hyperlink"/>
            <w:rFonts w:ascii="Palatino Linotype" w:hAnsi="Palatino Linotype"/>
          </w:rPr>
          <w:t>Resolution G-3592</w:t>
        </w:r>
      </w:hyperlink>
      <w:r w:rsidRPr="00E63715">
        <w:rPr>
          <w:rFonts w:ascii="Palatino Linotype" w:hAnsi="Palatino Linotype"/>
        </w:rPr>
        <w:t xml:space="preserve"> (2023) at OP 7.</w:t>
      </w:r>
    </w:p>
  </w:footnote>
  <w:footnote w:id="110">
    <w:p w14:paraId="7C9D3382" w14:textId="2BD1A8F5" w:rsidR="000B46D4" w:rsidRPr="00E63715" w:rsidRDefault="000B46D4" w:rsidP="000B46D4">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91" w:tgtFrame="_blank" w:history="1">
        <w:r w:rsidRPr="00E63715">
          <w:rPr>
            <w:rStyle w:val="Hyperlink"/>
            <w:rFonts w:ascii="Palatino Linotype" w:hAnsi="Palatino Linotype"/>
          </w:rPr>
          <w:t>D.04-08-010</w:t>
        </w:r>
      </w:hyperlink>
      <w:r w:rsidRPr="00E63715">
        <w:rPr>
          <w:rFonts w:ascii="Palatino Linotype" w:hAnsi="Palatino Linotype"/>
        </w:rPr>
        <w:t xml:space="preserve"> at p. 42 &amp; OP 21. </w:t>
      </w:r>
    </w:p>
  </w:footnote>
  <w:footnote w:id="111">
    <w:p w14:paraId="06C6F1D9" w14:textId="77777777" w:rsidR="000D1C1F" w:rsidRPr="00CF7185" w:rsidRDefault="000D1C1F" w:rsidP="000D1C1F">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This Resolution modifies </w:t>
      </w:r>
      <w:hyperlink r:id="rId92" w:history="1">
        <w:r w:rsidRPr="00E63715">
          <w:rPr>
            <w:rStyle w:val="Hyperlink"/>
            <w:rFonts w:ascii="Palatino Linotype" w:eastAsia="Century Gothic" w:hAnsi="Palatino Linotype" w:cs="Century Gothic"/>
          </w:rPr>
          <w:t>Resolution G-3592</w:t>
        </w:r>
      </w:hyperlink>
      <w:r w:rsidRPr="00E63715">
        <w:rPr>
          <w:rFonts w:ascii="Palatino Linotype" w:eastAsia="Century Gothic" w:hAnsi="Palatino Linotype" w:cs="Century Gothic"/>
        </w:rPr>
        <w:t xml:space="preserve"> (2023) at OP 7: The CEC is no longer required to list all spent, encumbered, and uncommitted funds organized by Gas R&amp;D initiative in its Annual Plans.</w:t>
      </w:r>
    </w:p>
  </w:footnote>
  <w:footnote w:id="112">
    <w:p w14:paraId="04D29E00" w14:textId="77777777" w:rsidR="00DB285D" w:rsidRPr="00E63715" w:rsidRDefault="00DB285D" w:rsidP="00DB285D">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Pr="00E63715">
        <w:rPr>
          <w:rFonts w:ascii="Palatino Linotype" w:hAnsi="Palatino Linotype"/>
          <w:color w:val="000000" w:themeColor="text1"/>
        </w:rPr>
        <w:t>Modifies</w:t>
      </w:r>
      <w:r w:rsidRPr="00E63715">
        <w:rPr>
          <w:rFonts w:ascii="Palatino Linotype" w:hAnsi="Palatino Linotype"/>
          <w:b/>
          <w:bCs/>
          <w:color w:val="EE0000"/>
        </w:rPr>
        <w:t xml:space="preserve"> </w:t>
      </w:r>
      <w:hyperlink r:id="rId93" w:history="1">
        <w:r w:rsidRPr="00E63715">
          <w:rPr>
            <w:rStyle w:val="Hyperlink"/>
            <w:rFonts w:ascii="Palatino Linotype" w:hAnsi="Palatino Linotype"/>
          </w:rPr>
          <w:t>Resolution G-3394</w:t>
        </w:r>
      </w:hyperlink>
      <w:r w:rsidRPr="00E63715">
        <w:rPr>
          <w:rFonts w:ascii="Palatino Linotype" w:hAnsi="Palatino Linotype"/>
          <w:color w:val="000000" w:themeColor="text1"/>
        </w:rPr>
        <w:t xml:space="preserve"> (2006) at OP 2. “The CEC shall submit its… Annual [Report] by October 31st.</w:t>
      </w:r>
      <w:r w:rsidRPr="00E63715">
        <w:rPr>
          <w:rFonts w:ascii="Palatino Linotype" w:hAnsi="Palatino Linotype" w:cs="Times New Roman"/>
          <w:color w:val="000000" w:themeColor="text1"/>
        </w:rPr>
        <w:t xml:space="preserve">” </w:t>
      </w:r>
    </w:p>
  </w:footnote>
  <w:footnote w:id="113">
    <w:p w14:paraId="55D38C62" w14:textId="77777777" w:rsidR="007E735C" w:rsidRPr="00E63715" w:rsidRDefault="007E735C" w:rsidP="007E735C">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Consistent with Public Resources Code 25620.8 at (a)(6).</w:t>
      </w:r>
    </w:p>
  </w:footnote>
  <w:footnote w:id="114">
    <w:p w14:paraId="78BFF3D0" w14:textId="0CCC245A" w:rsidR="008421D3" w:rsidRPr="00E63715" w:rsidRDefault="008421D3" w:rsidP="008421D3">
      <w:pPr>
        <w:spacing w:after="0" w:line="240" w:lineRule="auto"/>
        <w:rPr>
          <w:rFonts w:ascii="Palatino Linotype" w:hAnsi="Palatino Linotype"/>
          <w:bCs/>
          <w:color w:val="000000" w:themeColor="text1"/>
          <w:sz w:val="20"/>
          <w:szCs w:val="20"/>
        </w:rPr>
      </w:pPr>
      <w:r w:rsidRPr="00E63715">
        <w:rPr>
          <w:rStyle w:val="FootnoteReference"/>
          <w:rFonts w:ascii="Palatino Linotype" w:hAnsi="Palatino Linotype"/>
          <w:sz w:val="20"/>
          <w:szCs w:val="20"/>
        </w:rPr>
        <w:footnoteRef/>
      </w:r>
      <w:r w:rsidR="00252208" w:rsidRPr="00E63715">
        <w:rPr>
          <w:rStyle w:val="FootnoteReference"/>
          <w:rFonts w:ascii="Palatino Linotype" w:hAnsi="Palatino Linotype"/>
          <w:sz w:val="20"/>
          <w:szCs w:val="20"/>
        </w:rPr>
        <w:t xml:space="preserve"> </w:t>
      </w:r>
      <w:r w:rsidRPr="00E63715">
        <w:rPr>
          <w:rStyle w:val="FootnoteReference"/>
          <w:rFonts w:ascii="Palatino Linotype" w:hAnsi="Palatino Linotype"/>
          <w:sz w:val="20"/>
          <w:szCs w:val="20"/>
        </w:rPr>
        <w:t xml:space="preserve"> </w:t>
      </w:r>
      <w:hyperlink r:id="rId94" w:history="1">
        <w:r w:rsidRPr="00E63715">
          <w:rPr>
            <w:rStyle w:val="Hyperlink"/>
            <w:rFonts w:ascii="Palatino Linotype" w:hAnsi="Palatino Linotype"/>
            <w:bCs/>
            <w:sz w:val="20"/>
            <w:szCs w:val="20"/>
          </w:rPr>
          <w:t>Resolution G-3495</w:t>
        </w:r>
      </w:hyperlink>
      <w:r w:rsidRPr="00E63715">
        <w:rPr>
          <w:rFonts w:ascii="Palatino Linotype" w:hAnsi="Palatino Linotype"/>
          <w:bCs/>
          <w:color w:val="000000" w:themeColor="text1"/>
          <w:sz w:val="20"/>
          <w:szCs w:val="20"/>
        </w:rPr>
        <w:t xml:space="preserve"> (2014) at p. 6-9, FOF 6, &amp; OP 5; </w:t>
      </w:r>
      <w:hyperlink r:id="rId95" w:tgtFrame="_blank" w:history="1">
        <w:r w:rsidRPr="00E63715">
          <w:rPr>
            <w:rStyle w:val="Hyperlink"/>
            <w:rFonts w:ascii="Palatino Linotype" w:hAnsi="Palatino Linotype"/>
            <w:sz w:val="20"/>
            <w:szCs w:val="20"/>
          </w:rPr>
          <w:t>Resolution G-3584</w:t>
        </w:r>
      </w:hyperlink>
      <w:r w:rsidRPr="00E63715">
        <w:rPr>
          <w:rFonts w:ascii="Palatino Linotype" w:hAnsi="Palatino Linotype"/>
          <w:sz w:val="20"/>
          <w:szCs w:val="20"/>
        </w:rPr>
        <w:t xml:space="preserve"> (2021) at OP 4; </w:t>
      </w:r>
      <w:r w:rsidR="00E00144" w:rsidRPr="00E63715">
        <w:rPr>
          <w:rFonts w:ascii="Palatino Linotype" w:hAnsi="Palatino Linotype"/>
          <w:sz w:val="20"/>
          <w:szCs w:val="20"/>
        </w:rPr>
        <w:t xml:space="preserve">&amp; </w:t>
      </w:r>
      <w:hyperlink r:id="rId96" w:tgtFrame="_blank" w:history="1">
        <w:r w:rsidRPr="00E63715">
          <w:rPr>
            <w:rStyle w:val="Hyperlink"/>
            <w:rFonts w:ascii="Palatino Linotype" w:hAnsi="Palatino Linotype"/>
            <w:sz w:val="20"/>
            <w:szCs w:val="20"/>
          </w:rPr>
          <w:t xml:space="preserve">Resolution </w:t>
        </w:r>
        <w:r w:rsidRPr="00E63715">
          <w:rPr>
            <w:rStyle w:val="Hyperlink"/>
            <w:rFonts w:ascii="Palatino Linotype" w:hAnsi="Palatino Linotype"/>
            <w:sz w:val="20"/>
            <w:szCs w:val="20"/>
          </w:rPr>
          <w:br/>
          <w:t>G-3592</w:t>
        </w:r>
      </w:hyperlink>
      <w:r w:rsidRPr="00E63715">
        <w:rPr>
          <w:rFonts w:ascii="Palatino Linotype" w:hAnsi="Palatino Linotype"/>
          <w:sz w:val="20"/>
          <w:szCs w:val="20"/>
        </w:rPr>
        <w:t> (2023) at OP 7. See Resolution G-3622 at Appendix E: CEC Gas RD&amp;D Funding Process for Budgets Less Than $24M detailing how if “the CPUC decides to authorize less than $24 million, the Energy Commission will proportionally reduce the requested transfers from the Gas Consumption Surcharge Fund by that amount.”</w:t>
      </w:r>
    </w:p>
  </w:footnote>
  <w:footnote w:id="115">
    <w:p w14:paraId="5C6355BE" w14:textId="6850F116" w:rsidR="0068632E" w:rsidRPr="002F755E" w:rsidRDefault="0068632E">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Consistent with </w:t>
      </w:r>
      <w:hyperlink r:id="rId97" w:history="1">
        <w:r w:rsidRPr="00E63715">
          <w:rPr>
            <w:rStyle w:val="Hyperlink"/>
            <w:rFonts w:ascii="Palatino Linotype" w:hAnsi="Palatino Linotype"/>
            <w:szCs w:val="16"/>
          </w:rPr>
          <w:t>Public Utilities Code Section 384</w:t>
        </w:r>
      </w:hyperlink>
      <w:r w:rsidRPr="00E63715">
        <w:rPr>
          <w:rFonts w:ascii="Palatino Linotype" w:hAnsi="Palatino Linotype"/>
          <w:szCs w:val="16"/>
        </w:rPr>
        <w:t xml:space="preserve"> at (a).</w:t>
      </w:r>
      <w:r>
        <w:rPr>
          <w:rFonts w:ascii="Palatino Linotype" w:hAnsi="Palatino Linotype"/>
          <w:szCs w:val="16"/>
        </w:rPr>
        <w:t xml:space="preserve"> </w:t>
      </w:r>
    </w:p>
  </w:footnote>
  <w:footnote w:id="116">
    <w:p w14:paraId="62AB5BAF" w14:textId="4FC5946A" w:rsidR="00273BFB" w:rsidRPr="00E63715" w:rsidRDefault="00273BFB">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98" w:history="1">
        <w:r w:rsidR="008850A6" w:rsidRPr="00E63715">
          <w:rPr>
            <w:rStyle w:val="Hyperlink"/>
            <w:rFonts w:ascii="Palatino Linotype" w:hAnsi="Palatino Linotype"/>
          </w:rPr>
          <w:t xml:space="preserve">CPUC Utility Audits Branch </w:t>
        </w:r>
        <w:r w:rsidR="001716E5" w:rsidRPr="00E63715">
          <w:rPr>
            <w:rStyle w:val="Hyperlink"/>
            <w:rFonts w:ascii="Palatino Linotype" w:hAnsi="Palatino Linotype"/>
          </w:rPr>
          <w:t xml:space="preserve">California Energy Commission </w:t>
        </w:r>
        <w:r w:rsidR="001A4D43" w:rsidRPr="00E63715">
          <w:rPr>
            <w:rStyle w:val="Hyperlink"/>
            <w:rFonts w:ascii="Palatino Linotype" w:hAnsi="Palatino Linotype"/>
          </w:rPr>
          <w:t xml:space="preserve">Gas Research and Development </w:t>
        </w:r>
        <w:r w:rsidR="001716E5" w:rsidRPr="00E63715">
          <w:rPr>
            <w:rStyle w:val="Hyperlink"/>
            <w:rFonts w:ascii="Palatino Linotype" w:hAnsi="Palatino Linotype"/>
          </w:rPr>
          <w:t>Program Performance Audit</w:t>
        </w:r>
        <w:r w:rsidR="00DD757E" w:rsidRPr="00E63715">
          <w:rPr>
            <w:rStyle w:val="Hyperlink"/>
            <w:rFonts w:ascii="Palatino Linotype" w:hAnsi="Palatino Linotype"/>
          </w:rPr>
          <w:t xml:space="preserve"> </w:t>
        </w:r>
        <w:r w:rsidR="008850A6" w:rsidRPr="00E63715">
          <w:rPr>
            <w:rStyle w:val="Hyperlink"/>
            <w:rFonts w:ascii="Palatino Linotype" w:hAnsi="Palatino Linotype"/>
          </w:rPr>
          <w:t>Report</w:t>
        </w:r>
      </w:hyperlink>
      <w:r w:rsidR="008850A6" w:rsidRPr="00E63715">
        <w:rPr>
          <w:rFonts w:ascii="Palatino Linotype" w:hAnsi="Palatino Linotype"/>
        </w:rPr>
        <w:t xml:space="preserve"> </w:t>
      </w:r>
      <w:r w:rsidR="00DD757E" w:rsidRPr="00E63715">
        <w:rPr>
          <w:rFonts w:ascii="Palatino Linotype" w:hAnsi="Palatino Linotype"/>
        </w:rPr>
        <w:t>(August 28, 2025) at p.</w:t>
      </w:r>
      <w:r w:rsidR="006552A5" w:rsidRPr="00E63715">
        <w:rPr>
          <w:rFonts w:ascii="Palatino Linotype" w:hAnsi="Palatino Linotype"/>
        </w:rPr>
        <w:t xml:space="preserve"> 2.</w:t>
      </w:r>
    </w:p>
  </w:footnote>
  <w:footnote w:id="117">
    <w:p w14:paraId="4F3A51B2" w14:textId="77777777" w:rsidR="0088709C" w:rsidRPr="00E63715" w:rsidRDefault="0088709C" w:rsidP="0088709C">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99" w:history="1">
        <w:r w:rsidRPr="00E63715">
          <w:rPr>
            <w:rStyle w:val="Hyperlink"/>
            <w:rFonts w:ascii="Palatino Linotype" w:hAnsi="Palatino Linotype"/>
          </w:rPr>
          <w:t xml:space="preserve">Travel Reimbursements - </w:t>
        </w:r>
        <w:proofErr w:type="spellStart"/>
        <w:r w:rsidRPr="00E63715">
          <w:rPr>
            <w:rStyle w:val="Hyperlink"/>
            <w:rFonts w:ascii="Palatino Linotype" w:hAnsi="Palatino Linotype"/>
          </w:rPr>
          <w:t>CalHR</w:t>
        </w:r>
        <w:proofErr w:type="spellEnd"/>
        <w:r w:rsidRPr="00E63715">
          <w:rPr>
            <w:rStyle w:val="Hyperlink"/>
            <w:rFonts w:ascii="Palatino Linotype" w:hAnsi="Palatino Linotype"/>
          </w:rPr>
          <w:t xml:space="preserve"> Benefits Website</w:t>
        </w:r>
      </w:hyperlink>
      <w:r w:rsidRPr="00E63715">
        <w:rPr>
          <w:rFonts w:ascii="Palatino Linotype" w:hAnsi="Palatino Linotype"/>
        </w:rPr>
        <w:t>.</w:t>
      </w:r>
    </w:p>
  </w:footnote>
  <w:footnote w:id="118">
    <w:p w14:paraId="6A07795D" w14:textId="7144FBCA" w:rsidR="006A0099" w:rsidRPr="00E63715" w:rsidRDefault="006A0099" w:rsidP="006A0099">
      <w:pPr>
        <w:pStyle w:val="FootnoteText"/>
        <w:rPr>
          <w:rFonts w:ascii="Palatino Linotype" w:hAnsi="Palatino Linotype"/>
          <w:color w:val="000000" w:themeColor="text1"/>
        </w:rPr>
      </w:pPr>
      <w:r w:rsidRPr="00E63715">
        <w:rPr>
          <w:rStyle w:val="FootnoteReference"/>
          <w:rFonts w:ascii="Palatino Linotype" w:hAnsi="Palatino Linotype"/>
        </w:rPr>
        <w:footnoteRef/>
      </w:r>
      <w:r w:rsidRPr="00E63715">
        <w:rPr>
          <w:rFonts w:ascii="Palatino Linotype" w:hAnsi="Palatino Linotype"/>
        </w:rPr>
        <w:t xml:space="preserve"> </w:t>
      </w:r>
      <w:hyperlink r:id="rId100">
        <w:r w:rsidRPr="00E63715">
          <w:rPr>
            <w:rStyle w:val="Hyperlink"/>
            <w:rFonts w:ascii="Palatino Linotype" w:hAnsi="Palatino Linotype"/>
          </w:rPr>
          <w:t>Resolution G-3592</w:t>
        </w:r>
      </w:hyperlink>
      <w:r w:rsidRPr="00E63715">
        <w:rPr>
          <w:rFonts w:ascii="Palatino Linotype" w:hAnsi="Palatino Linotype"/>
          <w:color w:val="000000" w:themeColor="text1"/>
        </w:rPr>
        <w:t xml:space="preserve"> (2023)</w:t>
      </w:r>
      <w:r w:rsidR="007B39B2" w:rsidRPr="00E63715">
        <w:rPr>
          <w:rFonts w:ascii="Palatino Linotype" w:hAnsi="Palatino Linotype"/>
          <w:color w:val="000000" w:themeColor="text1"/>
        </w:rPr>
        <w:t xml:space="preserve"> </w:t>
      </w:r>
      <w:r w:rsidRPr="00E63715">
        <w:rPr>
          <w:rFonts w:ascii="Palatino Linotype" w:hAnsi="Palatino Linotype"/>
          <w:color w:val="000000" w:themeColor="text1"/>
        </w:rPr>
        <w:t>at OP 3.</w:t>
      </w:r>
      <w:r w:rsidR="002A370C" w:rsidRPr="00E63715">
        <w:rPr>
          <w:rFonts w:ascii="Palatino Linotype" w:hAnsi="Palatino Linotype"/>
          <w:color w:val="000000" w:themeColor="text1"/>
        </w:rPr>
        <w:t xml:space="preserve"> “In its Fiscal Year 2023-2024 Gas R&amp;D Plan, the CEC shall allocate 4% of its budget ($960,000) to fund a comprehensive evaluation of the CEC’s Gas R&amp;D program to be implemented Energy Division…”</w:t>
      </w:r>
    </w:p>
  </w:footnote>
  <w:footnote w:id="119">
    <w:p w14:paraId="3BC7DA46" w14:textId="06DFFE6C" w:rsidR="006A0099" w:rsidRPr="00E63715" w:rsidRDefault="006A0099" w:rsidP="35F2EE98">
      <w:pPr>
        <w:pStyle w:val="FootnoteText"/>
        <w:rPr>
          <w:rFonts w:ascii="Palatino Linotype" w:hAnsi="Palatino Linotype"/>
          <w:color w:val="000000" w:themeColor="text1"/>
        </w:rPr>
      </w:pPr>
      <w:r w:rsidRPr="00E63715">
        <w:rPr>
          <w:rStyle w:val="FootnoteReference"/>
          <w:rFonts w:ascii="Palatino Linotype" w:hAnsi="Palatino Linotype"/>
        </w:rPr>
        <w:footnoteRef/>
      </w:r>
      <w:r w:rsidR="35F2EE98" w:rsidRPr="00E63715">
        <w:rPr>
          <w:rFonts w:ascii="Palatino Linotype" w:hAnsi="Palatino Linotype"/>
        </w:rPr>
        <w:t xml:space="preserve"> Consistent with </w:t>
      </w:r>
      <w:hyperlink r:id="rId101">
        <w:r w:rsidR="35F2EE98" w:rsidRPr="00E63715">
          <w:rPr>
            <w:rStyle w:val="Hyperlink"/>
            <w:rFonts w:ascii="Palatino Linotype" w:hAnsi="Palatino Linotype"/>
          </w:rPr>
          <w:t>Resolution G-3601</w:t>
        </w:r>
      </w:hyperlink>
      <w:r w:rsidR="35F2EE98" w:rsidRPr="00E63715">
        <w:rPr>
          <w:rFonts w:ascii="Palatino Linotype" w:hAnsi="Palatino Linotype"/>
        </w:rPr>
        <w:t xml:space="preserve"> </w:t>
      </w:r>
      <w:r w:rsidR="35F2EE98" w:rsidRPr="00E63715">
        <w:rPr>
          <w:rFonts w:ascii="Palatino Linotype" w:hAnsi="Palatino Linotype"/>
          <w:color w:val="000000" w:themeColor="text1"/>
        </w:rPr>
        <w:t xml:space="preserve">(2023) at OP 3a &amp; </w:t>
      </w:r>
      <w:hyperlink r:id="rId102">
        <w:r w:rsidR="35F2EE98" w:rsidRPr="00E63715">
          <w:rPr>
            <w:rStyle w:val="Hyperlink"/>
            <w:rFonts w:ascii="Palatino Linotype" w:hAnsi="Palatino Linotype"/>
          </w:rPr>
          <w:t>D.23-11-069</w:t>
        </w:r>
      </w:hyperlink>
      <w:r w:rsidR="35F2EE98" w:rsidRPr="00E63715">
        <w:rPr>
          <w:rFonts w:ascii="Palatino Linotype" w:hAnsi="Palatino Linotype"/>
        </w:rPr>
        <w:t xml:space="preserve"> at p. 221</w:t>
      </w:r>
      <w:r w:rsidR="35F2EE98" w:rsidRPr="00E63715">
        <w:rPr>
          <w:rFonts w:ascii="Palatino Linotype" w:hAnsi="Palatino Linotype"/>
          <w:color w:val="000000" w:themeColor="text1"/>
        </w:rPr>
        <w:t>.</w:t>
      </w:r>
    </w:p>
  </w:footnote>
  <w:footnote w:id="120">
    <w:p w14:paraId="2253A92B" w14:textId="64C16325" w:rsidR="00D26D88" w:rsidRPr="00E63715" w:rsidRDefault="00D26D88">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03" w:history="1">
        <w:r w:rsidR="003B40B4" w:rsidRPr="00E63715">
          <w:rPr>
            <w:rStyle w:val="Hyperlink"/>
            <w:rFonts w:ascii="Palatino Linotype" w:hAnsi="Palatino Linotype"/>
          </w:rPr>
          <w:t>Resolution G-3618</w:t>
        </w:r>
      </w:hyperlink>
      <w:r w:rsidR="003B40B4" w:rsidRPr="00E63715">
        <w:rPr>
          <w:rFonts w:ascii="Palatino Linotype" w:hAnsi="Palatino Linotype"/>
        </w:rPr>
        <w:t xml:space="preserve"> (202</w:t>
      </w:r>
      <w:r w:rsidR="00185ECE" w:rsidRPr="00E63715">
        <w:rPr>
          <w:rFonts w:ascii="Palatino Linotype" w:hAnsi="Palatino Linotype"/>
        </w:rPr>
        <w:t>6</w:t>
      </w:r>
      <w:r w:rsidR="003B40B4" w:rsidRPr="00E63715">
        <w:rPr>
          <w:rFonts w:ascii="Palatino Linotype" w:hAnsi="Palatino Linotype"/>
        </w:rPr>
        <w:t>) at p. 25 &amp; OP 11.</w:t>
      </w:r>
    </w:p>
  </w:footnote>
  <w:footnote w:id="121">
    <w:p w14:paraId="2A57A0C0" w14:textId="77777777" w:rsidR="009B3679" w:rsidRDefault="009B3679" w:rsidP="009B3679">
      <w:pPr>
        <w:pStyle w:val="FootnoteText"/>
      </w:pPr>
      <w:r w:rsidRPr="00E63715">
        <w:rPr>
          <w:rStyle w:val="FootnoteReference"/>
          <w:rFonts w:ascii="Palatino Linotype" w:hAnsi="Palatino Linotype"/>
        </w:rPr>
        <w:footnoteRef/>
      </w:r>
      <w:r w:rsidRPr="00E63715">
        <w:rPr>
          <w:rFonts w:ascii="Palatino Linotype" w:hAnsi="Palatino Linotype"/>
        </w:rPr>
        <w:t xml:space="preserve"> </w:t>
      </w:r>
      <w:hyperlink r:id="rId104">
        <w:r w:rsidRPr="00E63715">
          <w:rPr>
            <w:rStyle w:val="Hyperlink"/>
            <w:rFonts w:ascii="Palatino Linotype" w:hAnsi="Palatino Linotype"/>
          </w:rPr>
          <w:t>D.23-04-042</w:t>
        </w:r>
      </w:hyperlink>
      <w:r w:rsidRPr="00E63715">
        <w:rPr>
          <w:rFonts w:ascii="Palatino Linotype" w:hAnsi="Palatino Linotype"/>
          <w:b/>
          <w:bCs/>
        </w:rPr>
        <w:t xml:space="preserve"> </w:t>
      </w:r>
      <w:r w:rsidRPr="00E63715">
        <w:rPr>
          <w:rFonts w:ascii="Palatino Linotype" w:hAnsi="Palatino Linotype"/>
        </w:rPr>
        <w:t xml:space="preserve">at OP 3 &amp; </w:t>
      </w:r>
      <w:hyperlink r:id="rId105" w:tgtFrame="_blank" w:history="1">
        <w:r w:rsidRPr="00E63715">
          <w:rPr>
            <w:rStyle w:val="Hyperlink"/>
            <w:rFonts w:ascii="Palatino Linotype" w:hAnsi="Palatino Linotype" w:cs="Palatino"/>
          </w:rPr>
          <w:t>D.24-03-007</w:t>
        </w:r>
      </w:hyperlink>
      <w:r w:rsidRPr="00E63715">
        <w:rPr>
          <w:rFonts w:ascii="Palatino Linotype" w:hAnsi="Palatino Linotype"/>
        </w:rPr>
        <w:t>.</w:t>
      </w:r>
    </w:p>
  </w:footnote>
  <w:footnote w:id="122">
    <w:p w14:paraId="144F4B43" w14:textId="77777777" w:rsidR="00A93086" w:rsidRPr="001661D2" w:rsidRDefault="00A93086" w:rsidP="00A93086">
      <w:pPr>
        <w:pStyle w:val="FootnoteText"/>
        <w:rPr>
          <w:rFonts w:ascii="Palatino Linotype" w:hAnsi="Palatino Linotype"/>
        </w:rPr>
      </w:pPr>
      <w:r w:rsidRPr="00F463E0">
        <w:rPr>
          <w:rStyle w:val="FootnoteReference"/>
          <w:rFonts w:ascii="Palatino Linotype" w:hAnsi="Palatino Linotype"/>
        </w:rPr>
        <w:footnoteRef/>
      </w:r>
      <w:r w:rsidR="281B4A3F" w:rsidRPr="00F463E0">
        <w:rPr>
          <w:rFonts w:ascii="Palatino Linotype" w:hAnsi="Palatino Linotype"/>
        </w:rPr>
        <w:t xml:space="preserve"> California Energy Commission Comments on G-3622 Draft Comment Resolution at p. 1.</w:t>
      </w:r>
      <w:r w:rsidR="281B4A3F" w:rsidRPr="001661D2">
        <w:rPr>
          <w:rFonts w:ascii="Palatino Linotype" w:hAnsi="Palatino Linotype"/>
        </w:rPr>
        <w:t xml:space="preserve"> </w:t>
      </w:r>
    </w:p>
  </w:footnote>
  <w:footnote w:id="123">
    <w:p w14:paraId="53EF7905" w14:textId="77777777" w:rsidR="00095029" w:rsidRPr="00E63715" w:rsidRDefault="00095029" w:rsidP="00095029">
      <w:pPr>
        <w:pStyle w:val="FootnoteText"/>
        <w:rPr>
          <w:rFonts w:ascii="Palatino Linotype" w:hAnsi="Palatino Linotype"/>
        </w:rPr>
      </w:pPr>
      <w:r w:rsidRPr="00E63715">
        <w:rPr>
          <w:rStyle w:val="FootnoteReference"/>
          <w:rFonts w:ascii="Palatino Linotype" w:hAnsi="Palatino Linotype"/>
        </w:rPr>
        <w:footnoteRef/>
      </w:r>
      <w:r w:rsidR="45A727C0" w:rsidRPr="00E63715">
        <w:rPr>
          <w:rFonts w:ascii="Palatino Linotype" w:hAnsi="Palatino Linotype"/>
        </w:rPr>
        <w:t xml:space="preserve"> California Energy Commission Comments on G-3622 Draft Comment Resolution at p. 1-2 &amp; 7.</w:t>
      </w:r>
    </w:p>
  </w:footnote>
  <w:footnote w:id="124">
    <w:p w14:paraId="40AB8B4F" w14:textId="1AF075B7" w:rsidR="001776BF" w:rsidRPr="00E63715" w:rsidRDefault="001776BF" w:rsidP="001776BF">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00080574" w:rsidRPr="00E63715">
        <w:rPr>
          <w:rFonts w:ascii="Palatino Linotype" w:hAnsi="Palatino Linotype"/>
        </w:rPr>
        <w:t>California Energy Commission Comments on G-3622 Draft Comment Resolution at p. 3.</w:t>
      </w:r>
    </w:p>
  </w:footnote>
  <w:footnote w:id="125">
    <w:p w14:paraId="299E4BED" w14:textId="3BF1FBCE" w:rsidR="00A93086" w:rsidRPr="009F4C48"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This Resolution cites </w:t>
      </w:r>
      <w:hyperlink r:id="rId106" w:history="1">
        <w:r w:rsidRPr="00E63715">
          <w:rPr>
            <w:rStyle w:val="Hyperlink"/>
            <w:rFonts w:ascii="Palatino Linotype" w:hAnsi="Palatino Linotype"/>
          </w:rPr>
          <w:t>Resolution G-3584</w:t>
        </w:r>
      </w:hyperlink>
      <w:r w:rsidRPr="00E63715">
        <w:rPr>
          <w:rFonts w:ascii="Palatino Linotype" w:hAnsi="Palatino Linotype"/>
        </w:rPr>
        <w:t xml:space="preserve"> </w:t>
      </w:r>
      <w:r w:rsidR="00805357" w:rsidRPr="00E63715">
        <w:rPr>
          <w:rFonts w:ascii="Palatino Linotype" w:hAnsi="Palatino Linotype"/>
        </w:rPr>
        <w:t xml:space="preserve">(2022) </w:t>
      </w:r>
      <w:r w:rsidRPr="00E63715">
        <w:rPr>
          <w:rFonts w:ascii="Palatino Linotype" w:hAnsi="Palatino Linotype"/>
        </w:rPr>
        <w:t xml:space="preserve">at p. 8, fn. 6., which states: “’Encumbered funds’ refers to funds that are committed to projects through an executed contract but have not yet been spent. The CEC has budget authority to encumber funds within two years of authorization. ‘Spent funds’ refers to contracted funds that are spent on a project. </w:t>
      </w:r>
      <w:proofErr w:type="gramStart"/>
      <w:r w:rsidRPr="00E63715">
        <w:rPr>
          <w:rFonts w:ascii="Palatino Linotype" w:hAnsi="Palatino Linotype"/>
        </w:rPr>
        <w:t>‘Unspent funds’ refers</w:t>
      </w:r>
      <w:proofErr w:type="gramEnd"/>
      <w:r w:rsidRPr="00E63715">
        <w:rPr>
          <w:rFonts w:ascii="Palatino Linotype" w:hAnsi="Palatino Linotype"/>
        </w:rPr>
        <w:t xml:space="preserve"> to contracted funds that have not yet been spent on a project or funds that have not been encumbered. The CEC has budget authority to spend encumbered funds within four years of encumbering them through a </w:t>
      </w:r>
      <w:proofErr w:type="gramStart"/>
      <w:r w:rsidRPr="00E63715">
        <w:rPr>
          <w:rFonts w:ascii="Palatino Linotype" w:hAnsi="Palatino Linotype"/>
        </w:rPr>
        <w:t>contract.”</w:t>
      </w:r>
      <w:proofErr w:type="gramEnd"/>
    </w:p>
  </w:footnote>
  <w:footnote w:id="126">
    <w:p w14:paraId="38D37A3F" w14:textId="4A132630"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07" w:history="1">
        <w:r w:rsidR="001F1C3D" w:rsidRPr="00E63715">
          <w:rPr>
            <w:rStyle w:val="Hyperlink"/>
            <w:rFonts w:ascii="Palatino Linotype" w:hAnsi="Palatino Linotype"/>
          </w:rPr>
          <w:t>AB 1002</w:t>
        </w:r>
      </w:hyperlink>
      <w:r w:rsidR="001F1C3D" w:rsidRPr="00E63715">
        <w:rPr>
          <w:rFonts w:ascii="Palatino Linotype" w:hAnsi="Palatino Linotype"/>
        </w:rPr>
        <w:t xml:space="preserve"> (Wright, 2000)</w:t>
      </w:r>
      <w:r w:rsidRPr="00E63715">
        <w:rPr>
          <w:rFonts w:ascii="Palatino Linotype" w:hAnsi="Palatino Linotype"/>
        </w:rPr>
        <w:t xml:space="preserve">. </w:t>
      </w:r>
      <w:r w:rsidRPr="00E63715">
        <w:rPr>
          <w:rFonts w:ascii="Palatino Linotype" w:hAnsi="Palatino Linotype"/>
          <w:i/>
          <w:iCs/>
        </w:rPr>
        <w:t xml:space="preserve">Natural Gas: Consumption Surcharge </w:t>
      </w:r>
      <w:r w:rsidRPr="00E63715">
        <w:rPr>
          <w:rFonts w:ascii="Palatino Linotype" w:hAnsi="Palatino Linotype"/>
        </w:rPr>
        <w:t>at Section 895.</w:t>
      </w:r>
    </w:p>
  </w:footnote>
  <w:footnote w:id="127">
    <w:p w14:paraId="240590BD" w14:textId="1FC973DC"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08" w:history="1">
        <w:r w:rsidRPr="00E63715">
          <w:rPr>
            <w:rStyle w:val="Hyperlink"/>
            <w:rFonts w:ascii="Palatino Linotype" w:hAnsi="Palatino Linotype"/>
          </w:rPr>
          <w:t>Resolution G-3484</w:t>
        </w:r>
      </w:hyperlink>
      <w:r w:rsidRPr="00E63715">
        <w:rPr>
          <w:rFonts w:ascii="Palatino Linotype" w:hAnsi="Palatino Linotype"/>
        </w:rPr>
        <w:t xml:space="preserve"> (2013) at p. 5-6; </w:t>
      </w:r>
      <w:hyperlink r:id="rId109" w:history="1">
        <w:r w:rsidRPr="00E63715">
          <w:rPr>
            <w:rStyle w:val="Hyperlink"/>
            <w:rFonts w:ascii="Palatino Linotype" w:hAnsi="Palatino Linotype"/>
          </w:rPr>
          <w:t>Resolution G-3495</w:t>
        </w:r>
      </w:hyperlink>
      <w:r w:rsidRPr="00E63715">
        <w:rPr>
          <w:rFonts w:ascii="Palatino Linotype" w:hAnsi="Palatino Linotype"/>
        </w:rPr>
        <w:t xml:space="preserve"> (2014) at p. 8; </w:t>
      </w:r>
      <w:hyperlink r:id="rId110" w:history="1">
        <w:r w:rsidRPr="00E63715">
          <w:rPr>
            <w:rStyle w:val="Hyperlink"/>
            <w:rFonts w:ascii="Palatino Linotype" w:hAnsi="Palatino Linotype"/>
          </w:rPr>
          <w:t>Resolution G-3507</w:t>
        </w:r>
      </w:hyperlink>
      <w:r w:rsidRPr="00E63715">
        <w:rPr>
          <w:rFonts w:ascii="Palatino Linotype" w:hAnsi="Palatino Linotype"/>
        </w:rPr>
        <w:t xml:space="preserve"> (2015) at p. 6; </w:t>
      </w:r>
      <w:hyperlink r:id="rId111" w:history="1">
        <w:r w:rsidRPr="00E63715">
          <w:rPr>
            <w:rStyle w:val="Hyperlink"/>
            <w:rFonts w:ascii="Palatino Linotype" w:hAnsi="Palatino Linotype"/>
          </w:rPr>
          <w:t>Resolution G-3519</w:t>
        </w:r>
      </w:hyperlink>
      <w:r w:rsidRPr="00E63715">
        <w:rPr>
          <w:rFonts w:ascii="Palatino Linotype" w:hAnsi="Palatino Linotype"/>
        </w:rPr>
        <w:t xml:space="preserve"> (2016) at p. 7; </w:t>
      </w:r>
      <w:hyperlink r:id="rId112" w:history="1">
        <w:r w:rsidRPr="00E63715">
          <w:rPr>
            <w:rStyle w:val="Hyperlink"/>
            <w:rFonts w:ascii="Palatino Linotype" w:hAnsi="Palatino Linotype"/>
          </w:rPr>
          <w:t>Resolution G-3527</w:t>
        </w:r>
      </w:hyperlink>
      <w:r w:rsidRPr="00E63715">
        <w:rPr>
          <w:rFonts w:ascii="Palatino Linotype" w:hAnsi="Palatino Linotype"/>
        </w:rPr>
        <w:t xml:space="preserve"> (2017) at p. 8; </w:t>
      </w:r>
      <w:hyperlink r:id="rId113" w:history="1">
        <w:r w:rsidRPr="00E63715">
          <w:rPr>
            <w:rStyle w:val="Hyperlink"/>
            <w:rFonts w:ascii="Palatino Linotype" w:hAnsi="Palatino Linotype"/>
          </w:rPr>
          <w:t>Resolution G-3546</w:t>
        </w:r>
      </w:hyperlink>
      <w:r w:rsidRPr="00E63715">
        <w:rPr>
          <w:rFonts w:ascii="Palatino Linotype" w:hAnsi="Palatino Linotype"/>
        </w:rPr>
        <w:t xml:space="preserve"> (2019) at p. 5; </w:t>
      </w:r>
      <w:hyperlink r:id="rId114" w:history="1">
        <w:r w:rsidRPr="00E63715">
          <w:rPr>
            <w:rStyle w:val="Hyperlink"/>
            <w:rFonts w:ascii="Palatino Linotype" w:hAnsi="Palatino Linotype"/>
          </w:rPr>
          <w:t>Resolution G-3555</w:t>
        </w:r>
      </w:hyperlink>
      <w:r w:rsidRPr="00E63715">
        <w:rPr>
          <w:rFonts w:ascii="Palatino Linotype" w:hAnsi="Palatino Linotype"/>
        </w:rPr>
        <w:t xml:space="preserve"> (2019) at p. 7; </w:t>
      </w:r>
      <w:hyperlink r:id="rId115" w:history="1">
        <w:r w:rsidRPr="00E63715">
          <w:rPr>
            <w:rStyle w:val="Hyperlink"/>
            <w:rFonts w:ascii="Palatino Linotype" w:hAnsi="Palatino Linotype"/>
          </w:rPr>
          <w:t>Resolution G-3584</w:t>
        </w:r>
      </w:hyperlink>
      <w:r w:rsidRPr="00E63715">
        <w:rPr>
          <w:rFonts w:ascii="Palatino Linotype" w:hAnsi="Palatino Linotype"/>
        </w:rPr>
        <w:t xml:space="preserve"> (2021) at p. 8-9; &amp; </w:t>
      </w:r>
      <w:hyperlink r:id="rId116" w:history="1">
        <w:r w:rsidRPr="00E63715">
          <w:rPr>
            <w:rStyle w:val="Hyperlink"/>
            <w:rFonts w:ascii="Palatino Linotype" w:hAnsi="Palatino Linotype"/>
          </w:rPr>
          <w:t>Resolution G-3592</w:t>
        </w:r>
      </w:hyperlink>
      <w:r w:rsidRPr="00E63715">
        <w:rPr>
          <w:rFonts w:ascii="Palatino Linotype" w:hAnsi="Palatino Linotype"/>
        </w:rPr>
        <w:t xml:space="preserve"> (2023) at p. 14-15. </w:t>
      </w:r>
    </w:p>
  </w:footnote>
  <w:footnote w:id="128">
    <w:p w14:paraId="048E71F0" w14:textId="7C733868"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17" w:history="1">
        <w:r w:rsidRPr="00E63715">
          <w:rPr>
            <w:rStyle w:val="Hyperlink"/>
            <w:rFonts w:ascii="Palatino Linotype" w:hAnsi="Palatino Linotype"/>
          </w:rPr>
          <w:t>Resolution G-3546</w:t>
        </w:r>
      </w:hyperlink>
      <w:r w:rsidRPr="00E63715">
        <w:rPr>
          <w:rFonts w:ascii="Palatino Linotype" w:hAnsi="Palatino Linotype"/>
        </w:rPr>
        <w:t xml:space="preserve"> (2019) at p</w:t>
      </w:r>
      <w:proofErr w:type="gramStart"/>
      <w:r w:rsidRPr="00E63715">
        <w:rPr>
          <w:rFonts w:ascii="Palatino Linotype" w:hAnsi="Palatino Linotype"/>
        </w:rPr>
        <w:t>. 5</w:t>
      </w:r>
      <w:proofErr w:type="gramEnd"/>
      <w:r w:rsidRPr="00E63715">
        <w:rPr>
          <w:rFonts w:ascii="Palatino Linotype" w:hAnsi="Palatino Linotype"/>
        </w:rPr>
        <w:t xml:space="preserve">. </w:t>
      </w:r>
    </w:p>
  </w:footnote>
  <w:footnote w:id="129">
    <w:p w14:paraId="43D8654F" w14:textId="104B9A09" w:rsidR="000C50F0" w:rsidRPr="00F96484" w:rsidRDefault="000C50F0">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00080574" w:rsidRPr="00E63715">
        <w:rPr>
          <w:rFonts w:ascii="Palatino Linotype" w:hAnsi="Palatino Linotype"/>
        </w:rPr>
        <w:t>California Energy Commission Comments on G-3622 Draft Comment Resolution at p. 3.</w:t>
      </w:r>
    </w:p>
  </w:footnote>
  <w:footnote w:id="130">
    <w:p w14:paraId="67B5BE68" w14:textId="3D013C56"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18" w:history="1">
        <w:r w:rsidRPr="00E63715">
          <w:rPr>
            <w:rStyle w:val="Hyperlink"/>
            <w:rFonts w:ascii="Palatino Linotype" w:hAnsi="Palatino Linotype"/>
          </w:rPr>
          <w:t>Resolution G-3495</w:t>
        </w:r>
      </w:hyperlink>
      <w:r w:rsidRPr="00E63715">
        <w:rPr>
          <w:rFonts w:ascii="Palatino Linotype" w:hAnsi="Palatino Linotype"/>
        </w:rPr>
        <w:t xml:space="preserve"> (2014) at p</w:t>
      </w:r>
      <w:proofErr w:type="gramStart"/>
      <w:r w:rsidRPr="00E63715">
        <w:rPr>
          <w:rFonts w:ascii="Palatino Linotype" w:hAnsi="Palatino Linotype"/>
        </w:rPr>
        <w:t>. 9</w:t>
      </w:r>
      <w:proofErr w:type="gramEnd"/>
      <w:r w:rsidRPr="00E63715">
        <w:rPr>
          <w:rFonts w:ascii="Palatino Linotype" w:hAnsi="Palatino Linotype"/>
        </w:rPr>
        <w:t>. The Commission found “it appropriate that the CEC apply the cumulative unspent amount of $4.492 million from previous program cycles to CEC’s funding request at the CPUC for the 2015-16 program cycle, which [resulted] in reducing the amount the CEC [drew] out of the program funds for the 2015-16 program cycle.” See Resolution G-3622 at Appendix E: CEC Gas RD&amp;D Funding Process for Budgets Less Than $24M from the CEC’s FY 2012-2013 Annual Report.</w:t>
      </w:r>
    </w:p>
  </w:footnote>
  <w:footnote w:id="131">
    <w:p w14:paraId="42567ACA" w14:textId="685237B8"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19" w:history="1">
        <w:r w:rsidRPr="00E63715">
          <w:rPr>
            <w:rStyle w:val="Hyperlink"/>
            <w:rFonts w:ascii="Palatino Linotype" w:hAnsi="Palatino Linotype"/>
          </w:rPr>
          <w:t>Resolution G-3603</w:t>
        </w:r>
      </w:hyperlink>
      <w:r w:rsidRPr="00E63715">
        <w:rPr>
          <w:rFonts w:ascii="Palatino Linotype" w:hAnsi="Palatino Linotype"/>
        </w:rPr>
        <w:t xml:space="preserve"> (2024) at p. 8.</w:t>
      </w:r>
    </w:p>
  </w:footnote>
  <w:footnote w:id="132">
    <w:p w14:paraId="65F33A5D" w14:textId="77777777" w:rsidR="009A60AF" w:rsidRPr="00E63715" w:rsidRDefault="009A60AF" w:rsidP="009A60AF">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CEC AL 5-G at p. 13. </w:t>
      </w:r>
    </w:p>
  </w:footnote>
  <w:footnote w:id="133">
    <w:p w14:paraId="5628D42B" w14:textId="0FD931C8" w:rsidR="00A93086" w:rsidRPr="00E63715" w:rsidRDefault="00A93086" w:rsidP="00A93086">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hyperlink r:id="rId120" w:history="1">
        <w:r w:rsidRPr="00E63715">
          <w:rPr>
            <w:rStyle w:val="Hyperlink"/>
            <w:rFonts w:ascii="Palatino Linotype" w:hAnsi="Palatino Linotype"/>
          </w:rPr>
          <w:t>Resolution G-3584</w:t>
        </w:r>
      </w:hyperlink>
      <w:r w:rsidRPr="00E63715">
        <w:rPr>
          <w:rFonts w:ascii="Palatino Linotype" w:hAnsi="Palatino Linotype"/>
        </w:rPr>
        <w:t xml:space="preserve"> (2021) at OP 4.</w:t>
      </w:r>
    </w:p>
  </w:footnote>
  <w:footnote w:id="134">
    <w:p w14:paraId="77605DB2" w14:textId="7496D2C3" w:rsidR="00A93086" w:rsidRDefault="00A93086" w:rsidP="00A93086">
      <w:pPr>
        <w:pStyle w:val="FootnoteText"/>
      </w:pPr>
      <w:r w:rsidRPr="00E63715">
        <w:rPr>
          <w:rStyle w:val="FootnoteReference"/>
          <w:rFonts w:ascii="Palatino Linotype" w:hAnsi="Palatino Linotype"/>
        </w:rPr>
        <w:footnoteRef/>
      </w:r>
      <w:r w:rsidRPr="00E63715">
        <w:rPr>
          <w:rFonts w:ascii="Palatino Linotype" w:hAnsi="Palatino Linotype"/>
        </w:rPr>
        <w:t xml:space="preserve"> </w:t>
      </w:r>
      <w:hyperlink r:id="rId121" w:history="1">
        <w:r w:rsidRPr="00E63715">
          <w:rPr>
            <w:rStyle w:val="Hyperlink"/>
            <w:rFonts w:ascii="Palatino Linotype" w:hAnsi="Palatino Linotype"/>
          </w:rPr>
          <w:t>Resolution G-3592</w:t>
        </w:r>
      </w:hyperlink>
      <w:r w:rsidRPr="00E63715">
        <w:rPr>
          <w:rFonts w:ascii="Palatino Linotype" w:hAnsi="Palatino Linotype"/>
        </w:rPr>
        <w:t xml:space="preserve"> (2023) at OP 7.</w:t>
      </w:r>
    </w:p>
  </w:footnote>
  <w:footnote w:id="135">
    <w:p w14:paraId="4E3D36C5" w14:textId="1DB30103" w:rsidR="00193ABE" w:rsidRPr="00E63715" w:rsidRDefault="00193ABE" w:rsidP="00193ABE">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003E4A3C" w:rsidRPr="00E63715">
        <w:rPr>
          <w:rFonts w:ascii="Palatino Linotype" w:hAnsi="Palatino Linotype"/>
        </w:rPr>
        <w:t>California Energy Commission Comments on G-3622 Draft Comment Resolution at p. 3.</w:t>
      </w:r>
      <w:r w:rsidRPr="00E63715">
        <w:rPr>
          <w:rFonts w:ascii="Palatino Linotype" w:hAnsi="Palatino Linotype"/>
        </w:rPr>
        <w:t xml:space="preserve"> “When a state agency enters into an agreement, it must encumber those funds for the agreement to ensure they are not spent on other costs. California law requires a state agency to pay on a reimbursable basis after the grant recipient has already incurred and paid the cost. Timing of invoices is outside the CEC’s control and depends on the research project schedule and the grant recipient.”</w:t>
      </w:r>
    </w:p>
  </w:footnote>
  <w:footnote w:id="136">
    <w:p w14:paraId="00197BBE" w14:textId="4AE55C12" w:rsidR="00CD495B" w:rsidRPr="00E63715" w:rsidRDefault="00CD495B">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w:t>
      </w:r>
      <w:r w:rsidR="00C97BDB" w:rsidRPr="00E63715">
        <w:rPr>
          <w:rFonts w:ascii="Palatino Linotype" w:hAnsi="Palatino Linotype"/>
        </w:rPr>
        <w:t xml:space="preserve">California Energy Commission Comments on G-3622 Draft Comment Resolution at p. </w:t>
      </w:r>
      <w:r w:rsidR="003E4A3C" w:rsidRPr="00E63715">
        <w:rPr>
          <w:rFonts w:ascii="Palatino Linotype" w:hAnsi="Palatino Linotype"/>
        </w:rPr>
        <w:t>3.</w:t>
      </w:r>
    </w:p>
  </w:footnote>
  <w:footnote w:id="137">
    <w:p w14:paraId="1A08FD5F" w14:textId="6D78CA1D" w:rsidR="00BC7673" w:rsidRDefault="00BC7673">
      <w:pPr>
        <w:pStyle w:val="FootnoteText"/>
      </w:pPr>
      <w:r w:rsidRPr="00E63715">
        <w:rPr>
          <w:rStyle w:val="FootnoteReference"/>
          <w:rFonts w:ascii="Palatino Linotype" w:hAnsi="Palatino Linotype"/>
        </w:rPr>
        <w:footnoteRef/>
      </w:r>
      <w:r w:rsidRPr="00E63715">
        <w:rPr>
          <w:rFonts w:ascii="Palatino Linotype" w:hAnsi="Palatino Linotype"/>
        </w:rPr>
        <w:t xml:space="preserve"> </w:t>
      </w:r>
      <w:r w:rsidR="00C97BDB" w:rsidRPr="00E63715">
        <w:rPr>
          <w:rFonts w:ascii="Palatino Linotype" w:hAnsi="Palatino Linotype"/>
        </w:rPr>
        <w:t xml:space="preserve">California Energy Commission Comments on G-3622 Draft Comment Resolution at p. </w:t>
      </w:r>
      <w:r w:rsidR="000A1BE2" w:rsidRPr="00E63715">
        <w:rPr>
          <w:rFonts w:ascii="Palatino Linotype" w:hAnsi="Palatino Linotype"/>
        </w:rPr>
        <w:t>3.</w:t>
      </w:r>
    </w:p>
  </w:footnote>
  <w:footnote w:id="138">
    <w:p w14:paraId="416F81CC" w14:textId="52ED90CD" w:rsidR="00757A89" w:rsidRPr="00E63715" w:rsidRDefault="00757A89" w:rsidP="00757A89">
      <w:pPr>
        <w:pStyle w:val="FootnoteText"/>
        <w:rPr>
          <w:rFonts w:ascii="Palatino Linotype" w:hAnsi="Palatino Linotype"/>
        </w:rPr>
      </w:pPr>
      <w:r w:rsidRPr="00E63715">
        <w:rPr>
          <w:rStyle w:val="FootnoteReference"/>
          <w:rFonts w:ascii="Palatino Linotype" w:hAnsi="Palatino Linotype"/>
        </w:rPr>
        <w:footnoteRef/>
      </w:r>
      <w:r w:rsidRPr="00E63715">
        <w:rPr>
          <w:rFonts w:ascii="Palatino Linotype" w:hAnsi="Palatino Linotype"/>
        </w:rPr>
        <w:t xml:space="preserve"> This Resolution does not seek to divert any portion of the CEC’s $53,603,242 balance of approved funding which are found to be within the PU</w:t>
      </w:r>
      <w:r w:rsidR="00FB2A6F" w:rsidRPr="00E63715">
        <w:rPr>
          <w:rFonts w:ascii="Palatino Linotype" w:hAnsi="Palatino Linotype"/>
        </w:rPr>
        <w:t xml:space="preserve"> Code</w:t>
      </w:r>
      <w:r w:rsidRPr="00E63715">
        <w:rPr>
          <w:rFonts w:ascii="Palatino Linotype" w:hAnsi="Palatino Linotype"/>
        </w:rPr>
        <w:t xml:space="preserve"> Section 384 encumbrance and spending windows based on data provided in April 2026.</w:t>
      </w:r>
    </w:p>
  </w:footnote>
  <w:footnote w:id="139">
    <w:p w14:paraId="3FEACE38" w14:textId="77777777" w:rsidR="00DD4E2F" w:rsidRPr="006F52BC" w:rsidRDefault="00DD4E2F" w:rsidP="00DD4E2F">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at p. 3-5.</w:t>
      </w:r>
    </w:p>
  </w:footnote>
  <w:footnote w:id="140">
    <w:p w14:paraId="195208A0" w14:textId="10E0787A" w:rsidR="007B483E" w:rsidRPr="006F52BC" w:rsidRDefault="007B483E" w:rsidP="007B483E">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22" w:history="1">
        <w:r w:rsidRPr="006F52BC">
          <w:rPr>
            <w:rStyle w:val="Hyperlink"/>
            <w:rFonts w:ascii="Palatino Linotype" w:hAnsi="Palatino Linotype"/>
          </w:rPr>
          <w:t>Resolution G-3546</w:t>
        </w:r>
      </w:hyperlink>
      <w:r w:rsidRPr="006F52BC">
        <w:rPr>
          <w:rFonts w:ascii="Palatino Linotype" w:hAnsi="Palatino Linotype"/>
        </w:rPr>
        <w:t xml:space="preserve"> (2019) at p. 7. “The CEC’s request for administrative expenses ($2.4 million, or 10 percent of the total proposed budget) is appropriate and in line with historical program administration costs. We adopt this limit and require the CEC to adhere to it and encourage the CEC to continue to keep such expenses at 10 percent or less for future budget proposals.”</w:t>
      </w:r>
    </w:p>
  </w:footnote>
  <w:footnote w:id="141">
    <w:p w14:paraId="0569E9A5" w14:textId="77777777" w:rsidR="001666C9" w:rsidRPr="005A57CE" w:rsidRDefault="001666C9" w:rsidP="001666C9">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23" w:history="1">
        <w:r w:rsidRPr="006F52BC">
          <w:rPr>
            <w:rStyle w:val="Hyperlink"/>
            <w:rFonts w:ascii="Palatino Linotype" w:hAnsi="Palatino Linotype"/>
          </w:rPr>
          <w:t>Resolution G-3546</w:t>
        </w:r>
      </w:hyperlink>
      <w:r w:rsidRPr="006F52BC">
        <w:rPr>
          <w:rFonts w:ascii="Palatino Linotype" w:hAnsi="Palatino Linotype"/>
        </w:rPr>
        <w:t xml:space="preserve"> (2019) at p. 7 &amp; </w:t>
      </w:r>
      <w:hyperlink r:id="rId124" w:history="1">
        <w:r w:rsidRPr="006F52BC">
          <w:rPr>
            <w:rStyle w:val="Hyperlink"/>
            <w:rFonts w:ascii="Palatino Linotype" w:hAnsi="Palatino Linotype"/>
          </w:rPr>
          <w:t>Resolution G-3592</w:t>
        </w:r>
      </w:hyperlink>
      <w:r w:rsidRPr="006F52BC">
        <w:rPr>
          <w:rFonts w:ascii="Palatino Linotype" w:hAnsi="Palatino Linotype"/>
        </w:rPr>
        <w:t xml:space="preserve"> (2023) at OP 2 &amp; p. 20.</w:t>
      </w:r>
    </w:p>
  </w:footnote>
  <w:footnote w:id="142">
    <w:p w14:paraId="0D06F3A0" w14:textId="77777777" w:rsidR="00A93086" w:rsidRPr="006F52BC" w:rsidRDefault="00A93086" w:rsidP="00A93086">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25" w:history="1">
        <w:r w:rsidRPr="006F52BC">
          <w:rPr>
            <w:rStyle w:val="Hyperlink"/>
            <w:rFonts w:ascii="Palatino Linotype" w:hAnsi="Palatino Linotype"/>
          </w:rPr>
          <w:t>D.04-08-010</w:t>
        </w:r>
      </w:hyperlink>
      <w:r w:rsidRPr="006F52BC">
        <w:rPr>
          <w:rFonts w:ascii="Palatino Linotype" w:hAnsi="Palatino Linotype"/>
          <w:color w:val="000000" w:themeColor="text1"/>
        </w:rPr>
        <w:t xml:space="preserve"> at </w:t>
      </w:r>
      <w:r w:rsidRPr="006F52BC">
        <w:rPr>
          <w:rFonts w:ascii="Palatino Linotype" w:hAnsi="Palatino Linotype"/>
        </w:rPr>
        <w:t>p. 28. “[I]n addition to meeting the adopted definition of public interest R&amp;D, we expect that approved gas R&amp;D projects will meet the following criteria: 1) Focus on energy efficiency, renewable technologies, conservation and environmental issues 2) Support State Energy policy 3) Offer a reasonable probability of providing benefits to the general public, and 4) Consider opportunities for collaboration and co-funding opportunities with other entities.”</w:t>
      </w:r>
    </w:p>
  </w:footnote>
  <w:footnote w:id="143">
    <w:p w14:paraId="0095021D" w14:textId="77777777" w:rsidR="00662B61" w:rsidRPr="006F52BC" w:rsidRDefault="00662B61" w:rsidP="00662B61">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at p. 6-7.</w:t>
      </w:r>
    </w:p>
  </w:footnote>
  <w:footnote w:id="144">
    <w:p w14:paraId="5EBCF366" w14:textId="77777777" w:rsidR="00A93086" w:rsidRPr="006F52BC" w:rsidRDefault="00A93086" w:rsidP="00A93086">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26" w:history="1">
        <w:r w:rsidRPr="006F52BC">
          <w:rPr>
            <w:rStyle w:val="Hyperlink"/>
            <w:rFonts w:ascii="Palatino Linotype" w:hAnsi="Palatino Linotype"/>
          </w:rPr>
          <w:t>D.23-04-042</w:t>
        </w:r>
      </w:hyperlink>
      <w:r w:rsidRPr="006F52BC">
        <w:rPr>
          <w:rFonts w:ascii="Palatino Linotype" w:hAnsi="Palatino Linotype"/>
        </w:rPr>
        <w:t xml:space="preserve"> at OP 3 &amp; </w:t>
      </w:r>
      <w:hyperlink r:id="rId127" w:history="1">
        <w:r w:rsidRPr="006F52BC">
          <w:rPr>
            <w:rStyle w:val="Hyperlink"/>
            <w:rFonts w:ascii="Palatino Linotype" w:hAnsi="Palatino Linotype"/>
          </w:rPr>
          <w:t>D.24-03-007</w:t>
        </w:r>
      </w:hyperlink>
      <w:r w:rsidRPr="006F52BC">
        <w:rPr>
          <w:rFonts w:ascii="Palatino Linotype" w:hAnsi="Palatino Linotype"/>
        </w:rPr>
        <w:t>.</w:t>
      </w:r>
    </w:p>
  </w:footnote>
  <w:footnote w:id="145">
    <w:p w14:paraId="11D28BB1" w14:textId="77777777" w:rsidR="00A93086" w:rsidRPr="006F52BC" w:rsidRDefault="00A93086" w:rsidP="00A93086">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28" w:history="1">
        <w:r w:rsidRPr="006F52BC">
          <w:rPr>
            <w:rStyle w:val="Hyperlink"/>
            <w:rFonts w:ascii="Palatino Linotype" w:hAnsi="Palatino Linotype"/>
          </w:rPr>
          <w:t>Resolution G-3618</w:t>
        </w:r>
      </w:hyperlink>
      <w:r w:rsidRPr="006F52BC">
        <w:rPr>
          <w:rFonts w:ascii="Palatino Linotype" w:hAnsi="Palatino Linotype"/>
        </w:rPr>
        <w:t xml:space="preserve"> (2026) at p. 25 &amp; OP 11.</w:t>
      </w:r>
    </w:p>
  </w:footnote>
  <w:footnote w:id="146">
    <w:p w14:paraId="39298229" w14:textId="77777777" w:rsidR="00771701" w:rsidRDefault="00771701" w:rsidP="00771701">
      <w:pPr>
        <w:pStyle w:val="FootnoteText"/>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at p. 7.</w:t>
      </w:r>
    </w:p>
  </w:footnote>
  <w:footnote w:id="147">
    <w:p w14:paraId="27B0B5FA" w14:textId="77777777" w:rsidR="0043544B" w:rsidRPr="006F52BC" w:rsidRDefault="0043544B" w:rsidP="0043544B">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8.</w:t>
      </w:r>
    </w:p>
  </w:footnote>
  <w:footnote w:id="148">
    <w:p w14:paraId="3468B59E" w14:textId="77777777" w:rsidR="00EA25C3" w:rsidRDefault="00EA25C3" w:rsidP="00EA25C3">
      <w:pPr>
        <w:pStyle w:val="FootnoteText"/>
      </w:pPr>
      <w:r w:rsidRPr="006F52BC">
        <w:rPr>
          <w:rStyle w:val="FootnoteReference"/>
          <w:rFonts w:ascii="Palatino Linotype" w:hAnsi="Palatino Linotype"/>
        </w:rPr>
        <w:footnoteRef/>
      </w:r>
      <w:r w:rsidRPr="006F52BC">
        <w:rPr>
          <w:rFonts w:ascii="Palatino Linotype" w:hAnsi="Palatino Linotype"/>
        </w:rPr>
        <w:t xml:space="preserve"> This Resolution modifies </w:t>
      </w:r>
      <w:hyperlink r:id="rId129" w:history="1">
        <w:r w:rsidRPr="006F52BC">
          <w:rPr>
            <w:rStyle w:val="Hyperlink"/>
            <w:rFonts w:ascii="Palatino Linotype" w:eastAsia="Century Gothic" w:hAnsi="Palatino Linotype" w:cs="Century Gothic"/>
          </w:rPr>
          <w:t>Resolution G-3592</w:t>
        </w:r>
      </w:hyperlink>
      <w:r w:rsidRPr="006F52BC">
        <w:rPr>
          <w:rFonts w:ascii="Palatino Linotype" w:eastAsia="Century Gothic" w:hAnsi="Palatino Linotype" w:cs="Century Gothic"/>
        </w:rPr>
        <w:t xml:space="preserve"> (2023) at OP 7: The CEC is no longer required to list all spent, encumbered, and uncommitted funds organized by Gas R&amp;D initiative in its Annual Plans.</w:t>
      </w:r>
    </w:p>
  </w:footnote>
  <w:footnote w:id="149">
    <w:p w14:paraId="6815A6A2" w14:textId="77777777" w:rsidR="007142D1" w:rsidRPr="006F52BC" w:rsidRDefault="007142D1" w:rsidP="007142D1">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8-9.</w:t>
      </w:r>
    </w:p>
  </w:footnote>
  <w:footnote w:id="150">
    <w:p w14:paraId="4335439C" w14:textId="77777777" w:rsidR="009952A8" w:rsidRPr="006F52BC" w:rsidRDefault="009952A8" w:rsidP="009952A8">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9-10.</w:t>
      </w:r>
    </w:p>
  </w:footnote>
  <w:footnote w:id="151">
    <w:p w14:paraId="58D25F64" w14:textId="77777777" w:rsidR="00610933" w:rsidRPr="006F52BC" w:rsidRDefault="00610933" w:rsidP="00610933">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30">
        <w:r w:rsidRPr="006F52BC">
          <w:rPr>
            <w:rStyle w:val="Hyperlink"/>
            <w:rFonts w:ascii="Palatino Linotype" w:eastAsia="Palatino Linotype" w:hAnsi="Palatino Linotype" w:cs="Palatino Linotype"/>
          </w:rPr>
          <w:t>D.04-08-010</w:t>
        </w:r>
      </w:hyperlink>
      <w:r w:rsidRPr="006F52BC">
        <w:rPr>
          <w:rFonts w:ascii="Palatino Linotype" w:eastAsia="Palatino Linotype" w:hAnsi="Palatino Linotype" w:cs="Palatino Linotype"/>
        </w:rPr>
        <w:t xml:space="preserve"> at p. 41.</w:t>
      </w:r>
    </w:p>
  </w:footnote>
  <w:footnote w:id="152">
    <w:p w14:paraId="5FDD5B22" w14:textId="77777777" w:rsidR="00761DE5" w:rsidRPr="006F52BC" w:rsidRDefault="00761DE5" w:rsidP="00761DE5">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hyperlink r:id="rId131">
        <w:r w:rsidRPr="006F52BC">
          <w:rPr>
            <w:rStyle w:val="Hyperlink"/>
            <w:rFonts w:ascii="Palatino Linotype" w:eastAsia="Palatino Linotype" w:hAnsi="Palatino Linotype" w:cs="Palatino Linotype"/>
          </w:rPr>
          <w:t>D.04-08-010</w:t>
        </w:r>
      </w:hyperlink>
      <w:r w:rsidRPr="006F52BC">
        <w:rPr>
          <w:rFonts w:ascii="Palatino Linotype" w:eastAsia="Palatino Linotype" w:hAnsi="Palatino Linotype" w:cs="Palatino Linotype"/>
        </w:rPr>
        <w:t xml:space="preserve"> at p. 44.</w:t>
      </w:r>
    </w:p>
  </w:footnote>
  <w:footnote w:id="153">
    <w:p w14:paraId="617304AB" w14:textId="03AEC161" w:rsidR="00D522C7" w:rsidRDefault="00D522C7">
      <w:pPr>
        <w:pStyle w:val="FootnoteText"/>
      </w:pPr>
      <w:r w:rsidRPr="006F52BC">
        <w:rPr>
          <w:rStyle w:val="FootnoteReference"/>
          <w:rFonts w:ascii="Palatino Linotype" w:hAnsi="Palatino Linotype"/>
        </w:rPr>
        <w:footnoteRef/>
      </w:r>
      <w:r w:rsidRPr="006F52BC">
        <w:rPr>
          <w:rFonts w:ascii="Palatino Linotype" w:hAnsi="Palatino Linotype"/>
        </w:rPr>
        <w:t xml:space="preserve"> </w:t>
      </w:r>
      <w:hyperlink r:id="rId132">
        <w:r w:rsidRPr="006F52BC">
          <w:rPr>
            <w:rStyle w:val="Hyperlink"/>
            <w:rFonts w:ascii="Palatino Linotype" w:eastAsia="Palatino Linotype" w:hAnsi="Palatino Linotype" w:cs="Palatino Linotype"/>
          </w:rPr>
          <w:t>D.04-08-010</w:t>
        </w:r>
      </w:hyperlink>
      <w:r w:rsidRPr="006F52BC">
        <w:rPr>
          <w:rFonts w:ascii="Palatino Linotype" w:eastAsia="Palatino Linotype" w:hAnsi="Palatino Linotype" w:cs="Palatino Linotype"/>
        </w:rPr>
        <w:t xml:space="preserve"> at p</w:t>
      </w:r>
      <w:proofErr w:type="gramStart"/>
      <w:r w:rsidRPr="006F52BC">
        <w:rPr>
          <w:rFonts w:ascii="Palatino Linotype" w:eastAsia="Palatino Linotype" w:hAnsi="Palatino Linotype" w:cs="Palatino Linotype"/>
        </w:rPr>
        <w:t>. 32</w:t>
      </w:r>
      <w:proofErr w:type="gramEnd"/>
      <w:r w:rsidRPr="006F52BC">
        <w:rPr>
          <w:rFonts w:ascii="Palatino Linotype" w:eastAsia="Palatino Linotype" w:hAnsi="Palatino Linotype" w:cs="Palatino Linotype"/>
        </w:rPr>
        <w:t>.</w:t>
      </w:r>
    </w:p>
  </w:footnote>
  <w:footnote w:id="154">
    <w:p w14:paraId="4A80D49F" w14:textId="77777777" w:rsidR="007E3A26" w:rsidRPr="006F52BC" w:rsidRDefault="007E3A26" w:rsidP="007E3A26">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10.</w:t>
      </w:r>
    </w:p>
  </w:footnote>
  <w:footnote w:id="155">
    <w:p w14:paraId="2C0EF60B" w14:textId="4AC1267B" w:rsidR="003E5917" w:rsidRPr="006F52BC" w:rsidRDefault="003E5917">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w:t>
      </w:r>
      <w:r w:rsidRPr="006F52BC">
        <w:rPr>
          <w:rFonts w:ascii="Palatino Linotype" w:hAnsi="Palatino Linotype"/>
          <w:color w:val="467885"/>
          <w:u w:val="single"/>
        </w:rPr>
        <w:t>Resolution G-3603</w:t>
      </w:r>
      <w:r w:rsidRPr="006F52BC">
        <w:rPr>
          <w:rFonts w:ascii="Palatino Linotype" w:hAnsi="Palatino Linotype"/>
          <w:b/>
          <w:bCs/>
          <w:color w:val="467885"/>
        </w:rPr>
        <w:t xml:space="preserve"> </w:t>
      </w:r>
      <w:r w:rsidRPr="006F52BC">
        <w:rPr>
          <w:rFonts w:ascii="Palatino Linotype" w:hAnsi="Palatino Linotype"/>
        </w:rPr>
        <w:t>(2024) at OP 6. Requires the CEC to “use this framework to demonstrate outcomes of achieving its proposed benefits for all current and future research projects including through quantitative methodologies.”</w:t>
      </w:r>
    </w:p>
  </w:footnote>
  <w:footnote w:id="156">
    <w:p w14:paraId="2A9F43A3" w14:textId="386157CA" w:rsidR="00A93086" w:rsidRPr="006F52BC" w:rsidRDefault="00A93086" w:rsidP="00A93086">
      <w:pPr>
        <w:pStyle w:val="Default"/>
        <w:rPr>
          <w:sz w:val="20"/>
          <w:szCs w:val="20"/>
        </w:rPr>
      </w:pPr>
      <w:r w:rsidRPr="006F52BC">
        <w:rPr>
          <w:rStyle w:val="FootnoteReference"/>
          <w:sz w:val="20"/>
          <w:szCs w:val="20"/>
        </w:rPr>
        <w:footnoteRef/>
      </w:r>
      <w:r w:rsidR="00FE08DD" w:rsidRPr="006F52BC">
        <w:rPr>
          <w:sz w:val="20"/>
          <w:szCs w:val="20"/>
        </w:rPr>
        <w:t xml:space="preserve"> Adopted in </w:t>
      </w:r>
      <w:hyperlink r:id="rId133" w:tgtFrame="_blank" w:history="1">
        <w:r w:rsidR="00FE08DD" w:rsidRPr="006F52BC">
          <w:rPr>
            <w:rStyle w:val="Hyperlink"/>
            <w:sz w:val="20"/>
            <w:szCs w:val="20"/>
          </w:rPr>
          <w:t>D.23-04-042</w:t>
        </w:r>
      </w:hyperlink>
      <w:r w:rsidR="00FE08DD" w:rsidRPr="006F52BC">
        <w:rPr>
          <w:sz w:val="20"/>
          <w:szCs w:val="20"/>
        </w:rPr>
        <w:t xml:space="preserve"> at Appendix A.</w:t>
      </w:r>
    </w:p>
  </w:footnote>
  <w:footnote w:id="157">
    <w:p w14:paraId="43186793" w14:textId="77777777" w:rsidR="002E357E" w:rsidRPr="009B641B" w:rsidRDefault="002E357E" w:rsidP="002E357E">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11.</w:t>
      </w:r>
    </w:p>
  </w:footnote>
  <w:footnote w:id="158">
    <w:p w14:paraId="359B26C7" w14:textId="77777777" w:rsidR="00696FB8" w:rsidRPr="006F52BC" w:rsidRDefault="00696FB8" w:rsidP="00696FB8">
      <w:pPr>
        <w:pStyle w:val="FootnoteText"/>
        <w:rPr>
          <w:rFonts w:ascii="Palatino Linotype" w:hAnsi="Palatino Linotype"/>
        </w:rPr>
      </w:pPr>
      <w:r w:rsidRPr="006F52BC">
        <w:rPr>
          <w:rStyle w:val="FootnoteReference"/>
          <w:rFonts w:ascii="Palatino Linotype" w:hAnsi="Palatino Linotype"/>
        </w:rPr>
        <w:footnoteRef/>
      </w:r>
      <w:r w:rsidRPr="006F52BC">
        <w:rPr>
          <w:rFonts w:ascii="Palatino Linotype" w:hAnsi="Palatino Linotype"/>
        </w:rPr>
        <w:t xml:space="preserve"> California Energy Commission Comments on G-3622 Draft Comment Resolution </w:t>
      </w:r>
      <w:proofErr w:type="gramStart"/>
      <w:r w:rsidRPr="006F52BC">
        <w:rPr>
          <w:rFonts w:ascii="Palatino Linotype" w:hAnsi="Palatino Linotype"/>
        </w:rPr>
        <w:t>at p.</w:t>
      </w:r>
      <w:proofErr w:type="gramEnd"/>
      <w:r w:rsidRPr="006F52BC">
        <w:rPr>
          <w:rFonts w:ascii="Palatino Linotype" w:hAnsi="Palatino Linotype"/>
        </w:rPr>
        <w:t xml:space="preserve"> 11.</w:t>
      </w:r>
    </w:p>
  </w:footnote>
  <w:footnote w:id="159">
    <w:p w14:paraId="66F3E573" w14:textId="64EBC2B2" w:rsidR="001258E1" w:rsidRDefault="001258E1">
      <w:pPr>
        <w:pStyle w:val="FootnoteText"/>
      </w:pPr>
      <w:r w:rsidRPr="006F52BC">
        <w:rPr>
          <w:rStyle w:val="FootnoteReference"/>
          <w:rFonts w:ascii="Palatino Linotype" w:hAnsi="Palatino Linotype"/>
        </w:rPr>
        <w:footnoteRef/>
      </w:r>
      <w:r w:rsidRPr="006F52BC">
        <w:rPr>
          <w:rFonts w:ascii="Palatino Linotype" w:hAnsi="Palatino Linotype"/>
        </w:rPr>
        <w:t xml:space="preserve"> </w:t>
      </w:r>
      <w:hyperlink r:id="rId134" w:history="1">
        <w:r w:rsidRPr="006F52BC">
          <w:rPr>
            <w:rStyle w:val="Hyperlink"/>
            <w:rFonts w:ascii="Palatino Linotype" w:hAnsi="Palatino Linotype"/>
          </w:rPr>
          <w:t>D.04-08-010</w:t>
        </w:r>
      </w:hyperlink>
      <w:r w:rsidRPr="006F52BC">
        <w:rPr>
          <w:rFonts w:ascii="Palatino Linotype" w:hAnsi="Palatino Linotype"/>
        </w:rPr>
        <w:t xml:space="preserve"> at p. 42 &amp; 44.</w:t>
      </w:r>
      <w:r w:rsidRPr="006F52BC" w:rsidDel="00916AD1">
        <w:rPr>
          <w:rFonts w:ascii="Palatino Linotype" w:hAnsi="Palatino Linotype"/>
        </w:rPr>
        <w:t xml:space="preserve"> </w:t>
      </w:r>
      <w:r w:rsidRPr="006F52BC">
        <w:rPr>
          <w:rFonts w:ascii="Palatino Linotype" w:hAnsi="Palatino Linotype"/>
        </w:rPr>
        <w:t xml:space="preserve">The refinement of reporting guidance to meet in-place requirements is consistent with </w:t>
      </w:r>
      <w:hyperlink r:id="rId135" w:history="1">
        <w:r w:rsidRPr="006F52BC">
          <w:rPr>
            <w:rStyle w:val="Hyperlink"/>
            <w:rFonts w:ascii="Palatino Linotype" w:hAnsi="Palatino Linotype"/>
          </w:rPr>
          <w:t>Resolution G-3555</w:t>
        </w:r>
      </w:hyperlink>
      <w:r w:rsidRPr="006F52BC">
        <w:rPr>
          <w:rFonts w:ascii="Palatino Linotype" w:hAnsi="Palatino Linotype"/>
        </w:rPr>
        <w:t xml:space="preserve"> (2019) at p. 7-8</w:t>
      </w:r>
      <w:r w:rsidR="005E7C64" w:rsidRPr="006F52BC">
        <w:rPr>
          <w:rFonts w:ascii="Palatino Linotype" w:hAnsi="Palatino Linotype"/>
        </w:rPr>
        <w:t>:</w:t>
      </w:r>
      <w:r w:rsidRPr="006F52BC">
        <w:rPr>
          <w:rFonts w:ascii="Palatino Linotype" w:hAnsi="Palatino Linotype"/>
        </w:rPr>
        <w:t xml:space="preserve"> The Commission required the CEC to provide a report to Energy Division for the period FY 2014-2015 to FY 2018-2019 because “a review of Gas R&amp;D Plans from FY 2014-2015 to FY 2019-2020 [showed] that a full accounting of then-current unspent funds [had] never been given. That is, CEC [had] not provided the Commission with the expiration date, encumbrances, or respective research area of unspent funds for any year in which this requirement has been in force. Instead, CEC has provided only the total amount of then-current unspent funds for each fiscal year’s plan.”</w:t>
      </w:r>
    </w:p>
  </w:footnote>
  <w:footnote w:id="160">
    <w:p w14:paraId="34328A29" w14:textId="24A4A5FE" w:rsidR="001207B9" w:rsidRPr="001207B9" w:rsidRDefault="001207B9">
      <w:pPr>
        <w:pStyle w:val="FootnoteText"/>
        <w:rPr>
          <w:rFonts w:ascii="Palatino Linotype" w:hAnsi="Palatino Linotype"/>
        </w:rPr>
      </w:pPr>
      <w:r w:rsidRPr="007033DF">
        <w:rPr>
          <w:rStyle w:val="FootnoteReference"/>
          <w:rFonts w:ascii="Palatino Linotype" w:hAnsi="Palatino Linotype"/>
          <w:color w:val="000000" w:themeColor="text1"/>
        </w:rPr>
        <w:footnoteRef/>
      </w:r>
      <w:r w:rsidRPr="007033DF">
        <w:rPr>
          <w:rFonts w:ascii="Palatino Linotype" w:hAnsi="Palatino Linotype"/>
          <w:color w:val="000000" w:themeColor="text1"/>
        </w:rPr>
        <w:t xml:space="preserve"> Also required in the CEC’s Gas RD&amp;D Annual Reports.</w:t>
      </w:r>
    </w:p>
  </w:footnote>
  <w:footnote w:id="161">
    <w:p w14:paraId="7338F50E" w14:textId="6C9FAB44" w:rsidR="00D64F3D" w:rsidRDefault="00D64F3D">
      <w:pPr>
        <w:pStyle w:val="FootnoteText"/>
      </w:pPr>
      <w:r>
        <w:rPr>
          <w:rStyle w:val="FootnoteReference"/>
        </w:rPr>
        <w:footnoteRef/>
      </w:r>
      <w:r>
        <w:t xml:space="preserve"> </w:t>
      </w:r>
      <w:r w:rsidRPr="007B55AC">
        <w:rPr>
          <w:rFonts w:ascii="Palatino Linotype" w:eastAsia="Palatino Linotype" w:hAnsi="Palatino Linotype"/>
          <w:color w:val="000000" w:themeColor="text1"/>
        </w:rPr>
        <w:t xml:space="preserve">To accommodate the transition from FY to CY reporting, CEC’s next Annual Report, currently due October 31, 2026, shall be due June 1, 2027, for a one-and-a-half-year period: July 2025 through </w:t>
      </w:r>
      <w:r w:rsidRPr="007033DF">
        <w:rPr>
          <w:rFonts w:ascii="Palatino Linotype" w:eastAsia="Palatino Linotype" w:hAnsi="Palatino Linotype"/>
          <w:color w:val="000000" w:themeColor="text1"/>
        </w:rPr>
        <w:t>December 2026.</w:t>
      </w:r>
    </w:p>
  </w:footnote>
  <w:footnote w:id="162">
    <w:p w14:paraId="00A6140D" w14:textId="77777777" w:rsidR="00521CDB" w:rsidRPr="00E461D2" w:rsidRDefault="00521CDB" w:rsidP="00521CDB">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hyperlink r:id="rId136" w:history="1">
        <w:r w:rsidRPr="00E461D2">
          <w:rPr>
            <w:rStyle w:val="Hyperlink"/>
            <w:rFonts w:ascii="Palatino Linotype" w:hAnsi="Palatino Linotype"/>
          </w:rPr>
          <w:t>Resolution G-3371</w:t>
        </w:r>
      </w:hyperlink>
      <w:r w:rsidRPr="00E461D2">
        <w:rPr>
          <w:rFonts w:ascii="Palatino Linotype" w:hAnsi="Palatino Linotype"/>
        </w:rPr>
        <w:t xml:space="preserve"> (2004): Approving CEC’s CY 2005 Gas RD&amp;D Plan.</w:t>
      </w:r>
    </w:p>
  </w:footnote>
  <w:footnote w:id="163">
    <w:p w14:paraId="64A7C57A" w14:textId="77777777" w:rsidR="00186D4F" w:rsidRPr="00E461D2" w:rsidRDefault="00186D4F" w:rsidP="00186D4F">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This Resolution modifies this requirement: CEC’s Annual Reports will be due June 1, pertaining to the calendar year beginning in 2027.</w:t>
      </w:r>
    </w:p>
  </w:footnote>
  <w:footnote w:id="164">
    <w:p w14:paraId="29423E39" w14:textId="65CA9E06"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hyperlink r:id="rId137" w:history="1">
        <w:r w:rsidRPr="00E461D2">
          <w:rPr>
            <w:rStyle w:val="Hyperlink"/>
            <w:rFonts w:ascii="Palatino Linotype" w:hAnsi="Palatino Linotype"/>
          </w:rPr>
          <w:t>Public Utilities Code Section 384</w:t>
        </w:r>
      </w:hyperlink>
      <w:r w:rsidRPr="00E461D2">
        <w:rPr>
          <w:rFonts w:ascii="Palatino Linotype" w:hAnsi="Palatino Linotype"/>
        </w:rPr>
        <w:t xml:space="preserve"> at (a) “Any appropriations that are made from the fund shall have an encumbrance period of </w:t>
      </w:r>
      <w:proofErr w:type="spellStart"/>
      <w:r w:rsidRPr="00E461D2">
        <w:rPr>
          <w:rFonts w:ascii="Palatino Linotype" w:hAnsi="Palatino Linotype"/>
        </w:rPr>
        <w:t>not longer</w:t>
      </w:r>
      <w:proofErr w:type="spellEnd"/>
      <w:r w:rsidRPr="00E461D2">
        <w:rPr>
          <w:rFonts w:ascii="Palatino Linotype" w:hAnsi="Palatino Linotype"/>
        </w:rPr>
        <w:t xml:space="preserve"> than two years, and a liquidation period of </w:t>
      </w:r>
      <w:proofErr w:type="spellStart"/>
      <w:r w:rsidRPr="00E461D2">
        <w:rPr>
          <w:rFonts w:ascii="Palatino Linotype" w:hAnsi="Palatino Linotype"/>
        </w:rPr>
        <w:t>not longer</w:t>
      </w:r>
      <w:proofErr w:type="spellEnd"/>
      <w:r w:rsidRPr="00E461D2">
        <w:rPr>
          <w:rFonts w:ascii="Palatino Linotype" w:hAnsi="Palatino Linotype"/>
        </w:rPr>
        <w:t xml:space="preserve"> than four years.” </w:t>
      </w:r>
      <w:r w:rsidR="009F63B2" w:rsidRPr="00E461D2">
        <w:rPr>
          <w:rFonts w:ascii="Palatino Linotype" w:hAnsi="Palatino Linotype"/>
        </w:rPr>
        <w:t xml:space="preserve">Consistent with </w:t>
      </w:r>
      <w:hyperlink r:id="rId138" w:history="1">
        <w:r w:rsidR="009C42C2" w:rsidRPr="00E461D2">
          <w:rPr>
            <w:rStyle w:val="Hyperlink"/>
            <w:rFonts w:ascii="Palatino Linotype" w:hAnsi="Palatino Linotype"/>
          </w:rPr>
          <w:t>Resolution G-3495</w:t>
        </w:r>
      </w:hyperlink>
      <w:r w:rsidR="009C42C2" w:rsidRPr="00E461D2">
        <w:rPr>
          <w:rFonts w:ascii="Palatino Linotype" w:hAnsi="Palatino Linotype"/>
        </w:rPr>
        <w:t xml:space="preserve"> (2014) at p. 8; </w:t>
      </w:r>
      <w:hyperlink r:id="rId139" w:history="1">
        <w:r w:rsidR="009C42C2" w:rsidRPr="00E461D2">
          <w:rPr>
            <w:rStyle w:val="Hyperlink"/>
            <w:rFonts w:ascii="Palatino Linotype" w:hAnsi="Palatino Linotype"/>
          </w:rPr>
          <w:t>Resolution G-3507</w:t>
        </w:r>
      </w:hyperlink>
      <w:r w:rsidR="009C42C2" w:rsidRPr="00E461D2">
        <w:rPr>
          <w:rFonts w:ascii="Palatino Linotype" w:hAnsi="Palatino Linotype"/>
        </w:rPr>
        <w:t xml:space="preserve"> (2015) at p. 6; </w:t>
      </w:r>
      <w:hyperlink r:id="rId140" w:history="1">
        <w:r w:rsidR="009C42C2" w:rsidRPr="00E461D2">
          <w:rPr>
            <w:rStyle w:val="Hyperlink"/>
            <w:rFonts w:ascii="Palatino Linotype" w:hAnsi="Palatino Linotype"/>
          </w:rPr>
          <w:t>Resolution G-3519</w:t>
        </w:r>
      </w:hyperlink>
      <w:r w:rsidR="009C42C2" w:rsidRPr="00E461D2">
        <w:rPr>
          <w:rFonts w:ascii="Palatino Linotype" w:hAnsi="Palatino Linotype"/>
        </w:rPr>
        <w:t xml:space="preserve"> (2016) at p. 7; </w:t>
      </w:r>
      <w:hyperlink r:id="rId141" w:history="1">
        <w:r w:rsidR="009C42C2" w:rsidRPr="00E461D2">
          <w:rPr>
            <w:rStyle w:val="Hyperlink"/>
            <w:rFonts w:ascii="Palatino Linotype" w:hAnsi="Palatino Linotype"/>
          </w:rPr>
          <w:t>Resolution G-3527</w:t>
        </w:r>
      </w:hyperlink>
      <w:r w:rsidR="009C42C2" w:rsidRPr="00E461D2">
        <w:rPr>
          <w:rFonts w:ascii="Palatino Linotype" w:hAnsi="Palatino Linotype"/>
        </w:rPr>
        <w:t xml:space="preserve"> (2017) at p. 8; </w:t>
      </w:r>
      <w:hyperlink r:id="rId142" w:history="1">
        <w:r w:rsidR="009C42C2" w:rsidRPr="00E461D2">
          <w:rPr>
            <w:rStyle w:val="Hyperlink"/>
            <w:rFonts w:ascii="Palatino Linotype" w:hAnsi="Palatino Linotype"/>
          </w:rPr>
          <w:t>Resolution G-3546</w:t>
        </w:r>
      </w:hyperlink>
      <w:r w:rsidR="009C42C2" w:rsidRPr="00E461D2">
        <w:rPr>
          <w:rFonts w:ascii="Palatino Linotype" w:hAnsi="Palatino Linotype"/>
        </w:rPr>
        <w:t xml:space="preserve"> (2019) at p. 5; </w:t>
      </w:r>
      <w:hyperlink r:id="rId143" w:history="1">
        <w:r w:rsidR="009C42C2" w:rsidRPr="00E461D2">
          <w:rPr>
            <w:rStyle w:val="Hyperlink"/>
            <w:rFonts w:ascii="Palatino Linotype" w:hAnsi="Palatino Linotype"/>
          </w:rPr>
          <w:t>Resolution G-3555</w:t>
        </w:r>
      </w:hyperlink>
      <w:r w:rsidR="009C42C2" w:rsidRPr="00E461D2">
        <w:rPr>
          <w:rFonts w:ascii="Palatino Linotype" w:hAnsi="Palatino Linotype"/>
        </w:rPr>
        <w:t xml:space="preserve"> (2019) at p. 7; </w:t>
      </w:r>
      <w:hyperlink r:id="rId144" w:history="1">
        <w:r w:rsidR="009C42C2" w:rsidRPr="00E461D2">
          <w:rPr>
            <w:rStyle w:val="Hyperlink"/>
            <w:rFonts w:ascii="Palatino Linotype" w:hAnsi="Palatino Linotype"/>
          </w:rPr>
          <w:t>Resolution G-3584</w:t>
        </w:r>
      </w:hyperlink>
      <w:r w:rsidR="009C42C2" w:rsidRPr="00E461D2">
        <w:rPr>
          <w:rFonts w:ascii="Palatino Linotype" w:hAnsi="Palatino Linotype"/>
        </w:rPr>
        <w:t xml:space="preserve"> (2021) at p. 8-9; &amp; </w:t>
      </w:r>
      <w:hyperlink r:id="rId145" w:history="1">
        <w:r w:rsidR="009C42C2" w:rsidRPr="00E461D2">
          <w:rPr>
            <w:rStyle w:val="Hyperlink"/>
            <w:rFonts w:ascii="Palatino Linotype" w:hAnsi="Palatino Linotype"/>
          </w:rPr>
          <w:t>Resolution G-3592</w:t>
        </w:r>
      </w:hyperlink>
      <w:r w:rsidR="009C42C2" w:rsidRPr="00E461D2">
        <w:rPr>
          <w:rFonts w:ascii="Palatino Linotype" w:hAnsi="Palatino Linotype"/>
        </w:rPr>
        <w:t xml:space="preserve"> (2023) at p. 14-15. </w:t>
      </w:r>
    </w:p>
  </w:footnote>
  <w:footnote w:id="165">
    <w:p w14:paraId="6D59EA9E" w14:textId="4F7792E6"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See Resolution G-</w:t>
      </w:r>
      <w:r w:rsidRPr="00E461D2">
        <w:rPr>
          <w:rFonts w:ascii="Palatino Linotype" w:hAnsi="Palatino Linotype"/>
          <w:color w:val="000000" w:themeColor="text1"/>
        </w:rPr>
        <w:t>3622</w:t>
      </w:r>
      <w:r w:rsidRPr="00E461D2">
        <w:rPr>
          <w:rFonts w:ascii="Palatino Linotype" w:hAnsi="Palatino Linotype"/>
        </w:rPr>
        <w:t xml:space="preserve"> at Appendix </w:t>
      </w:r>
      <w:r w:rsidR="008A3957" w:rsidRPr="00E461D2">
        <w:rPr>
          <w:rFonts w:ascii="Palatino Linotype" w:hAnsi="Palatino Linotype"/>
        </w:rPr>
        <w:t>F</w:t>
      </w:r>
      <w:r w:rsidRPr="00E461D2">
        <w:rPr>
          <w:rFonts w:ascii="Palatino Linotype" w:hAnsi="Palatino Linotype"/>
        </w:rPr>
        <w:t xml:space="preserve">: </w:t>
      </w:r>
      <w:r w:rsidRPr="00E461D2">
        <w:rPr>
          <w:rFonts w:ascii="Palatino Linotype" w:hAnsi="Palatino Linotype"/>
          <w:color w:val="000000" w:themeColor="text1"/>
        </w:rPr>
        <w:t xml:space="preserve">CEC Balances of Unspent Funds from Previously Approved Gas RD&amp;D Plans. </w:t>
      </w:r>
      <w:r w:rsidRPr="00E461D2">
        <w:rPr>
          <w:rFonts w:ascii="Palatino Linotype" w:hAnsi="Palatino Linotype"/>
        </w:rPr>
        <w:t xml:space="preserve">Consistent with: </w:t>
      </w:r>
    </w:p>
    <w:p w14:paraId="2D8AAE67" w14:textId="77777777" w:rsidR="000119E7" w:rsidRPr="00E461D2" w:rsidRDefault="000119E7" w:rsidP="000119E7">
      <w:pPr>
        <w:pStyle w:val="FootnoteText"/>
        <w:ind w:left="720"/>
        <w:rPr>
          <w:rFonts w:ascii="Palatino Linotype" w:hAnsi="Palatino Linotype"/>
        </w:rPr>
      </w:pPr>
      <w:hyperlink r:id="rId146" w:history="1">
        <w:r w:rsidRPr="00E461D2">
          <w:rPr>
            <w:rStyle w:val="Hyperlink"/>
            <w:rFonts w:ascii="Palatino Linotype" w:hAnsi="Palatino Linotype"/>
          </w:rPr>
          <w:t>Resolution G-3484</w:t>
        </w:r>
      </w:hyperlink>
      <w:r w:rsidRPr="00E461D2">
        <w:rPr>
          <w:rFonts w:ascii="Palatino Linotype" w:hAnsi="Palatino Linotype"/>
        </w:rPr>
        <w:t xml:space="preserve"> (2013) at OP 5. </w:t>
      </w:r>
    </w:p>
    <w:p w14:paraId="3C517AC3" w14:textId="764FBDC0" w:rsidR="000119E7" w:rsidRPr="00E461D2" w:rsidRDefault="000119E7" w:rsidP="000119E7">
      <w:pPr>
        <w:pStyle w:val="FootnoteText"/>
        <w:ind w:left="720"/>
        <w:rPr>
          <w:rFonts w:ascii="Palatino Linotype" w:hAnsi="Palatino Linotype"/>
        </w:rPr>
      </w:pPr>
      <w:hyperlink r:id="rId147" w:history="1">
        <w:r w:rsidRPr="00E461D2">
          <w:rPr>
            <w:rStyle w:val="Hyperlink"/>
            <w:rFonts w:ascii="Palatino Linotype" w:hAnsi="Palatino Linotype"/>
          </w:rPr>
          <w:t>Resolution G-3495</w:t>
        </w:r>
      </w:hyperlink>
      <w:r w:rsidRPr="00E461D2">
        <w:rPr>
          <w:rFonts w:ascii="Palatino Linotype" w:hAnsi="Palatino Linotype"/>
        </w:rPr>
        <w:t xml:space="preserve"> (2014)</w:t>
      </w:r>
      <w:r w:rsidR="00624A28" w:rsidRPr="00E461D2">
        <w:rPr>
          <w:rFonts w:ascii="Palatino Linotype" w:hAnsi="Palatino Linotype"/>
        </w:rPr>
        <w:t xml:space="preserve"> </w:t>
      </w:r>
      <w:r w:rsidRPr="00E461D2">
        <w:rPr>
          <w:rFonts w:ascii="Palatino Linotype" w:hAnsi="Palatino Linotype"/>
        </w:rPr>
        <w:t>at OP 3.</w:t>
      </w:r>
    </w:p>
    <w:p w14:paraId="1CDF6069" w14:textId="77777777" w:rsidR="000119E7" w:rsidRPr="00E461D2" w:rsidRDefault="000119E7" w:rsidP="000119E7">
      <w:pPr>
        <w:pStyle w:val="FootnoteText"/>
        <w:ind w:left="720"/>
        <w:rPr>
          <w:rFonts w:ascii="Palatino Linotype" w:hAnsi="Palatino Linotype"/>
        </w:rPr>
      </w:pPr>
      <w:hyperlink r:id="rId148" w:history="1">
        <w:r w:rsidRPr="00E461D2">
          <w:rPr>
            <w:rStyle w:val="Hyperlink"/>
            <w:rFonts w:ascii="Palatino Linotype" w:hAnsi="Palatino Linotype"/>
          </w:rPr>
          <w:t>Resolution G-3507</w:t>
        </w:r>
      </w:hyperlink>
      <w:r w:rsidRPr="00E461D2">
        <w:rPr>
          <w:rFonts w:ascii="Palatino Linotype" w:hAnsi="Palatino Linotype"/>
        </w:rPr>
        <w:t xml:space="preserve"> (2015): Approving CEC’s FY 2015-2016 Gas RD&amp;D Plan at OP 3.</w:t>
      </w:r>
    </w:p>
    <w:p w14:paraId="40826041" w14:textId="2D39ECC6" w:rsidR="000119E7" w:rsidRPr="00E461D2" w:rsidRDefault="000119E7" w:rsidP="000119E7">
      <w:pPr>
        <w:pStyle w:val="FootnoteText"/>
        <w:ind w:left="720"/>
        <w:rPr>
          <w:rFonts w:ascii="Palatino Linotype" w:hAnsi="Palatino Linotype"/>
        </w:rPr>
      </w:pPr>
      <w:hyperlink r:id="rId149" w:history="1">
        <w:r w:rsidRPr="00E461D2">
          <w:rPr>
            <w:rStyle w:val="Hyperlink"/>
            <w:rFonts w:ascii="Palatino Linotype" w:hAnsi="Palatino Linotype"/>
          </w:rPr>
          <w:t>Resolution G-3519</w:t>
        </w:r>
      </w:hyperlink>
      <w:r w:rsidRPr="00E461D2">
        <w:rPr>
          <w:rFonts w:ascii="Palatino Linotype" w:hAnsi="Palatino Linotype"/>
        </w:rPr>
        <w:t xml:space="preserve"> (2016)</w:t>
      </w:r>
      <w:r w:rsidR="00AD4A2E" w:rsidRPr="00E461D2">
        <w:rPr>
          <w:rFonts w:ascii="Palatino Linotype" w:hAnsi="Palatino Linotype"/>
        </w:rPr>
        <w:t xml:space="preserve"> </w:t>
      </w:r>
      <w:r w:rsidRPr="00E461D2">
        <w:rPr>
          <w:rFonts w:ascii="Palatino Linotype" w:hAnsi="Palatino Linotype"/>
        </w:rPr>
        <w:t>at OP 3.</w:t>
      </w:r>
    </w:p>
    <w:p w14:paraId="64B37BB9" w14:textId="2DACF47F" w:rsidR="000119E7" w:rsidRPr="00E461D2" w:rsidRDefault="000119E7" w:rsidP="000119E7">
      <w:pPr>
        <w:pStyle w:val="FootnoteText"/>
        <w:ind w:left="720"/>
        <w:rPr>
          <w:rFonts w:ascii="Palatino Linotype" w:hAnsi="Palatino Linotype"/>
        </w:rPr>
      </w:pPr>
      <w:hyperlink r:id="rId150" w:history="1">
        <w:r w:rsidRPr="00E461D2">
          <w:rPr>
            <w:rStyle w:val="Hyperlink"/>
            <w:rFonts w:ascii="Palatino Linotype" w:hAnsi="Palatino Linotype"/>
          </w:rPr>
          <w:t>Resolution G-3527</w:t>
        </w:r>
      </w:hyperlink>
      <w:r w:rsidRPr="00E461D2">
        <w:rPr>
          <w:rFonts w:ascii="Palatino Linotype" w:hAnsi="Palatino Linotype"/>
        </w:rPr>
        <w:t xml:space="preserve"> (2017)</w:t>
      </w:r>
      <w:r w:rsidR="002775ED" w:rsidRPr="00E461D2">
        <w:rPr>
          <w:rFonts w:ascii="Palatino Linotype" w:hAnsi="Palatino Linotype"/>
        </w:rPr>
        <w:t xml:space="preserve"> </w:t>
      </w:r>
      <w:r w:rsidRPr="00E461D2">
        <w:rPr>
          <w:rFonts w:ascii="Palatino Linotype" w:hAnsi="Palatino Linotype"/>
        </w:rPr>
        <w:t>at OP 3.</w:t>
      </w:r>
    </w:p>
    <w:p w14:paraId="549E4771" w14:textId="77777777" w:rsidR="000119E7" w:rsidRPr="00E461D2" w:rsidRDefault="000119E7" w:rsidP="000119E7">
      <w:pPr>
        <w:pStyle w:val="FootnoteText"/>
        <w:ind w:left="720"/>
        <w:rPr>
          <w:rFonts w:ascii="Palatino Linotype" w:hAnsi="Palatino Linotype"/>
        </w:rPr>
      </w:pPr>
      <w:hyperlink r:id="rId151" w:history="1">
        <w:r w:rsidRPr="00E461D2">
          <w:rPr>
            <w:rStyle w:val="Hyperlink"/>
            <w:rFonts w:ascii="Palatino Linotype" w:hAnsi="Palatino Linotype"/>
          </w:rPr>
          <w:t>Resolution G-3555</w:t>
        </w:r>
      </w:hyperlink>
      <w:r w:rsidRPr="00E461D2">
        <w:rPr>
          <w:rFonts w:ascii="Palatino Linotype" w:hAnsi="Palatino Linotype"/>
        </w:rPr>
        <w:t xml:space="preserve"> (2019) at OP 4 &amp; 8. </w:t>
      </w:r>
    </w:p>
    <w:p w14:paraId="57278EB8" w14:textId="77777777" w:rsidR="000119E7" w:rsidRDefault="000119E7" w:rsidP="000119E7">
      <w:pPr>
        <w:pStyle w:val="FootnoteText"/>
        <w:ind w:firstLine="720"/>
      </w:pPr>
      <w:hyperlink r:id="rId152" w:history="1">
        <w:r w:rsidRPr="00E461D2">
          <w:rPr>
            <w:rStyle w:val="Hyperlink"/>
            <w:rFonts w:ascii="Palatino Linotype" w:hAnsi="Palatino Linotype"/>
          </w:rPr>
          <w:t>Resolution G-3584</w:t>
        </w:r>
      </w:hyperlink>
      <w:r w:rsidRPr="00E461D2">
        <w:rPr>
          <w:rFonts w:ascii="Palatino Linotype" w:hAnsi="Palatino Linotype"/>
        </w:rPr>
        <w:t xml:space="preserve"> (2021) at OP 3.</w:t>
      </w:r>
    </w:p>
  </w:footnote>
  <w:footnote w:id="166">
    <w:p w14:paraId="239B0C6D" w14:textId="77777777"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The Commission’s compliance assessments of </w:t>
      </w:r>
      <w:hyperlink r:id="rId153" w:history="1">
        <w:r w:rsidRPr="00E461D2">
          <w:rPr>
            <w:rStyle w:val="Hyperlink"/>
            <w:rFonts w:ascii="Palatino Linotype" w:hAnsi="Palatino Linotype"/>
          </w:rPr>
          <w:t>Resolution G-3571</w:t>
        </w:r>
      </w:hyperlink>
      <w:r w:rsidRPr="00E461D2">
        <w:rPr>
          <w:rFonts w:ascii="Palatino Linotype" w:hAnsi="Palatino Linotype"/>
        </w:rPr>
        <w:t xml:space="preserve"> (2020) at OP 5a is captured in the compliance assessments of AL 12-G and 10-G-A with </w:t>
      </w:r>
      <w:hyperlink r:id="rId154" w:history="1">
        <w:r w:rsidRPr="00E461D2">
          <w:rPr>
            <w:rStyle w:val="Hyperlink"/>
            <w:rFonts w:ascii="Palatino Linotype" w:hAnsi="Palatino Linotype"/>
          </w:rPr>
          <w:t>Resolution G-3603</w:t>
        </w:r>
      </w:hyperlink>
      <w:r w:rsidRPr="00E461D2">
        <w:rPr>
          <w:rFonts w:ascii="Palatino Linotype" w:hAnsi="Palatino Linotype"/>
        </w:rPr>
        <w:t xml:space="preserve"> (2024) at OP 5. The CEC “shall coordinate with Energy Division and CPUC Staff in advance of commencing its plan.”</w:t>
      </w:r>
    </w:p>
  </w:footnote>
  <w:footnote w:id="167">
    <w:p w14:paraId="0E387470" w14:textId="77777777"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Pr="00E461D2">
        <w:rPr>
          <w:rFonts w:ascii="Palatino Linotype" w:eastAsia="Palatino Linotype" w:hAnsi="Palatino Linotype" w:cs="Palatino Linotype"/>
        </w:rPr>
        <w:t xml:space="preserve">Consistent with </w:t>
      </w:r>
      <w:hyperlink r:id="rId155">
        <w:r w:rsidRPr="00E461D2">
          <w:rPr>
            <w:rStyle w:val="Hyperlink"/>
            <w:rFonts w:ascii="Palatino Linotype" w:eastAsia="Palatino Linotype" w:hAnsi="Palatino Linotype" w:cs="Palatino Linotype"/>
          </w:rPr>
          <w:t>Resolution G-3592</w:t>
        </w:r>
      </w:hyperlink>
      <w:r w:rsidRPr="00E461D2">
        <w:rPr>
          <w:rFonts w:ascii="Palatino Linotype" w:eastAsia="Palatino Linotype" w:hAnsi="Palatino Linotype" w:cs="Palatino Linotype"/>
        </w:rPr>
        <w:t xml:space="preserve"> (2023) at OP 5b. The CEC shall “[c]</w:t>
      </w:r>
      <w:proofErr w:type="spellStart"/>
      <w:r w:rsidRPr="00E461D2">
        <w:rPr>
          <w:rFonts w:ascii="Palatino Linotype" w:eastAsia="Palatino Linotype" w:hAnsi="Palatino Linotype" w:cs="Palatino Linotype"/>
        </w:rPr>
        <w:t>onsult</w:t>
      </w:r>
      <w:proofErr w:type="spellEnd"/>
      <w:r w:rsidRPr="00E461D2">
        <w:rPr>
          <w:rFonts w:ascii="Palatino Linotype" w:eastAsia="Palatino Linotype" w:hAnsi="Palatino Linotype" w:cs="Palatino Linotype"/>
        </w:rPr>
        <w:t xml:space="preserve"> Energy Division staff at least sixty days in advance for the opportunity to present the CEC’s Gas R&amp;D plans to CPUC Commissioners, which may include the Commission’s business meeting or the Commission’s Emerging Technology Committee.”  </w:t>
      </w:r>
    </w:p>
  </w:footnote>
  <w:footnote w:id="168">
    <w:p w14:paraId="26D7A110" w14:textId="77777777"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Kenney, Michael, Nicholas Janusch, Ingrid Neumann, and Mike Jaske. California Energy Commission. 2021. “California Building Decarbonization Assessment.” Publication Number: CEC-400-2021-006-CMF. </w:t>
      </w:r>
      <w:hyperlink r:id="rId156" w:history="1">
        <w:r w:rsidRPr="00E461D2">
          <w:rPr>
            <w:rStyle w:val="Hyperlink"/>
            <w:rFonts w:ascii="Palatino Linotype" w:hAnsi="Palatino Linotype"/>
          </w:rPr>
          <w:t>https://www.energy.ca.gov/publications/2021/california-building-decarbonization-assessment</w:t>
        </w:r>
      </w:hyperlink>
      <w:r w:rsidRPr="00E461D2">
        <w:rPr>
          <w:rFonts w:ascii="Palatino Linotype" w:hAnsi="Palatino Linotype"/>
        </w:rPr>
        <w:t xml:space="preserve">. </w:t>
      </w:r>
    </w:p>
  </w:footnote>
  <w:footnote w:id="169">
    <w:p w14:paraId="394ABB61" w14:textId="77777777"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Consistent with </w:t>
      </w:r>
      <w:hyperlink r:id="rId157" w:history="1">
        <w:r w:rsidRPr="00E461D2">
          <w:rPr>
            <w:rStyle w:val="Hyperlink"/>
            <w:rFonts w:ascii="Palatino Linotype" w:hAnsi="Palatino Linotype"/>
          </w:rPr>
          <w:t>Resolution G-3592</w:t>
        </w:r>
      </w:hyperlink>
      <w:r w:rsidRPr="00E461D2">
        <w:rPr>
          <w:rStyle w:val="normaltextrun"/>
          <w:rFonts w:ascii="Palatino Linotype" w:hAnsi="Palatino Linotype"/>
          <w:color w:val="000000" w:themeColor="text1"/>
        </w:rPr>
        <w:t xml:space="preserve"> (2023)</w:t>
      </w:r>
      <w:r w:rsidRPr="00E461D2">
        <w:rPr>
          <w:rFonts w:ascii="Palatino Linotype" w:hAnsi="Palatino Linotype"/>
        </w:rPr>
        <w:t xml:space="preserve"> at OP 5f.</w:t>
      </w:r>
    </w:p>
  </w:footnote>
  <w:footnote w:id="170">
    <w:p w14:paraId="190BCF3B" w14:textId="3D182D2F" w:rsidR="00BF13C9" w:rsidRPr="00E461D2" w:rsidRDefault="00BF13C9">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00DA2244" w:rsidRPr="00E461D2">
        <w:rPr>
          <w:rFonts w:ascii="Palatino Linotype" w:hAnsi="Palatino Linotype"/>
        </w:rPr>
        <w:t>See also p. 20. “We adopt a 10 percent administrative budget for the CEC’s 2022-2023 Gas Plan as well as for future budget proposals.” </w:t>
      </w:r>
      <w:r w:rsidRPr="00E461D2">
        <w:rPr>
          <w:rFonts w:ascii="Palatino Linotype" w:hAnsi="Palatino Linotype"/>
        </w:rPr>
        <w:t xml:space="preserve">Consistent with </w:t>
      </w:r>
      <w:hyperlink r:id="rId158" w:tgtFrame="_blank" w:history="1">
        <w:r w:rsidR="00CC73EA" w:rsidRPr="00E461D2">
          <w:rPr>
            <w:rStyle w:val="Hyperlink"/>
            <w:rFonts w:ascii="Palatino Linotype" w:hAnsi="Palatino Linotype"/>
          </w:rPr>
          <w:t>Resolution G-3546</w:t>
        </w:r>
      </w:hyperlink>
      <w:r w:rsidR="00CC73EA" w:rsidRPr="00E461D2">
        <w:rPr>
          <w:rFonts w:ascii="Palatino Linotype" w:hAnsi="Palatino Linotype"/>
        </w:rPr>
        <w:t xml:space="preserve"> (2019) at p. 7. “The CEC’s request for</w:t>
      </w:r>
      <w:r w:rsidR="00CC73EA" w:rsidRPr="00106C9E">
        <w:rPr>
          <w:rFonts w:ascii="Palatino Linotype" w:hAnsi="Palatino Linotype"/>
        </w:rPr>
        <w:t xml:space="preserve"> </w:t>
      </w:r>
      <w:r w:rsidR="00CC73EA" w:rsidRPr="00E461D2">
        <w:rPr>
          <w:rFonts w:ascii="Palatino Linotype" w:hAnsi="Palatino Linotype"/>
        </w:rPr>
        <w:t>administrative expenses ($2.4 million, or 10 percent of the total proposed budget) is appropriate and in line with historical program administration costs. We adopt this limit and require the CEC to adhere to it and encourage the CEC to continue to keep such expenses at 10 percent or less for future budget proposals.”</w:t>
      </w:r>
    </w:p>
  </w:footnote>
  <w:footnote w:id="171">
    <w:p w14:paraId="0303468B" w14:textId="77777777" w:rsidR="009124ED" w:rsidRPr="00E461D2" w:rsidRDefault="009124ED"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Consistent with: </w:t>
      </w:r>
    </w:p>
    <w:p w14:paraId="2FB5EEDB" w14:textId="77777777" w:rsidR="009124ED" w:rsidRPr="00E461D2" w:rsidRDefault="009124ED" w:rsidP="000119E7">
      <w:pPr>
        <w:pStyle w:val="FootnoteText"/>
        <w:ind w:left="720"/>
        <w:rPr>
          <w:rFonts w:ascii="Palatino Linotype" w:hAnsi="Palatino Linotype"/>
        </w:rPr>
      </w:pPr>
      <w:hyperlink r:id="rId159" w:history="1">
        <w:r w:rsidRPr="00E461D2">
          <w:rPr>
            <w:rStyle w:val="Hyperlink"/>
            <w:rFonts w:ascii="Palatino Linotype" w:hAnsi="Palatino Linotype"/>
          </w:rPr>
          <w:t>Resolution G-3546</w:t>
        </w:r>
      </w:hyperlink>
      <w:r w:rsidRPr="00E461D2">
        <w:rPr>
          <w:rFonts w:ascii="Palatino Linotype" w:hAnsi="Palatino Linotype"/>
        </w:rPr>
        <w:t xml:space="preserve"> (2018): Approving CEC’s FY 2018-2019 Gas RD&amp;D Plan at OP 3a.</w:t>
      </w:r>
    </w:p>
    <w:p w14:paraId="71990F6A" w14:textId="1540247E" w:rsidR="009124ED" w:rsidRPr="00E461D2" w:rsidRDefault="009124ED" w:rsidP="000119E7">
      <w:pPr>
        <w:pStyle w:val="FootnoteText"/>
        <w:ind w:left="720"/>
        <w:rPr>
          <w:rFonts w:ascii="Palatino Linotype" w:hAnsi="Palatino Linotype"/>
        </w:rPr>
      </w:pPr>
      <w:hyperlink r:id="rId160" w:history="1">
        <w:r w:rsidRPr="00E461D2">
          <w:rPr>
            <w:rStyle w:val="Hyperlink"/>
            <w:rFonts w:ascii="Palatino Linotype" w:hAnsi="Palatino Linotype"/>
          </w:rPr>
          <w:t>Resolution G-3555</w:t>
        </w:r>
      </w:hyperlink>
      <w:r w:rsidRPr="00E461D2">
        <w:rPr>
          <w:rFonts w:ascii="Palatino Linotype" w:hAnsi="Palatino Linotype"/>
        </w:rPr>
        <w:t xml:space="preserve"> (2019) at OP 6a &amp; b. </w:t>
      </w:r>
    </w:p>
    <w:p w14:paraId="17F14DC5" w14:textId="77777777" w:rsidR="009124ED" w:rsidRPr="00E461D2" w:rsidRDefault="009124ED" w:rsidP="000119E7">
      <w:pPr>
        <w:pStyle w:val="FootnoteText"/>
        <w:ind w:left="720"/>
        <w:rPr>
          <w:rFonts w:ascii="Palatino Linotype" w:hAnsi="Palatino Linotype"/>
        </w:rPr>
      </w:pPr>
      <w:hyperlink r:id="rId161" w:history="1">
        <w:r w:rsidRPr="00E461D2">
          <w:rPr>
            <w:rStyle w:val="Hyperlink"/>
            <w:rFonts w:ascii="Palatino Linotype" w:hAnsi="Palatino Linotype"/>
          </w:rPr>
          <w:t>Resolution G-3571</w:t>
        </w:r>
      </w:hyperlink>
      <w:r w:rsidRPr="00E461D2">
        <w:rPr>
          <w:rFonts w:ascii="Palatino Linotype" w:hAnsi="Palatino Linotype"/>
        </w:rPr>
        <w:t xml:space="preserve"> (2020) at OP 8a &amp; b.</w:t>
      </w:r>
    </w:p>
  </w:footnote>
  <w:footnote w:id="172">
    <w:p w14:paraId="1F414693" w14:textId="77777777" w:rsidR="009124ED" w:rsidRPr="00E461D2" w:rsidRDefault="009124ED"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Consistent with </w:t>
      </w:r>
      <w:hyperlink r:id="rId162">
        <w:r w:rsidRPr="00E461D2">
          <w:rPr>
            <w:rStyle w:val="Hyperlink"/>
            <w:rFonts w:ascii="Palatino Linotype" w:hAnsi="Palatino Linotype"/>
          </w:rPr>
          <w:t>D.04-08-010</w:t>
        </w:r>
      </w:hyperlink>
      <w:r w:rsidRPr="00E461D2">
        <w:rPr>
          <w:rFonts w:ascii="Palatino Linotype" w:hAnsi="Palatino Linotype"/>
        </w:rPr>
        <w:t xml:space="preserve"> at p. 28 &amp; </w:t>
      </w:r>
      <w:hyperlink r:id="rId163" w:history="1">
        <w:r w:rsidRPr="00E461D2">
          <w:rPr>
            <w:rStyle w:val="Hyperlink"/>
            <w:rFonts w:ascii="Palatino Linotype" w:hAnsi="Palatino Linotype"/>
          </w:rPr>
          <w:t>Resolution G-3603</w:t>
        </w:r>
      </w:hyperlink>
      <w:r w:rsidRPr="00E461D2">
        <w:rPr>
          <w:rFonts w:ascii="Palatino Linotype" w:hAnsi="Palatino Linotype"/>
        </w:rPr>
        <w:t xml:space="preserve"> (2024) at OP 4.</w:t>
      </w:r>
    </w:p>
  </w:footnote>
  <w:footnote w:id="173">
    <w:p w14:paraId="263D3E3C" w14:textId="20C34286" w:rsidR="009124ED" w:rsidRPr="00E461D2" w:rsidRDefault="009124ED"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See Resolution G</w:t>
      </w:r>
      <w:r w:rsidRPr="00E461D2">
        <w:rPr>
          <w:rFonts w:ascii="Palatino Linotype" w:hAnsi="Palatino Linotype"/>
          <w:color w:val="000000" w:themeColor="text1"/>
        </w:rPr>
        <w:t xml:space="preserve">-3622 </w:t>
      </w:r>
      <w:r w:rsidRPr="00E461D2">
        <w:rPr>
          <w:rFonts w:ascii="Palatino Linotype" w:hAnsi="Palatino Linotype"/>
        </w:rPr>
        <w:t>at Appendix B: Administrative Budget Cost Categories.</w:t>
      </w:r>
    </w:p>
  </w:footnote>
  <w:footnote w:id="174">
    <w:p w14:paraId="16894C8E" w14:textId="77777777" w:rsidR="009124ED" w:rsidRDefault="009124ED" w:rsidP="000119E7">
      <w:pPr>
        <w:pStyle w:val="FootnoteText"/>
      </w:pPr>
      <w:r w:rsidRPr="00E461D2">
        <w:rPr>
          <w:rStyle w:val="FootnoteReference"/>
          <w:rFonts w:ascii="Palatino Linotype" w:hAnsi="Palatino Linotype"/>
        </w:rPr>
        <w:footnoteRef/>
      </w:r>
      <w:r w:rsidRPr="00E461D2">
        <w:rPr>
          <w:rFonts w:ascii="Palatino Linotype" w:hAnsi="Palatino Linotype"/>
        </w:rPr>
        <w:t xml:space="preserve"> Consistent with </w:t>
      </w:r>
      <w:hyperlink r:id="rId164" w:tgtFrame="_blank" w:history="1">
        <w:r w:rsidRPr="00E461D2">
          <w:rPr>
            <w:rStyle w:val="Hyperlink"/>
            <w:rFonts w:ascii="Palatino Linotype" w:hAnsi="Palatino Linotype"/>
          </w:rPr>
          <w:t>Resolution G-3584</w:t>
        </w:r>
      </w:hyperlink>
      <w:r w:rsidRPr="00E461D2">
        <w:rPr>
          <w:rFonts w:ascii="Palatino Linotype" w:hAnsi="Palatino Linotype"/>
        </w:rPr>
        <w:t xml:space="preserve"> (2021) at OP 4.</w:t>
      </w:r>
    </w:p>
  </w:footnote>
  <w:footnote w:id="175">
    <w:p w14:paraId="2C4AA560" w14:textId="77777777" w:rsidR="000119E7" w:rsidRPr="00E461D2" w:rsidRDefault="000119E7" w:rsidP="000119E7">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Consistent with </w:t>
      </w:r>
      <w:hyperlink r:id="rId165">
        <w:r w:rsidRPr="00E461D2">
          <w:rPr>
            <w:rStyle w:val="Hyperlink"/>
            <w:rFonts w:ascii="Palatino Linotype" w:hAnsi="Palatino Linotype"/>
          </w:rPr>
          <w:t>D.04-08-010</w:t>
        </w:r>
      </w:hyperlink>
      <w:r w:rsidRPr="00E461D2">
        <w:rPr>
          <w:rFonts w:ascii="Palatino Linotype" w:hAnsi="Palatino Linotype"/>
        </w:rPr>
        <w:t xml:space="preserve"> at p. 28 &amp; </w:t>
      </w:r>
      <w:hyperlink r:id="rId166" w:history="1">
        <w:r w:rsidRPr="00E461D2">
          <w:rPr>
            <w:rStyle w:val="Hyperlink"/>
            <w:rFonts w:ascii="Palatino Linotype" w:hAnsi="Palatino Linotype"/>
          </w:rPr>
          <w:t>Resolution G-3592</w:t>
        </w:r>
      </w:hyperlink>
      <w:r w:rsidRPr="00E461D2">
        <w:rPr>
          <w:rStyle w:val="normaltextrun"/>
          <w:rFonts w:ascii="Palatino Linotype" w:hAnsi="Palatino Linotype"/>
          <w:color w:val="000000" w:themeColor="text1"/>
        </w:rPr>
        <w:t xml:space="preserve"> (2023)</w:t>
      </w:r>
      <w:r w:rsidRPr="00E461D2">
        <w:rPr>
          <w:rFonts w:ascii="Palatino Linotype" w:hAnsi="Palatino Linotype"/>
        </w:rPr>
        <w:t xml:space="preserve"> at OP 5c &amp; d.</w:t>
      </w:r>
    </w:p>
  </w:footnote>
  <w:footnote w:id="176">
    <w:p w14:paraId="46B719C8" w14:textId="77777777" w:rsidR="000119E7" w:rsidRDefault="000119E7" w:rsidP="000119E7">
      <w:pPr>
        <w:pStyle w:val="FootnoteText"/>
      </w:pPr>
      <w:r w:rsidRPr="00E461D2">
        <w:rPr>
          <w:rStyle w:val="FootnoteReference"/>
          <w:rFonts w:ascii="Palatino Linotype" w:hAnsi="Palatino Linotype"/>
        </w:rPr>
        <w:footnoteRef/>
      </w:r>
      <w:r w:rsidRPr="00E461D2">
        <w:rPr>
          <w:rFonts w:ascii="Palatino Linotype" w:hAnsi="Palatino Linotype"/>
        </w:rPr>
        <w:t xml:space="preserve"> </w:t>
      </w:r>
      <w:r w:rsidRPr="00E461D2">
        <w:rPr>
          <w:rStyle w:val="normaltextrun"/>
          <w:rFonts w:ascii="Palatino Linotype" w:hAnsi="Palatino Linotype"/>
        </w:rPr>
        <w:t xml:space="preserve">Consistent with: </w:t>
      </w:r>
      <w:hyperlink r:id="rId167" w:history="1">
        <w:r w:rsidRPr="00E461D2">
          <w:rPr>
            <w:rStyle w:val="Hyperlink"/>
            <w:rFonts w:ascii="Palatino Linotype" w:hAnsi="Palatino Linotype"/>
          </w:rPr>
          <w:t>Resolution G-3592</w:t>
        </w:r>
      </w:hyperlink>
      <w:r w:rsidRPr="00E461D2">
        <w:rPr>
          <w:rStyle w:val="normaltextrun"/>
          <w:rFonts w:ascii="Palatino Linotype" w:hAnsi="Palatino Linotype"/>
          <w:color w:val="000000" w:themeColor="text1"/>
        </w:rPr>
        <w:t xml:space="preserve"> (2023)</w:t>
      </w:r>
      <w:r w:rsidRPr="00E461D2">
        <w:rPr>
          <w:rFonts w:ascii="Palatino Linotype" w:hAnsi="Palatino Linotype"/>
        </w:rPr>
        <w:t xml:space="preserve"> at OP 6.</w:t>
      </w:r>
    </w:p>
  </w:footnote>
  <w:footnote w:id="177">
    <w:p w14:paraId="4195FA09" w14:textId="77777777" w:rsidR="00930C35" w:rsidRPr="00E461D2" w:rsidRDefault="00930C35" w:rsidP="00930C35">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hyperlink r:id="rId168" w:tgtFrame="_blank" w:history="1">
        <w:r w:rsidRPr="00E461D2">
          <w:rPr>
            <w:rStyle w:val="Hyperlink"/>
            <w:rFonts w:ascii="Palatino Linotype" w:hAnsi="Palatino Linotype"/>
          </w:rPr>
          <w:t>Resolution G-3601</w:t>
        </w:r>
      </w:hyperlink>
      <w:r w:rsidRPr="00E461D2">
        <w:rPr>
          <w:rFonts w:ascii="Palatino Linotype" w:hAnsi="Palatino Linotype"/>
        </w:rPr>
        <w:t xml:space="preserve"> (2023) at: </w:t>
      </w:r>
    </w:p>
    <w:p w14:paraId="31A60CC1" w14:textId="77777777" w:rsidR="00930C35" w:rsidRPr="00E461D2" w:rsidRDefault="00930C35" w:rsidP="00930C35">
      <w:pPr>
        <w:pStyle w:val="FootnoteText"/>
        <w:ind w:left="720"/>
        <w:rPr>
          <w:rFonts w:ascii="Palatino Linotype" w:hAnsi="Palatino Linotype"/>
          <w:color w:val="000000" w:themeColor="text1"/>
        </w:rPr>
      </w:pPr>
      <w:r w:rsidRPr="00E461D2">
        <w:rPr>
          <w:rFonts w:ascii="Palatino Linotype" w:hAnsi="Palatino Linotype"/>
          <w:color w:val="000000" w:themeColor="text1"/>
        </w:rPr>
        <w:t xml:space="preserve">OP 5. “All of [SoCalGas’] new and future [RD&amp;D] projects shall occur in the State of California. The only exception may be made for projects with </w:t>
      </w:r>
      <w:proofErr w:type="gramStart"/>
      <w:r w:rsidRPr="00E461D2">
        <w:rPr>
          <w:rFonts w:ascii="Palatino Linotype" w:hAnsi="Palatino Linotype"/>
          <w:color w:val="000000" w:themeColor="text1"/>
        </w:rPr>
        <w:t>out of state</w:t>
      </w:r>
      <w:proofErr w:type="gramEnd"/>
      <w:r w:rsidRPr="00E461D2">
        <w:rPr>
          <w:rFonts w:ascii="Palatino Linotype" w:hAnsi="Palatino Linotype"/>
          <w:color w:val="000000" w:themeColor="text1"/>
        </w:rPr>
        <w:t xml:space="preserve"> federal labs. In this case, SoCalGas shall explicitly justify benefits to its gas ratepayers of an out-of-state project in its Tier 3 Advice Letter annual </w:t>
      </w:r>
      <w:proofErr w:type="gramStart"/>
      <w:r w:rsidRPr="00E461D2">
        <w:rPr>
          <w:rFonts w:ascii="Palatino Linotype" w:hAnsi="Palatino Linotype"/>
          <w:color w:val="000000" w:themeColor="text1"/>
        </w:rPr>
        <w:t>plan.”</w:t>
      </w:r>
      <w:proofErr w:type="gramEnd"/>
    </w:p>
    <w:p w14:paraId="4A4407A7" w14:textId="77777777" w:rsidR="00930C35" w:rsidRDefault="00930C35" w:rsidP="00930C35">
      <w:pPr>
        <w:pStyle w:val="FootnoteText"/>
        <w:ind w:left="720"/>
      </w:pPr>
      <w:r w:rsidRPr="00E461D2">
        <w:rPr>
          <w:rFonts w:ascii="Palatino Linotype" w:hAnsi="Palatino Linotype"/>
          <w:color w:val="000000" w:themeColor="text1"/>
        </w:rPr>
        <w:t>OP 6. “[SoCalGas shall] b. Explicitly justify how all consortia dues benefit gas ratepayers.”</w:t>
      </w:r>
    </w:p>
  </w:footnote>
  <w:footnote w:id="178">
    <w:p w14:paraId="2EE66CB5" w14:textId="77777777" w:rsidR="00930C35" w:rsidRPr="00E461D2" w:rsidRDefault="00930C35" w:rsidP="00930C35">
      <w:pPr>
        <w:spacing w:after="0" w:line="240" w:lineRule="auto"/>
        <w:rPr>
          <w:rFonts w:ascii="Palatino Linotype" w:hAnsi="Palatino Linotype"/>
          <w:sz w:val="22"/>
          <w:szCs w:val="22"/>
        </w:rPr>
      </w:pPr>
      <w:r w:rsidRPr="00E461D2">
        <w:rPr>
          <w:rStyle w:val="FootnoteReference"/>
          <w:rFonts w:ascii="Palatino Linotype" w:hAnsi="Palatino Linotype"/>
          <w:sz w:val="20"/>
          <w:szCs w:val="20"/>
        </w:rPr>
        <w:footnoteRef/>
      </w:r>
      <w:r w:rsidRPr="00E461D2">
        <w:rPr>
          <w:rFonts w:ascii="Palatino Linotype" w:hAnsi="Palatino Linotype"/>
        </w:rPr>
        <w:t xml:space="preserve"> </w:t>
      </w:r>
      <w:hyperlink r:id="rId169" w:history="1">
        <w:r w:rsidRPr="00E461D2">
          <w:rPr>
            <w:rFonts w:ascii="Palatino Linotype" w:hAnsi="Palatino Linotype"/>
            <w:color w:val="467886" w:themeColor="hyperlink"/>
            <w:sz w:val="20"/>
            <w:szCs w:val="20"/>
            <w:u w:val="single"/>
          </w:rPr>
          <w:t>D.23-04-042</w:t>
        </w:r>
      </w:hyperlink>
      <w:r w:rsidRPr="00E461D2">
        <w:rPr>
          <w:rFonts w:ascii="Palatino Linotype" w:hAnsi="Palatino Linotype"/>
          <w:sz w:val="20"/>
          <w:szCs w:val="20"/>
        </w:rPr>
        <w:t xml:space="preserve"> at Appendix A.</w:t>
      </w:r>
    </w:p>
  </w:footnote>
  <w:footnote w:id="179">
    <w:p w14:paraId="58E529D4" w14:textId="77777777" w:rsidR="00930C35" w:rsidRPr="00E461D2" w:rsidRDefault="00930C35" w:rsidP="00930C35">
      <w:pPr>
        <w:pStyle w:val="FootnoteText"/>
        <w:rPr>
          <w:rFonts w:ascii="Palatino Linotype" w:hAnsi="Palatino Linotype" w:cs="Arial"/>
        </w:rPr>
      </w:pPr>
      <w:r w:rsidRPr="00E461D2">
        <w:rPr>
          <w:rStyle w:val="FootnoteReference"/>
          <w:rFonts w:ascii="Palatino Linotype" w:hAnsi="Palatino Linotype"/>
        </w:rPr>
        <w:footnoteRef/>
      </w:r>
      <w:r w:rsidRPr="00E461D2">
        <w:rPr>
          <w:rFonts w:ascii="Palatino Linotype" w:hAnsi="Palatino Linotype"/>
        </w:rPr>
        <w:t xml:space="preserve"> </w:t>
      </w:r>
      <w:hyperlink r:id="rId170" w:history="1">
        <w:r w:rsidRPr="00E461D2">
          <w:rPr>
            <w:rStyle w:val="Hyperlink"/>
            <w:rFonts w:ascii="Palatino Linotype" w:hAnsi="Palatino Linotype"/>
            <w:color w:val="4B8090" w:themeColor="hyperlink" w:themeTint="F2"/>
          </w:rPr>
          <w:t>D.12-05-037</w:t>
        </w:r>
      </w:hyperlink>
      <w:r w:rsidRPr="00E461D2">
        <w:rPr>
          <w:rFonts w:ascii="Palatino Linotype" w:hAnsi="Palatino Linotype"/>
          <w:color w:val="0D0D0D" w:themeColor="text1" w:themeTint="F2"/>
        </w:rPr>
        <w:t>: OIR on the Commission's Own Motion to Determine the Impact on Public Benefits Associated with the Expiration of Ratepayer Charges Pursuant to Public Utilities Code Section 399.8.</w:t>
      </w:r>
    </w:p>
  </w:footnote>
  <w:footnote w:id="180">
    <w:p w14:paraId="6A828E31" w14:textId="77777777" w:rsidR="00930C35" w:rsidRDefault="00930C35" w:rsidP="00930C35">
      <w:pPr>
        <w:pStyle w:val="FootnoteText"/>
      </w:pPr>
      <w:r w:rsidRPr="00E461D2">
        <w:rPr>
          <w:rStyle w:val="FootnoteReference"/>
          <w:rFonts w:ascii="Palatino Linotype" w:hAnsi="Palatino Linotype"/>
        </w:rPr>
        <w:footnoteRef/>
      </w:r>
      <w:r w:rsidRPr="00E461D2">
        <w:rPr>
          <w:rFonts w:ascii="Palatino Linotype" w:hAnsi="Palatino Linotype"/>
        </w:rPr>
        <w:t xml:space="preserve"> California Public Utilities Code Section 740.1 at (a) and (b).</w:t>
      </w:r>
    </w:p>
  </w:footnote>
  <w:footnote w:id="181">
    <w:p w14:paraId="441B8E10" w14:textId="77777777" w:rsidR="00D24405" w:rsidRPr="00E461D2" w:rsidRDefault="00D24405"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Remaining funds not encumbered to projects, excluding unencumbered funds which CEC was approved to reallocate in subsequent Gas RD&amp;D Plans.</w:t>
      </w:r>
    </w:p>
  </w:footnote>
  <w:footnote w:id="182">
    <w:p w14:paraId="7025C3E4" w14:textId="77777777" w:rsidR="00D24405" w:rsidRDefault="00D24405"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Remaining unspent funds of those encumbered, excluding unspent funds which CEC was approved to reallocate in subsequent Gas RD&amp;D Plans.</w:t>
      </w:r>
    </w:p>
  </w:footnote>
  <w:footnote w:id="183">
    <w:p w14:paraId="73D8F7FD"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31.</w:t>
      </w:r>
    </w:p>
  </w:footnote>
  <w:footnote w:id="184">
    <w:p w14:paraId="65AE8FF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27.</w:t>
      </w:r>
    </w:p>
  </w:footnote>
  <w:footnote w:id="185">
    <w:p w14:paraId="74D67FC0"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42.</w:t>
      </w:r>
    </w:p>
  </w:footnote>
  <w:footnote w:id="186">
    <w:p w14:paraId="63EFD458"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40.</w:t>
      </w:r>
    </w:p>
  </w:footnote>
  <w:footnote w:id="187">
    <w:p w14:paraId="02B22DE2"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w:t>
      </w:r>
      <w:hyperlink r:id="rId171" w:history="1">
        <w:r w:rsidRPr="00E461D2">
          <w:rPr>
            <w:rStyle w:val="Hyperlink"/>
            <w:rFonts w:ascii="Palatino Linotype" w:hAnsi="Palatino Linotype"/>
            <w:bCs/>
          </w:rPr>
          <w:t>CEC’s Approved FY2023-2024 Gas RD&amp;D Plan</w:t>
        </w:r>
      </w:hyperlink>
      <w:r w:rsidRPr="00E461D2">
        <w:rPr>
          <w:rFonts w:ascii="Palatino Linotype" w:hAnsi="Palatino Linotype"/>
          <w:bCs/>
        </w:rPr>
        <w:t xml:space="preserve"> at p. 37-38.</w:t>
      </w:r>
    </w:p>
  </w:footnote>
  <w:footnote w:id="188">
    <w:p w14:paraId="0896D886"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32-38. </w:t>
      </w:r>
    </w:p>
  </w:footnote>
  <w:footnote w:id="189">
    <w:p w14:paraId="1DFD409C" w14:textId="77777777" w:rsidR="002F78F4" w:rsidRPr="004B5E95" w:rsidRDefault="002F78F4" w:rsidP="002F78F4">
      <w:pPr>
        <w:pStyle w:val="FootnoteText"/>
        <w:rPr>
          <w:rFonts w:ascii="Palatino Linotype" w:hAnsi="Palatino Linotype"/>
        </w:rPr>
      </w:pPr>
      <w:r w:rsidRPr="004B5E95">
        <w:rPr>
          <w:rStyle w:val="FootnoteReference"/>
          <w:rFonts w:ascii="Palatino Linotype" w:hAnsi="Palatino Linotype"/>
        </w:rPr>
        <w:footnoteRef/>
      </w:r>
      <w:r w:rsidRPr="004B5E95">
        <w:rPr>
          <w:rFonts w:ascii="Palatino Linotype" w:hAnsi="Palatino Linotype"/>
        </w:rPr>
        <w:t xml:space="preserve"> AL 12-G at p. 24-32.</w:t>
      </w:r>
    </w:p>
  </w:footnote>
  <w:footnote w:id="190">
    <w:p w14:paraId="17A4666C" w14:textId="77777777" w:rsidR="002F78F4" w:rsidRDefault="002F78F4" w:rsidP="002F78F4">
      <w:pPr>
        <w:pStyle w:val="FootnoteText"/>
      </w:pPr>
      <w:r w:rsidRPr="004B5E95">
        <w:rPr>
          <w:rStyle w:val="FootnoteReference"/>
          <w:rFonts w:ascii="Palatino Linotype" w:hAnsi="Palatino Linotype"/>
        </w:rPr>
        <w:footnoteRef/>
      </w:r>
      <w:r w:rsidRPr="004B5E95">
        <w:rPr>
          <w:rFonts w:ascii="Palatino Linotype" w:hAnsi="Palatino Linotype"/>
        </w:rPr>
        <w:t xml:space="preserve"> AL 12-G at p. 38-49. </w:t>
      </w:r>
    </w:p>
  </w:footnote>
  <w:footnote w:id="191">
    <w:p w14:paraId="18FA0BF3"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7. </w:t>
      </w:r>
    </w:p>
  </w:footnote>
  <w:footnote w:id="192">
    <w:p w14:paraId="4BA928C7"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2 &amp; 24.</w:t>
      </w:r>
    </w:p>
  </w:footnote>
  <w:footnote w:id="193">
    <w:p w14:paraId="73FB00E5"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B-1. </w:t>
      </w:r>
    </w:p>
  </w:footnote>
  <w:footnote w:id="194">
    <w:p w14:paraId="7F5E4BD8"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B-1.</w:t>
      </w:r>
    </w:p>
  </w:footnote>
  <w:footnote w:id="195">
    <w:p w14:paraId="5F90AB02"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The Commission’s compliance assessments of </w:t>
      </w:r>
      <w:hyperlink r:id="rId172" w:history="1">
        <w:r w:rsidRPr="00E461D2">
          <w:rPr>
            <w:rStyle w:val="Hyperlink"/>
            <w:rFonts w:ascii="Palatino Linotype" w:hAnsi="Palatino Linotype"/>
          </w:rPr>
          <w:t>Resolution G-3571</w:t>
        </w:r>
      </w:hyperlink>
      <w:r w:rsidRPr="00E461D2">
        <w:rPr>
          <w:rFonts w:ascii="Palatino Linotype" w:hAnsi="Palatino Linotype"/>
        </w:rPr>
        <w:t xml:space="preserve"> at OP 5a is captured in the compliance assessment of AL 12-G with </w:t>
      </w:r>
      <w:hyperlink r:id="rId173" w:history="1">
        <w:r w:rsidRPr="00E461D2">
          <w:rPr>
            <w:rStyle w:val="Hyperlink"/>
            <w:rFonts w:ascii="Palatino Linotype" w:hAnsi="Palatino Linotype"/>
          </w:rPr>
          <w:t>Resolution G-3603</w:t>
        </w:r>
      </w:hyperlink>
      <w:r w:rsidRPr="00E461D2">
        <w:rPr>
          <w:rFonts w:ascii="Palatino Linotype" w:hAnsi="Palatino Linotype"/>
        </w:rPr>
        <w:t xml:space="preserve"> at OP 5.</w:t>
      </w:r>
    </w:p>
  </w:footnote>
  <w:footnote w:id="196">
    <w:p w14:paraId="4BFD4A3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10.</w:t>
      </w:r>
    </w:p>
  </w:footnote>
  <w:footnote w:id="197">
    <w:p w14:paraId="4F14D554"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i/>
        </w:rPr>
        <w:t xml:space="preserve"> Ibid.</w:t>
      </w:r>
    </w:p>
  </w:footnote>
  <w:footnote w:id="198">
    <w:p w14:paraId="6D48DDF1"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8.</w:t>
      </w:r>
    </w:p>
  </w:footnote>
  <w:footnote w:id="199">
    <w:p w14:paraId="1F774C02"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Kenney, Michael, Nicholas Janusch, Ingrid Neumann, and Mike Jaske. California Energy Commission. 2021. “California Building Decarbonization Assessment.” Publication Number: CEC-400-2021-006-CMF. </w:t>
      </w:r>
      <w:hyperlink r:id="rId174" w:history="1">
        <w:r w:rsidRPr="00E461D2">
          <w:rPr>
            <w:rStyle w:val="Hyperlink"/>
            <w:rFonts w:ascii="Palatino Linotype" w:hAnsi="Palatino Linotype"/>
          </w:rPr>
          <w:t>https://www.energy.ca.gov/publications/2021/california-building-decarbonization-assessment</w:t>
        </w:r>
      </w:hyperlink>
      <w:r w:rsidRPr="00E461D2">
        <w:rPr>
          <w:rFonts w:ascii="Palatino Linotype" w:hAnsi="Palatino Linotype"/>
        </w:rPr>
        <w:t>.</w:t>
      </w:r>
    </w:p>
  </w:footnote>
  <w:footnote w:id="200">
    <w:p w14:paraId="3EAB9A1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9.</w:t>
      </w:r>
    </w:p>
  </w:footnote>
  <w:footnote w:id="201">
    <w:p w14:paraId="5843CC2F"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9.</w:t>
      </w:r>
    </w:p>
  </w:footnote>
  <w:footnote w:id="202">
    <w:p w14:paraId="4C696A04" w14:textId="77777777" w:rsidR="00B47E24" w:rsidRPr="00E461D2" w:rsidRDefault="00B47E2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2 &amp; 24.</w:t>
      </w:r>
    </w:p>
  </w:footnote>
  <w:footnote w:id="203">
    <w:p w14:paraId="3BFD00C4"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50.</w:t>
      </w:r>
    </w:p>
  </w:footnote>
  <w:footnote w:id="204">
    <w:p w14:paraId="741322EF"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6.</w:t>
      </w:r>
    </w:p>
  </w:footnote>
  <w:footnote w:id="205">
    <w:p w14:paraId="1D3032D2"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13.</w:t>
      </w:r>
    </w:p>
  </w:footnote>
  <w:footnote w:id="206">
    <w:p w14:paraId="5D1A6FD7"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w:t>
      </w:r>
      <w:proofErr w:type="gramStart"/>
      <w:r w:rsidRPr="00E461D2">
        <w:rPr>
          <w:rFonts w:ascii="Palatino Linotype" w:hAnsi="Palatino Linotype"/>
        </w:rPr>
        <w:t>p.</w:t>
      </w:r>
      <w:proofErr w:type="gramEnd"/>
      <w:r w:rsidRPr="00E461D2">
        <w:rPr>
          <w:rFonts w:ascii="Palatino Linotype" w:hAnsi="Palatino Linotype"/>
        </w:rPr>
        <w:t xml:space="preserve"> 14.</w:t>
      </w:r>
    </w:p>
  </w:footnote>
  <w:footnote w:id="207">
    <w:p w14:paraId="5A4164DE"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C-5 to C-7.</w:t>
      </w:r>
    </w:p>
  </w:footnote>
  <w:footnote w:id="208">
    <w:p w14:paraId="19C789B8"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C-6.</w:t>
      </w:r>
    </w:p>
  </w:footnote>
  <w:footnote w:id="209">
    <w:p w14:paraId="16FB0EFE"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47.</w:t>
      </w:r>
    </w:p>
  </w:footnote>
  <w:footnote w:id="210">
    <w:p w14:paraId="387AF420"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41 &amp; C-11.</w:t>
      </w:r>
    </w:p>
  </w:footnote>
  <w:footnote w:id="211">
    <w:p w14:paraId="5FF43EE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18.</w:t>
      </w:r>
    </w:p>
  </w:footnote>
  <w:footnote w:id="212">
    <w:p w14:paraId="381DDE23"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18-19.</w:t>
      </w:r>
    </w:p>
  </w:footnote>
  <w:footnote w:id="213">
    <w:p w14:paraId="6CDFC3B9" w14:textId="2DB50EAB"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See Resolution </w:t>
      </w:r>
      <w:r w:rsidR="002E0702" w:rsidRPr="00E461D2">
        <w:rPr>
          <w:rFonts w:ascii="Palatino Linotype" w:hAnsi="Palatino Linotype"/>
        </w:rPr>
        <w:t xml:space="preserve">G-3622 </w:t>
      </w:r>
      <w:r w:rsidRPr="00E461D2">
        <w:rPr>
          <w:rFonts w:ascii="Palatino Linotype" w:hAnsi="Palatino Linotype"/>
        </w:rPr>
        <w:t xml:space="preserve">at Appendix </w:t>
      </w:r>
      <w:r w:rsidR="008A3957" w:rsidRPr="00E461D2">
        <w:rPr>
          <w:rFonts w:ascii="Palatino Linotype" w:hAnsi="Palatino Linotype"/>
        </w:rPr>
        <w:t>B</w:t>
      </w:r>
      <w:r w:rsidRPr="00E461D2">
        <w:rPr>
          <w:rFonts w:ascii="Palatino Linotype" w:hAnsi="Palatino Linotype"/>
        </w:rPr>
        <w:t>: Administrative Budget Cost Categories.</w:t>
      </w:r>
    </w:p>
  </w:footnote>
  <w:footnote w:id="214">
    <w:p w14:paraId="5F647655"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B-1.</w:t>
      </w:r>
    </w:p>
  </w:footnote>
  <w:footnote w:id="215">
    <w:p w14:paraId="2C1C8AE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9.</w:t>
      </w:r>
    </w:p>
  </w:footnote>
  <w:footnote w:id="216">
    <w:p w14:paraId="5E09623C"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B-4.</w:t>
      </w:r>
    </w:p>
  </w:footnote>
  <w:footnote w:id="217">
    <w:p w14:paraId="290A78FB" w14:textId="77777777" w:rsidR="002F78F4" w:rsidRPr="00E461D2" w:rsidRDefault="002F78F4" w:rsidP="002F78F4">
      <w:pPr>
        <w:spacing w:after="0" w:line="240" w:lineRule="auto"/>
        <w:rPr>
          <w:rFonts w:ascii="Palatino Linotype" w:hAnsi="Palatino Linotype"/>
          <w:bCs/>
          <w:color w:val="000000" w:themeColor="text1"/>
          <w:sz w:val="20"/>
          <w:szCs w:val="20"/>
        </w:rPr>
      </w:pPr>
      <w:r w:rsidRPr="00E461D2">
        <w:rPr>
          <w:rStyle w:val="FootnoteReference"/>
          <w:rFonts w:ascii="Palatino Linotype" w:hAnsi="Palatino Linotype"/>
          <w:sz w:val="20"/>
          <w:szCs w:val="20"/>
        </w:rPr>
        <w:footnoteRef/>
      </w:r>
      <w:r w:rsidRPr="00E461D2">
        <w:rPr>
          <w:rStyle w:val="FootnoteReference"/>
          <w:rFonts w:ascii="Palatino Linotype" w:hAnsi="Palatino Linotype"/>
          <w:sz w:val="20"/>
          <w:szCs w:val="20"/>
        </w:rPr>
        <w:t xml:space="preserve">  </w:t>
      </w:r>
      <w:r w:rsidRPr="00E461D2">
        <w:rPr>
          <w:rFonts w:ascii="Palatino Linotype" w:hAnsi="Palatino Linotype"/>
          <w:sz w:val="20"/>
          <w:szCs w:val="20"/>
        </w:rPr>
        <w:t xml:space="preserve">Consistent with </w:t>
      </w:r>
      <w:hyperlink r:id="rId175" w:history="1">
        <w:r w:rsidRPr="00E461D2">
          <w:rPr>
            <w:rStyle w:val="Hyperlink"/>
            <w:rFonts w:ascii="Palatino Linotype" w:hAnsi="Palatino Linotype"/>
            <w:bCs/>
            <w:sz w:val="20"/>
            <w:szCs w:val="20"/>
          </w:rPr>
          <w:t>Resolution G-3495</w:t>
        </w:r>
      </w:hyperlink>
      <w:r w:rsidRPr="00E461D2">
        <w:rPr>
          <w:rFonts w:ascii="Palatino Linotype" w:hAnsi="Palatino Linotype"/>
          <w:bCs/>
          <w:color w:val="000000" w:themeColor="text1"/>
          <w:sz w:val="20"/>
          <w:szCs w:val="20"/>
        </w:rPr>
        <w:t xml:space="preserve"> (2014) at p. 6-9; FOF 6; &amp; OP 5. </w:t>
      </w:r>
    </w:p>
  </w:footnote>
  <w:footnote w:id="218">
    <w:p w14:paraId="11CFFF37"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6.</w:t>
      </w:r>
    </w:p>
  </w:footnote>
  <w:footnote w:id="219">
    <w:p w14:paraId="737EA623"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14-16. </w:t>
      </w:r>
    </w:p>
  </w:footnote>
  <w:footnote w:id="220">
    <w:p w14:paraId="5CB87FA7"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w:t>
      </w:r>
      <w:proofErr w:type="gramEnd"/>
      <w:r w:rsidRPr="00E461D2">
        <w:rPr>
          <w:rFonts w:ascii="Palatino Linotype" w:hAnsi="Palatino Linotype"/>
        </w:rPr>
        <w:t xml:space="preserve"> C-1 to C-23.</w:t>
      </w:r>
    </w:p>
  </w:footnote>
  <w:footnote w:id="221">
    <w:p w14:paraId="2D061C16"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30.</w:t>
      </w:r>
    </w:p>
  </w:footnote>
  <w:footnote w:id="222">
    <w:p w14:paraId="5E70397A"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31.</w:t>
      </w:r>
    </w:p>
  </w:footnote>
  <w:footnote w:id="223">
    <w:p w14:paraId="1259F41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C-8.</w:t>
      </w:r>
    </w:p>
  </w:footnote>
  <w:footnote w:id="224">
    <w:p w14:paraId="1FF59FA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p. 37.</w:t>
      </w:r>
    </w:p>
  </w:footnote>
  <w:footnote w:id="225">
    <w:p w14:paraId="2CFA6ADD"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37 &amp; C-8.</w:t>
      </w:r>
    </w:p>
  </w:footnote>
  <w:footnote w:id="226">
    <w:p w14:paraId="1DE265AC"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w:t>
      </w:r>
      <w:proofErr w:type="gramStart"/>
      <w:r w:rsidRPr="00E461D2">
        <w:rPr>
          <w:rFonts w:ascii="Palatino Linotype" w:hAnsi="Palatino Linotype"/>
        </w:rPr>
        <w:t>p.</w:t>
      </w:r>
      <w:proofErr w:type="gramEnd"/>
      <w:r w:rsidRPr="00E461D2">
        <w:rPr>
          <w:rFonts w:ascii="Palatino Linotype" w:hAnsi="Palatino Linotype"/>
        </w:rPr>
        <w:t xml:space="preserve"> 46 &amp; C-9 to C-10.</w:t>
      </w:r>
    </w:p>
  </w:footnote>
  <w:footnote w:id="227">
    <w:p w14:paraId="1163329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46 &amp; C-12.</w:t>
      </w:r>
    </w:p>
  </w:footnote>
  <w:footnote w:id="228">
    <w:p w14:paraId="259923DA"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46.</w:t>
      </w:r>
    </w:p>
  </w:footnote>
  <w:footnote w:id="229">
    <w:p w14:paraId="7F0116DE"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6.</w:t>
      </w:r>
    </w:p>
  </w:footnote>
  <w:footnote w:id="230">
    <w:p w14:paraId="67D7371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16-17.</w:t>
      </w:r>
    </w:p>
  </w:footnote>
  <w:footnote w:id="231">
    <w:p w14:paraId="46692B52"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w:t>
      </w:r>
    </w:p>
  </w:footnote>
  <w:footnote w:id="232">
    <w:p w14:paraId="4BAFCAF2"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C-18.</w:t>
      </w:r>
    </w:p>
  </w:footnote>
  <w:footnote w:id="233">
    <w:p w14:paraId="32097DCE"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17.</w:t>
      </w:r>
    </w:p>
  </w:footnote>
  <w:footnote w:id="234">
    <w:p w14:paraId="312C242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Pr="00E461D2">
        <w:rPr>
          <w:rFonts w:ascii="Palatino Linotype" w:hAnsi="Palatino Linotype"/>
          <w:i/>
          <w:iCs/>
        </w:rPr>
        <w:t>Ibid.</w:t>
      </w:r>
    </w:p>
  </w:footnote>
  <w:footnote w:id="235">
    <w:p w14:paraId="05739741"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w:t>
      </w:r>
    </w:p>
  </w:footnote>
  <w:footnote w:id="236">
    <w:p w14:paraId="3E7E5D19"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w:t>
      </w:r>
      <w:proofErr w:type="gramStart"/>
      <w:r w:rsidRPr="00E461D2">
        <w:rPr>
          <w:rFonts w:ascii="Palatino Linotype" w:hAnsi="Palatino Linotype"/>
        </w:rPr>
        <w:t>p.</w:t>
      </w:r>
      <w:proofErr w:type="gramEnd"/>
      <w:r w:rsidRPr="00E461D2">
        <w:rPr>
          <w:rFonts w:ascii="Palatino Linotype" w:hAnsi="Palatino Linotype"/>
        </w:rPr>
        <w:t xml:space="preserve"> 19-20.</w:t>
      </w:r>
    </w:p>
  </w:footnote>
  <w:footnote w:id="237">
    <w:p w14:paraId="10C662AC"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C-19.</w:t>
      </w:r>
    </w:p>
  </w:footnote>
  <w:footnote w:id="238">
    <w:p w14:paraId="25C42B1D"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27 &amp; C-20.</w:t>
      </w:r>
    </w:p>
  </w:footnote>
  <w:footnote w:id="239">
    <w:p w14:paraId="71B6CE13"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C-19 to C-20.</w:t>
      </w:r>
    </w:p>
  </w:footnote>
  <w:footnote w:id="240">
    <w:p w14:paraId="0D0CA73E"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C-8.</w:t>
      </w:r>
    </w:p>
  </w:footnote>
  <w:footnote w:id="241">
    <w:p w14:paraId="39789E36"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C-18 to C-19.</w:t>
      </w:r>
    </w:p>
  </w:footnote>
  <w:footnote w:id="242">
    <w:p w14:paraId="635A494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C-19.</w:t>
      </w:r>
    </w:p>
  </w:footnote>
  <w:footnote w:id="243">
    <w:p w14:paraId="19BAAD9F"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C-21.</w:t>
      </w:r>
    </w:p>
  </w:footnote>
  <w:footnote w:id="244">
    <w:p w14:paraId="29A36B67"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41.</w:t>
      </w:r>
    </w:p>
  </w:footnote>
  <w:footnote w:id="245">
    <w:p w14:paraId="7D5C228F"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41-42; C-21; &amp; C-22.</w:t>
      </w:r>
    </w:p>
  </w:footnote>
  <w:footnote w:id="246">
    <w:p w14:paraId="52A6C77A"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Pr="00E461D2">
        <w:rPr>
          <w:rFonts w:ascii="Palatino Linotype" w:hAnsi="Palatino Linotype"/>
          <w:i/>
          <w:iCs/>
        </w:rPr>
        <w:t>Ibid.</w:t>
      </w:r>
    </w:p>
  </w:footnote>
  <w:footnote w:id="247">
    <w:p w14:paraId="26EE86B2" w14:textId="01C9C157" w:rsidR="00D65E88" w:rsidRPr="00E461D2" w:rsidRDefault="00D65E88">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42. </w:t>
      </w:r>
    </w:p>
  </w:footnote>
  <w:footnote w:id="248">
    <w:p w14:paraId="633F7327"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25.</w:t>
      </w:r>
    </w:p>
  </w:footnote>
  <w:footnote w:id="249">
    <w:p w14:paraId="14318539"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26.</w:t>
      </w:r>
    </w:p>
  </w:footnote>
  <w:footnote w:id="250">
    <w:p w14:paraId="4AD09E51"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Pr="00E461D2">
        <w:rPr>
          <w:rFonts w:ascii="Palatino Linotype" w:hAnsi="Palatino Linotype"/>
          <w:i/>
          <w:iCs/>
        </w:rPr>
        <w:t>Ibid.</w:t>
      </w:r>
    </w:p>
  </w:footnote>
  <w:footnote w:id="251">
    <w:p w14:paraId="4056759F"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31.</w:t>
      </w:r>
    </w:p>
  </w:footnote>
  <w:footnote w:id="252">
    <w:p w14:paraId="4FEB39B1"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C-20.</w:t>
      </w:r>
    </w:p>
  </w:footnote>
  <w:footnote w:id="253">
    <w:p w14:paraId="0E11087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w:t>
      </w:r>
      <w:proofErr w:type="gramStart"/>
      <w:r w:rsidRPr="00E461D2">
        <w:rPr>
          <w:rFonts w:ascii="Palatino Linotype" w:hAnsi="Palatino Linotype"/>
        </w:rPr>
        <w:t>p.</w:t>
      </w:r>
      <w:proofErr w:type="gramEnd"/>
      <w:r w:rsidRPr="00E461D2">
        <w:rPr>
          <w:rFonts w:ascii="Palatino Linotype" w:hAnsi="Palatino Linotype"/>
        </w:rPr>
        <w:t xml:space="preserve"> 20-22.</w:t>
      </w:r>
    </w:p>
  </w:footnote>
  <w:footnote w:id="254">
    <w:p w14:paraId="3E7F0D9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w:t>
      </w:r>
      <w:proofErr w:type="gramStart"/>
      <w:r w:rsidRPr="00E461D2">
        <w:rPr>
          <w:rFonts w:ascii="Palatino Linotype" w:hAnsi="Palatino Linotype"/>
        </w:rPr>
        <w:t>at p.</w:t>
      </w:r>
      <w:proofErr w:type="gramEnd"/>
      <w:r w:rsidRPr="00E461D2">
        <w:rPr>
          <w:rFonts w:ascii="Palatino Linotype" w:hAnsi="Palatino Linotype"/>
        </w:rPr>
        <w:t xml:space="preserve"> 28-29, 34-35, &amp; 42-44.</w:t>
      </w:r>
    </w:p>
  </w:footnote>
  <w:footnote w:id="255">
    <w:p w14:paraId="2B39D29E"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p. 28-29.</w:t>
      </w:r>
    </w:p>
  </w:footnote>
  <w:footnote w:id="256">
    <w:p w14:paraId="6451D309"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12-G at p. 34-35.</w:t>
      </w:r>
    </w:p>
  </w:footnote>
  <w:footnote w:id="257">
    <w:p w14:paraId="3219DFBB"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12-G at </w:t>
      </w:r>
      <w:proofErr w:type="gramStart"/>
      <w:r w:rsidRPr="00E461D2">
        <w:rPr>
          <w:rFonts w:ascii="Palatino Linotype" w:hAnsi="Palatino Linotype"/>
        </w:rPr>
        <w:t>p. 42-44</w:t>
      </w:r>
      <w:proofErr w:type="gramEnd"/>
      <w:r w:rsidRPr="00E461D2">
        <w:rPr>
          <w:rFonts w:ascii="Palatino Linotype" w:hAnsi="Palatino Linotype"/>
        </w:rPr>
        <w:t>.</w:t>
      </w:r>
    </w:p>
  </w:footnote>
  <w:footnote w:id="258">
    <w:p w14:paraId="25A8CC25"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7</w:t>
      </w:r>
    </w:p>
  </w:footnote>
  <w:footnote w:id="259">
    <w:p w14:paraId="57AC7EA8"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w:t>
      </w:r>
    </w:p>
  </w:footnote>
  <w:footnote w:id="260">
    <w:p w14:paraId="0F83DD5C"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w:t>
      </w:r>
    </w:p>
  </w:footnote>
  <w:footnote w:id="261">
    <w:p w14:paraId="50CFBC3B"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10-G-A </w:t>
      </w:r>
      <w:proofErr w:type="gramStart"/>
      <w:r w:rsidRPr="00E461D2">
        <w:rPr>
          <w:rFonts w:ascii="Palatino Linotype" w:hAnsi="Palatino Linotype"/>
        </w:rPr>
        <w:t>at p.</w:t>
      </w:r>
      <w:proofErr w:type="gramEnd"/>
      <w:r w:rsidRPr="00E461D2">
        <w:rPr>
          <w:rFonts w:ascii="Palatino Linotype" w:hAnsi="Palatino Linotype"/>
        </w:rPr>
        <w:t xml:space="preserve"> 6-7.</w:t>
      </w:r>
    </w:p>
  </w:footnote>
  <w:footnote w:id="262">
    <w:p w14:paraId="4C750AE9"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10-G-A at p. 2 &amp; 22.</w:t>
      </w:r>
    </w:p>
  </w:footnote>
  <w:footnote w:id="263">
    <w:p w14:paraId="77F55EEF"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10-G-A at B-1. </w:t>
      </w:r>
    </w:p>
  </w:footnote>
  <w:footnote w:id="264">
    <w:p w14:paraId="1B47E2E0"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AL 10-G-A at B-1.</w:t>
      </w:r>
    </w:p>
  </w:footnote>
  <w:footnote w:id="265">
    <w:p w14:paraId="2FD75C28"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The Commission’s compliance assessments of </w:t>
      </w:r>
      <w:hyperlink r:id="rId176" w:history="1">
        <w:r w:rsidRPr="00E461D2">
          <w:rPr>
            <w:rStyle w:val="Hyperlink"/>
            <w:rFonts w:ascii="Palatino Linotype" w:hAnsi="Palatino Linotype"/>
          </w:rPr>
          <w:t>Resolution G-3571</w:t>
        </w:r>
      </w:hyperlink>
      <w:r w:rsidRPr="00E461D2">
        <w:rPr>
          <w:rFonts w:ascii="Palatino Linotype" w:hAnsi="Palatino Linotype"/>
        </w:rPr>
        <w:t xml:space="preserve"> at OP 5a </w:t>
      </w:r>
      <w:proofErr w:type="gramStart"/>
      <w:r w:rsidRPr="00E461D2">
        <w:rPr>
          <w:rFonts w:ascii="Palatino Linotype" w:hAnsi="Palatino Linotype"/>
        </w:rPr>
        <w:t>is</w:t>
      </w:r>
      <w:proofErr w:type="gramEnd"/>
      <w:r w:rsidRPr="00E461D2">
        <w:rPr>
          <w:rFonts w:ascii="Palatino Linotype" w:hAnsi="Palatino Linotype"/>
        </w:rPr>
        <w:t xml:space="preserve"> captured in the compliance assessment of AL 10-G-A with </w:t>
      </w:r>
      <w:hyperlink r:id="rId177" w:history="1">
        <w:r w:rsidRPr="00E461D2">
          <w:rPr>
            <w:rStyle w:val="Hyperlink"/>
            <w:rFonts w:ascii="Palatino Linotype" w:hAnsi="Palatino Linotype"/>
          </w:rPr>
          <w:t>Resolution G-3603</w:t>
        </w:r>
      </w:hyperlink>
      <w:r w:rsidRPr="00E461D2">
        <w:rPr>
          <w:rFonts w:ascii="Palatino Linotype" w:hAnsi="Palatino Linotype"/>
        </w:rPr>
        <w:t xml:space="preserve"> at OP 5.</w:t>
      </w:r>
    </w:p>
  </w:footnote>
  <w:footnote w:id="266">
    <w:p w14:paraId="73F72785"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10-G-A at p. 10.</w:t>
      </w:r>
    </w:p>
  </w:footnote>
  <w:footnote w:id="267">
    <w:p w14:paraId="6BB413F9" w14:textId="77777777" w:rsidR="002F78F4" w:rsidRPr="00E461D2" w:rsidRDefault="002F78F4" w:rsidP="002F78F4">
      <w:pPr>
        <w:pStyle w:val="FootnoteText"/>
        <w:rPr>
          <w:rFonts w:ascii="Palatino Linotype" w:hAnsi="Palatino Linotype"/>
        </w:rPr>
      </w:pPr>
      <w:r w:rsidRPr="00E461D2">
        <w:rPr>
          <w:rStyle w:val="FootnoteReference"/>
          <w:rFonts w:ascii="Palatino Linotype" w:hAnsi="Palatino Linotype"/>
        </w:rPr>
        <w:footnoteRef/>
      </w:r>
      <w:r w:rsidRPr="00E461D2">
        <w:rPr>
          <w:rFonts w:ascii="Palatino Linotype" w:hAnsi="Palatino Linotype"/>
        </w:rPr>
        <w:t xml:space="preserve"> </w:t>
      </w:r>
      <w:r w:rsidRPr="00E461D2">
        <w:rPr>
          <w:rFonts w:ascii="Palatino Linotype" w:hAnsi="Palatino Linotype"/>
          <w:i/>
          <w:iCs/>
        </w:rPr>
        <w:t>Ibid.</w:t>
      </w:r>
    </w:p>
  </w:footnote>
  <w:footnote w:id="268">
    <w:p w14:paraId="766F1EA1" w14:textId="77777777" w:rsidR="002F78F4" w:rsidRDefault="002F78F4" w:rsidP="002F78F4">
      <w:pPr>
        <w:pStyle w:val="FootnoteText"/>
      </w:pPr>
      <w:r w:rsidRPr="00E461D2">
        <w:rPr>
          <w:rStyle w:val="FootnoteReference"/>
          <w:rFonts w:ascii="Palatino Linotype" w:hAnsi="Palatino Linotype"/>
        </w:rPr>
        <w:footnoteRef/>
      </w:r>
      <w:r w:rsidRPr="00E461D2">
        <w:rPr>
          <w:rFonts w:ascii="Palatino Linotype" w:hAnsi="Palatino Linotype"/>
        </w:rPr>
        <w:t xml:space="preserve"> AL 10-G-A at p. 10.</w:t>
      </w:r>
    </w:p>
  </w:footnote>
  <w:footnote w:id="269">
    <w:p w14:paraId="1FF70B57"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Kenney, Michael, Nicholas Janusch, Ingrid Neumann, and Mike Jaske. California Energy Commission. 2021. “California Building Decarbonization Assessment.” Publication Number: CEC-400-2021-006-CMF. </w:t>
      </w:r>
      <w:hyperlink r:id="rId178" w:history="1">
        <w:r w:rsidRPr="00F51E26">
          <w:rPr>
            <w:rStyle w:val="Hyperlink"/>
            <w:rFonts w:ascii="Palatino Linotype" w:hAnsi="Palatino Linotype"/>
          </w:rPr>
          <w:t>https://www.energy.ca.gov/publications/2021/california-building-decarbonization-assessment</w:t>
        </w:r>
      </w:hyperlink>
      <w:r w:rsidRPr="00F51E26">
        <w:rPr>
          <w:rFonts w:ascii="Palatino Linotype" w:hAnsi="Palatino Linotype"/>
        </w:rPr>
        <w:t>.</w:t>
      </w:r>
    </w:p>
  </w:footnote>
  <w:footnote w:id="270">
    <w:p w14:paraId="637ABE07"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8-9.</w:t>
      </w:r>
    </w:p>
  </w:footnote>
  <w:footnote w:id="271">
    <w:p w14:paraId="76D8FFEF"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9.</w:t>
      </w:r>
    </w:p>
  </w:footnote>
  <w:footnote w:id="272">
    <w:p w14:paraId="22DAB601" w14:textId="4F95BE07" w:rsidR="000E561B" w:rsidRDefault="000E561B" w:rsidP="002F78F4">
      <w:pPr>
        <w:pStyle w:val="FootnoteText"/>
      </w:pPr>
      <w:r w:rsidRPr="00F51E26">
        <w:rPr>
          <w:rStyle w:val="FootnoteReference"/>
          <w:rFonts w:ascii="Palatino Linotype" w:hAnsi="Palatino Linotype"/>
        </w:rPr>
        <w:footnoteRef/>
      </w:r>
      <w:r w:rsidRPr="00F51E26">
        <w:rPr>
          <w:rFonts w:ascii="Palatino Linotype" w:hAnsi="Palatino Linotype"/>
        </w:rPr>
        <w:t xml:space="preserve"> AL 10-G-A at p. 2 &amp; 22.</w:t>
      </w:r>
    </w:p>
  </w:footnote>
  <w:footnote w:id="273">
    <w:p w14:paraId="7DDF7B84"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45.</w:t>
      </w:r>
    </w:p>
  </w:footnote>
  <w:footnote w:id="274">
    <w:p w14:paraId="0192755C"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w:t>
      </w:r>
      <w:proofErr w:type="gramStart"/>
      <w:r w:rsidRPr="00F51E26">
        <w:rPr>
          <w:rFonts w:ascii="Palatino Linotype" w:hAnsi="Palatino Linotype"/>
        </w:rPr>
        <w:t>at p.</w:t>
      </w:r>
      <w:proofErr w:type="gramEnd"/>
      <w:r w:rsidRPr="00F51E26">
        <w:rPr>
          <w:rFonts w:ascii="Palatino Linotype" w:hAnsi="Palatino Linotype"/>
        </w:rPr>
        <w:t xml:space="preserve"> 6.</w:t>
      </w:r>
    </w:p>
  </w:footnote>
  <w:footnote w:id="275">
    <w:p w14:paraId="6AAD0E61"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13.</w:t>
      </w:r>
    </w:p>
  </w:footnote>
  <w:footnote w:id="276">
    <w:p w14:paraId="0C0D95C8"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D-10 to D-11.</w:t>
      </w:r>
    </w:p>
  </w:footnote>
  <w:footnote w:id="277">
    <w:p w14:paraId="0037BFE0"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w:t>
      </w:r>
      <w:proofErr w:type="gramStart"/>
      <w:r w:rsidRPr="00F51E26">
        <w:rPr>
          <w:rFonts w:ascii="Palatino Linotype" w:hAnsi="Palatino Linotype"/>
        </w:rPr>
        <w:t>p.</w:t>
      </w:r>
      <w:proofErr w:type="gramEnd"/>
      <w:r w:rsidRPr="00F51E26">
        <w:rPr>
          <w:rFonts w:ascii="Palatino Linotype" w:hAnsi="Palatino Linotype"/>
        </w:rPr>
        <w:t xml:space="preserve"> 14.</w:t>
      </w:r>
    </w:p>
  </w:footnote>
  <w:footnote w:id="278">
    <w:p w14:paraId="75C899E9" w14:textId="77777777" w:rsidR="002F78F4" w:rsidRDefault="002F78F4" w:rsidP="002F78F4">
      <w:pPr>
        <w:pStyle w:val="FootnoteText"/>
      </w:pPr>
      <w:r w:rsidRPr="00F51E26">
        <w:rPr>
          <w:rStyle w:val="FootnoteReference"/>
          <w:rFonts w:ascii="Palatino Linotype" w:hAnsi="Palatino Linotype"/>
        </w:rPr>
        <w:footnoteRef/>
      </w:r>
      <w:r w:rsidRPr="00F51E26">
        <w:rPr>
          <w:rFonts w:ascii="Palatino Linotype" w:hAnsi="Palatino Linotype"/>
        </w:rPr>
        <w:t xml:space="preserve"> AL 10-G-A at D-8 to D-9.</w:t>
      </w:r>
    </w:p>
  </w:footnote>
  <w:footnote w:id="279">
    <w:p w14:paraId="2BC57FED"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w:t>
      </w:r>
      <w:r w:rsidRPr="00F51E26">
        <w:rPr>
          <w:rFonts w:ascii="Palatino Linotype" w:hAnsi="Palatino Linotype"/>
          <w:i/>
          <w:iCs/>
        </w:rPr>
        <w:t>Ibid.</w:t>
      </w:r>
    </w:p>
  </w:footnote>
  <w:footnote w:id="280">
    <w:p w14:paraId="52C967C3"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D-10.</w:t>
      </w:r>
    </w:p>
  </w:footnote>
  <w:footnote w:id="281">
    <w:p w14:paraId="139E7451"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27.</w:t>
      </w:r>
    </w:p>
  </w:footnote>
  <w:footnote w:id="282">
    <w:p w14:paraId="40E0FE0C"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D-8.</w:t>
      </w:r>
    </w:p>
  </w:footnote>
  <w:footnote w:id="283">
    <w:p w14:paraId="127EFC29" w14:textId="77777777" w:rsidR="002F78F4" w:rsidRDefault="002F78F4" w:rsidP="002F78F4">
      <w:pPr>
        <w:pStyle w:val="FootnoteText"/>
      </w:pPr>
      <w:r w:rsidRPr="00F51E26">
        <w:rPr>
          <w:rStyle w:val="FootnoteReference"/>
          <w:rFonts w:ascii="Palatino Linotype" w:hAnsi="Palatino Linotype"/>
        </w:rPr>
        <w:footnoteRef/>
      </w:r>
      <w:r w:rsidRPr="00F51E26">
        <w:rPr>
          <w:rFonts w:ascii="Palatino Linotype" w:hAnsi="Palatino Linotype"/>
        </w:rPr>
        <w:t xml:space="preserve"> AL 10-G-A at D-10 to D-11.</w:t>
      </w:r>
    </w:p>
  </w:footnote>
  <w:footnote w:id="284">
    <w:p w14:paraId="2C9C76A7"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17.</w:t>
      </w:r>
    </w:p>
  </w:footnote>
  <w:footnote w:id="285">
    <w:p w14:paraId="0980C2A2" w14:textId="77777777" w:rsidR="002F78F4" w:rsidRPr="00F51E26" w:rsidRDefault="002F78F4" w:rsidP="002F78F4">
      <w:pPr>
        <w:pStyle w:val="FootnoteText"/>
        <w:rPr>
          <w:rFonts w:ascii="Palatino Linotype" w:hAnsi="Palatino Linotype"/>
        </w:rPr>
      </w:pPr>
      <w:r w:rsidRPr="00F51E26">
        <w:rPr>
          <w:rStyle w:val="FootnoteReference"/>
          <w:rFonts w:ascii="Palatino Linotype" w:hAnsi="Palatino Linotype"/>
        </w:rPr>
        <w:footnoteRef/>
      </w:r>
      <w:r w:rsidRPr="00F51E26">
        <w:rPr>
          <w:rFonts w:ascii="Palatino Linotype" w:hAnsi="Palatino Linotype"/>
        </w:rPr>
        <w:t xml:space="preserve"> AL 10-G-A at p. 18.</w:t>
      </w:r>
    </w:p>
  </w:footnote>
  <w:footnote w:id="286">
    <w:p w14:paraId="2BB76BC9" w14:textId="3D608498" w:rsidR="002F78F4" w:rsidRDefault="002F78F4" w:rsidP="002F78F4">
      <w:pPr>
        <w:pStyle w:val="FootnoteText"/>
      </w:pPr>
      <w:r w:rsidRPr="00F51E26">
        <w:rPr>
          <w:rStyle w:val="FootnoteReference"/>
          <w:rFonts w:ascii="Palatino Linotype" w:hAnsi="Palatino Linotype"/>
        </w:rPr>
        <w:footnoteRef/>
      </w:r>
      <w:r w:rsidRPr="00F51E26">
        <w:rPr>
          <w:rFonts w:ascii="Palatino Linotype" w:hAnsi="Palatino Linotype"/>
        </w:rPr>
        <w:t xml:space="preserve"> See Resolution </w:t>
      </w:r>
      <w:r w:rsidR="002E0702" w:rsidRPr="00F51E26">
        <w:rPr>
          <w:rFonts w:ascii="Palatino Linotype" w:hAnsi="Palatino Linotype"/>
        </w:rPr>
        <w:t xml:space="preserve">G-3622 </w:t>
      </w:r>
      <w:r w:rsidRPr="00F51E26">
        <w:rPr>
          <w:rFonts w:ascii="Palatino Linotype" w:hAnsi="Palatino Linotype"/>
        </w:rPr>
        <w:t xml:space="preserve">at Appendix </w:t>
      </w:r>
      <w:r w:rsidR="008A3957" w:rsidRPr="00F51E26">
        <w:rPr>
          <w:rFonts w:ascii="Palatino Linotype" w:hAnsi="Palatino Linotype"/>
        </w:rPr>
        <w:t>B</w:t>
      </w:r>
      <w:r w:rsidRPr="00F51E26">
        <w:rPr>
          <w:rFonts w:ascii="Palatino Linotype" w:hAnsi="Palatino Linotype"/>
        </w:rPr>
        <w:t>: Administrative Budget Cost Categories.</w:t>
      </w:r>
    </w:p>
  </w:footnote>
  <w:footnote w:id="287">
    <w:p w14:paraId="36AEDAEE"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B-1.</w:t>
      </w:r>
    </w:p>
  </w:footnote>
  <w:footnote w:id="288">
    <w:p w14:paraId="6D11BF4A"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p. 9.</w:t>
      </w:r>
    </w:p>
  </w:footnote>
  <w:footnote w:id="289">
    <w:p w14:paraId="5CE46A20"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B-3.</w:t>
      </w:r>
    </w:p>
  </w:footnote>
  <w:footnote w:id="290">
    <w:p w14:paraId="41C82B5C" w14:textId="77777777" w:rsidR="002F78F4" w:rsidRPr="009E35D3" w:rsidRDefault="002F78F4" w:rsidP="002F78F4">
      <w:pPr>
        <w:spacing w:after="0" w:line="240" w:lineRule="auto"/>
        <w:rPr>
          <w:rFonts w:ascii="Palatino Linotype" w:hAnsi="Palatino Linotype"/>
          <w:bCs/>
          <w:color w:val="000000" w:themeColor="text1"/>
          <w:sz w:val="20"/>
          <w:szCs w:val="20"/>
        </w:rPr>
      </w:pPr>
      <w:r w:rsidRPr="009E35D3">
        <w:rPr>
          <w:rStyle w:val="FootnoteReference"/>
          <w:rFonts w:ascii="Palatino Linotype" w:hAnsi="Palatino Linotype"/>
          <w:sz w:val="20"/>
          <w:szCs w:val="20"/>
        </w:rPr>
        <w:footnoteRef/>
      </w:r>
      <w:r w:rsidRPr="009E35D3">
        <w:rPr>
          <w:rStyle w:val="FootnoteReference"/>
          <w:rFonts w:ascii="Palatino Linotype" w:hAnsi="Palatino Linotype"/>
          <w:sz w:val="20"/>
          <w:szCs w:val="20"/>
        </w:rPr>
        <w:t xml:space="preserve"> </w:t>
      </w:r>
      <w:r w:rsidRPr="009E35D3">
        <w:rPr>
          <w:rFonts w:ascii="Palatino Linotype" w:hAnsi="Palatino Linotype"/>
          <w:sz w:val="20"/>
          <w:szCs w:val="20"/>
        </w:rPr>
        <w:t xml:space="preserve">Consistent with </w:t>
      </w:r>
      <w:hyperlink r:id="rId179" w:history="1">
        <w:r w:rsidRPr="009E35D3">
          <w:rPr>
            <w:rStyle w:val="Hyperlink"/>
            <w:rFonts w:ascii="Palatino Linotype" w:hAnsi="Palatino Linotype"/>
            <w:bCs/>
            <w:sz w:val="20"/>
            <w:szCs w:val="20"/>
          </w:rPr>
          <w:t>Resolution G-3495</w:t>
        </w:r>
      </w:hyperlink>
      <w:r w:rsidRPr="009E35D3">
        <w:rPr>
          <w:rFonts w:ascii="Palatino Linotype" w:hAnsi="Palatino Linotype"/>
          <w:bCs/>
          <w:color w:val="000000" w:themeColor="text1"/>
          <w:sz w:val="20"/>
          <w:szCs w:val="20"/>
        </w:rPr>
        <w:t xml:space="preserve"> (2014) at p. 6-9; FOF 6; &amp; OP 5.</w:t>
      </w:r>
    </w:p>
  </w:footnote>
  <w:footnote w:id="291">
    <w:p w14:paraId="37344B2E"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w:t>
      </w:r>
      <w:r w:rsidRPr="009E35D3">
        <w:rPr>
          <w:rFonts w:ascii="Palatino Linotype" w:hAnsi="Palatino Linotype"/>
          <w:color w:val="000000" w:themeColor="text1"/>
        </w:rPr>
        <w:t>D-1 to D-7 &amp; D-11 to D-19</w:t>
      </w:r>
      <w:r w:rsidRPr="009E35D3">
        <w:rPr>
          <w:rFonts w:ascii="Palatino Linotype" w:hAnsi="Palatino Linotype"/>
        </w:rPr>
        <w:t>.</w:t>
      </w:r>
    </w:p>
  </w:footnote>
  <w:footnote w:id="292">
    <w:p w14:paraId="6C34E69F"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D-1.</w:t>
      </w:r>
    </w:p>
  </w:footnote>
  <w:footnote w:id="293">
    <w:p w14:paraId="44804378"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 p.</w:t>
      </w:r>
      <w:proofErr w:type="gramEnd"/>
      <w:r w:rsidRPr="009E35D3">
        <w:rPr>
          <w:rFonts w:ascii="Palatino Linotype" w:hAnsi="Palatino Linotype"/>
        </w:rPr>
        <w:t xml:space="preserve"> 6.</w:t>
      </w:r>
    </w:p>
  </w:footnote>
  <w:footnote w:id="294">
    <w:p w14:paraId="07A9270B"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p. 14-17.</w:t>
      </w:r>
      <w:r>
        <w:t xml:space="preserve"> </w:t>
      </w:r>
    </w:p>
  </w:footnote>
  <w:footnote w:id="295">
    <w:p w14:paraId="7F4B794E"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w:t>
      </w:r>
      <w:proofErr w:type="gramEnd"/>
      <w:r w:rsidRPr="009E35D3">
        <w:rPr>
          <w:rFonts w:ascii="Palatino Linotype" w:hAnsi="Palatino Linotype"/>
        </w:rPr>
        <w:t xml:space="preserve"> D-11 to D-13.</w:t>
      </w:r>
    </w:p>
  </w:footnote>
  <w:footnote w:id="296">
    <w:p w14:paraId="0D799AE7"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D-3 to D-4.</w:t>
      </w:r>
    </w:p>
  </w:footnote>
  <w:footnote w:id="297">
    <w:p w14:paraId="0D38433F"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D-2 to D-3.</w:t>
      </w:r>
    </w:p>
  </w:footnote>
  <w:footnote w:id="298">
    <w:p w14:paraId="42788B9F"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D-4 to D-6.</w:t>
      </w:r>
    </w:p>
  </w:footnote>
  <w:footnote w:id="299">
    <w:p w14:paraId="25913465"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p. 24-25.</w:t>
      </w:r>
    </w:p>
  </w:footnote>
  <w:footnote w:id="300">
    <w:p w14:paraId="4E93D42B"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D-14.</w:t>
      </w:r>
    </w:p>
  </w:footnote>
  <w:footnote w:id="301">
    <w:p w14:paraId="183F486B"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p. 24-25.</w:t>
      </w:r>
    </w:p>
  </w:footnote>
  <w:footnote w:id="302">
    <w:p w14:paraId="4EC9FFB2"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D-6.</w:t>
      </w:r>
    </w:p>
  </w:footnote>
  <w:footnote w:id="303">
    <w:p w14:paraId="36632CCD"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D-13 to D-15.</w:t>
      </w:r>
    </w:p>
  </w:footnote>
  <w:footnote w:id="304">
    <w:p w14:paraId="15BA85D9"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p. 45.</w:t>
      </w:r>
    </w:p>
  </w:footnote>
  <w:footnote w:id="305">
    <w:p w14:paraId="2FAD9359"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D-17.</w:t>
      </w:r>
    </w:p>
  </w:footnote>
  <w:footnote w:id="306">
    <w:p w14:paraId="30FA9C0B"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p. 43; D-15; &amp; D-16.</w:t>
      </w:r>
    </w:p>
  </w:footnote>
  <w:footnote w:id="307">
    <w:p w14:paraId="19411C41"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w:t>
      </w:r>
      <w:r w:rsidRPr="009E35D3">
        <w:rPr>
          <w:rFonts w:ascii="Palatino Linotype" w:hAnsi="Palatino Linotype"/>
          <w:i/>
          <w:iCs/>
        </w:rPr>
        <w:t>Ibid.</w:t>
      </w:r>
    </w:p>
  </w:footnote>
  <w:footnote w:id="308">
    <w:p w14:paraId="71E59D50"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12-G at C-17.</w:t>
      </w:r>
    </w:p>
  </w:footnote>
  <w:footnote w:id="309">
    <w:p w14:paraId="10D0ECA4"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12-G at C-17 to C-18.</w:t>
      </w:r>
    </w:p>
  </w:footnote>
  <w:footnote w:id="310">
    <w:p w14:paraId="3A131CAE"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w:t>
      </w:r>
      <w:proofErr w:type="gramStart"/>
      <w:r w:rsidRPr="009E35D3">
        <w:rPr>
          <w:rFonts w:ascii="Palatino Linotype" w:hAnsi="Palatino Linotype"/>
        </w:rPr>
        <w:t>p. 43-44</w:t>
      </w:r>
      <w:proofErr w:type="gramEnd"/>
      <w:r w:rsidRPr="009E35D3">
        <w:rPr>
          <w:rFonts w:ascii="Palatino Linotype" w:hAnsi="Palatino Linotype"/>
        </w:rPr>
        <w:t>.</w:t>
      </w:r>
    </w:p>
  </w:footnote>
  <w:footnote w:id="311">
    <w:p w14:paraId="0A401588"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 p.</w:t>
      </w:r>
      <w:proofErr w:type="gramEnd"/>
      <w:r w:rsidRPr="009E35D3">
        <w:rPr>
          <w:rFonts w:ascii="Palatino Linotype" w:hAnsi="Palatino Linotype"/>
        </w:rPr>
        <w:t xml:space="preserve"> 40 &amp; D-15.</w:t>
      </w:r>
    </w:p>
  </w:footnote>
  <w:footnote w:id="312">
    <w:p w14:paraId="5786BF79"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at p. 41.</w:t>
      </w:r>
    </w:p>
  </w:footnote>
  <w:footnote w:id="313">
    <w:p w14:paraId="676C6038"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 p.</w:t>
      </w:r>
      <w:proofErr w:type="gramEnd"/>
      <w:r w:rsidRPr="009E35D3">
        <w:rPr>
          <w:rFonts w:ascii="Palatino Linotype" w:hAnsi="Palatino Linotype"/>
        </w:rPr>
        <w:t xml:space="preserve"> 40; p. 42; &amp; D-16 to D-17.</w:t>
      </w:r>
    </w:p>
  </w:footnote>
  <w:footnote w:id="314">
    <w:p w14:paraId="43B42753"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 p.</w:t>
      </w:r>
      <w:proofErr w:type="gramEnd"/>
      <w:r w:rsidRPr="009E35D3">
        <w:rPr>
          <w:rFonts w:ascii="Palatino Linotype" w:hAnsi="Palatino Linotype"/>
        </w:rPr>
        <w:t xml:space="preserve"> 6.</w:t>
      </w:r>
    </w:p>
  </w:footnote>
  <w:footnote w:id="315">
    <w:p w14:paraId="715572F7" w14:textId="77777777" w:rsidR="002F78F4" w:rsidRPr="009E35D3" w:rsidRDefault="002F78F4" w:rsidP="002F78F4">
      <w:pPr>
        <w:pStyle w:val="FootnoteText"/>
        <w:rPr>
          <w:rFonts w:ascii="Palatino Linotype" w:hAnsi="Palatino Linotype"/>
        </w:rPr>
      </w:pPr>
      <w:r w:rsidRPr="009E35D3">
        <w:rPr>
          <w:rStyle w:val="FootnoteReference"/>
          <w:rFonts w:ascii="Palatino Linotype" w:hAnsi="Palatino Linotype"/>
        </w:rPr>
        <w:footnoteRef/>
      </w:r>
      <w:r w:rsidRPr="009E35D3">
        <w:rPr>
          <w:rFonts w:ascii="Palatino Linotype" w:hAnsi="Palatino Linotype"/>
        </w:rPr>
        <w:t xml:space="preserve"> AL 10-G-A </w:t>
      </w:r>
      <w:proofErr w:type="gramStart"/>
      <w:r w:rsidRPr="009E35D3">
        <w:rPr>
          <w:rFonts w:ascii="Palatino Linotype" w:hAnsi="Palatino Linotype"/>
        </w:rPr>
        <w:t>at p.</w:t>
      </w:r>
      <w:proofErr w:type="gramEnd"/>
      <w:r w:rsidRPr="009E35D3">
        <w:rPr>
          <w:rFonts w:ascii="Palatino Linotype" w:hAnsi="Palatino Linotype"/>
        </w:rPr>
        <w:t xml:space="preserve"> 16.</w:t>
      </w:r>
    </w:p>
  </w:footnote>
  <w:footnote w:id="316">
    <w:p w14:paraId="7628696F" w14:textId="77777777" w:rsidR="002F78F4" w:rsidRDefault="002F78F4" w:rsidP="002F78F4">
      <w:pPr>
        <w:pStyle w:val="FootnoteText"/>
      </w:pPr>
      <w:r w:rsidRPr="009E35D3">
        <w:rPr>
          <w:rStyle w:val="FootnoteReference"/>
          <w:rFonts w:ascii="Palatino Linotype" w:hAnsi="Palatino Linotype"/>
        </w:rPr>
        <w:footnoteRef/>
      </w:r>
      <w:r w:rsidRPr="009E35D3">
        <w:rPr>
          <w:rFonts w:ascii="Palatino Linotype" w:hAnsi="Palatino Linotype"/>
        </w:rPr>
        <w:t xml:space="preserve"> AL 10-G-A at D-1.</w:t>
      </w:r>
    </w:p>
  </w:footnote>
  <w:footnote w:id="317">
    <w:p w14:paraId="0761C356"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w:t>
      </w:r>
      <w:proofErr w:type="gramStart"/>
      <w:r w:rsidRPr="00E67566">
        <w:rPr>
          <w:rFonts w:ascii="Palatino Linotype" w:hAnsi="Palatino Linotype"/>
        </w:rPr>
        <w:t>at p.</w:t>
      </w:r>
      <w:proofErr w:type="gramEnd"/>
      <w:r w:rsidRPr="00E67566">
        <w:rPr>
          <w:rFonts w:ascii="Palatino Linotype" w:hAnsi="Palatino Linotype"/>
        </w:rPr>
        <w:t xml:space="preserve"> 18-19.</w:t>
      </w:r>
    </w:p>
  </w:footnote>
  <w:footnote w:id="318">
    <w:p w14:paraId="4C8F5F08"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at D-9 to D-11.</w:t>
      </w:r>
    </w:p>
  </w:footnote>
  <w:footnote w:id="319">
    <w:p w14:paraId="333D96DD"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w:t>
      </w:r>
      <w:proofErr w:type="gramStart"/>
      <w:r w:rsidRPr="00E67566">
        <w:rPr>
          <w:rFonts w:ascii="Palatino Linotype" w:hAnsi="Palatino Linotype"/>
        </w:rPr>
        <w:t>at p.</w:t>
      </w:r>
      <w:proofErr w:type="gramEnd"/>
      <w:r w:rsidRPr="00E67566">
        <w:rPr>
          <w:rFonts w:ascii="Palatino Linotype" w:hAnsi="Palatino Linotype"/>
        </w:rPr>
        <w:t xml:space="preserve"> 29-30.</w:t>
      </w:r>
    </w:p>
  </w:footnote>
  <w:footnote w:id="320">
    <w:p w14:paraId="5CD177C5"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at D-9.</w:t>
      </w:r>
    </w:p>
  </w:footnote>
  <w:footnote w:id="321">
    <w:p w14:paraId="6AECB873"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at </w:t>
      </w:r>
      <w:proofErr w:type="gramStart"/>
      <w:r w:rsidRPr="00E67566">
        <w:rPr>
          <w:rFonts w:ascii="Palatino Linotype" w:hAnsi="Palatino Linotype"/>
        </w:rPr>
        <w:t>p. 43-44</w:t>
      </w:r>
      <w:proofErr w:type="gramEnd"/>
      <w:r w:rsidRPr="00E67566">
        <w:rPr>
          <w:rFonts w:ascii="Palatino Linotype" w:hAnsi="Palatino Linotype"/>
        </w:rPr>
        <w:t>.</w:t>
      </w:r>
    </w:p>
  </w:footnote>
  <w:footnote w:id="322">
    <w:p w14:paraId="166D0599" w14:textId="77777777" w:rsidR="002F78F4" w:rsidRDefault="002F78F4" w:rsidP="002F78F4">
      <w:pPr>
        <w:pStyle w:val="FootnoteText"/>
      </w:pPr>
      <w:r w:rsidRPr="00E67566">
        <w:rPr>
          <w:rStyle w:val="FootnoteReference"/>
          <w:rFonts w:ascii="Palatino Linotype" w:hAnsi="Palatino Linotype"/>
        </w:rPr>
        <w:footnoteRef/>
      </w:r>
      <w:r w:rsidRPr="00E67566">
        <w:rPr>
          <w:rFonts w:ascii="Palatino Linotype" w:hAnsi="Palatino Linotype"/>
        </w:rPr>
        <w:t xml:space="preserve"> AL 10-G-A at p. 19-21.</w:t>
      </w:r>
    </w:p>
  </w:footnote>
  <w:footnote w:id="323">
    <w:p w14:paraId="6F7C6EC2" w14:textId="77777777" w:rsidR="002F78F4" w:rsidRPr="00E67566" w:rsidRDefault="002F78F4" w:rsidP="002F78F4">
      <w:pPr>
        <w:pStyle w:val="FootnoteText"/>
        <w:rPr>
          <w:rFonts w:ascii="Palatino Linotype" w:hAnsi="Palatino Linotype"/>
        </w:rPr>
      </w:pPr>
      <w:r w:rsidRPr="00E67566">
        <w:rPr>
          <w:rStyle w:val="FootnoteReference"/>
          <w:rFonts w:ascii="Palatino Linotype" w:hAnsi="Palatino Linotype"/>
        </w:rPr>
        <w:footnoteRef/>
      </w:r>
      <w:r w:rsidRPr="00E67566">
        <w:rPr>
          <w:rFonts w:ascii="Palatino Linotype" w:hAnsi="Palatino Linotype"/>
        </w:rPr>
        <w:t xml:space="preserve"> AL 10-G-A at p. 27-29, 32-34, &amp; 40-42.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FDE2" w14:textId="405F1296" w:rsidR="00A36CD7" w:rsidRDefault="00A36CD7" w:rsidP="00A36CD7">
    <w:pPr>
      <w:pStyle w:val="Header"/>
      <w:rPr>
        <w:rFonts w:ascii="Palatino Linotype" w:hAnsi="Palatino Linotype"/>
      </w:rPr>
    </w:pPr>
    <w:r>
      <w:rPr>
        <w:rFonts w:ascii="Palatino Linotype" w:hAnsi="Palatino Linotype"/>
      </w:rPr>
      <w:t>E</w:t>
    </w:r>
    <w:r w:rsidR="00AA3ADA">
      <w:rPr>
        <w:rFonts w:ascii="Palatino Linotype" w:hAnsi="Palatino Linotype"/>
      </w:rPr>
      <w:t>D</w:t>
    </w:r>
    <w:r>
      <w:rPr>
        <w:rFonts w:ascii="Palatino Linotype" w:hAnsi="Palatino Linotype"/>
      </w:rPr>
      <w:t>/Resolution G</w:t>
    </w:r>
    <w:r w:rsidR="00491B0F">
      <w:rPr>
        <w:rFonts w:ascii="Palatino Linotype" w:hAnsi="Palatino Linotype"/>
      </w:rPr>
      <w:t>-3622</w:t>
    </w:r>
    <w:r>
      <w:rPr>
        <w:rFonts w:ascii="Palatino Linotype" w:hAnsi="Palatino Linotype"/>
      </w:rPr>
      <w:tab/>
    </w:r>
    <w:r w:rsidR="00376DF3">
      <w:rPr>
        <w:rFonts w:ascii="Palatino Linotype" w:hAnsi="Palatino Linotype"/>
      </w:rPr>
      <w:t>DRAFT</w:t>
    </w:r>
    <w:r>
      <w:rPr>
        <w:rFonts w:ascii="Palatino Linotype" w:hAnsi="Palatino Linotype"/>
      </w:rPr>
      <w:tab/>
    </w:r>
    <w:r w:rsidR="00AC088E">
      <w:rPr>
        <w:rFonts w:ascii="Palatino Linotype" w:hAnsi="Palatino Linotype"/>
      </w:rPr>
      <w:t>November 1</w:t>
    </w:r>
    <w:r w:rsidR="001E20B2">
      <w:rPr>
        <w:rFonts w:ascii="Palatino Linotype" w:hAnsi="Palatino Linotype"/>
      </w:rPr>
      <w:t>9</w:t>
    </w:r>
    <w:r w:rsidR="006A4E16">
      <w:rPr>
        <w:rFonts w:ascii="Palatino Linotype" w:hAnsi="Palatino Linotype"/>
      </w:rPr>
      <w:t>, 2026</w:t>
    </w:r>
  </w:p>
  <w:p w14:paraId="27C78CDA" w14:textId="77999AAC" w:rsidR="00A36CD7" w:rsidRPr="00A36CD7" w:rsidRDefault="00C5347D">
    <w:pPr>
      <w:pStyle w:val="Header"/>
      <w:rPr>
        <w:rFonts w:ascii="Palatino Linotype" w:hAnsi="Palatino Linotype"/>
      </w:rPr>
    </w:pPr>
    <w:r>
      <w:rPr>
        <w:rFonts w:ascii="Palatino Linotype" w:hAnsi="Palatino Linotype"/>
      </w:rPr>
      <w:t>CEC</w:t>
    </w:r>
    <w:r w:rsidR="00A36CD7">
      <w:rPr>
        <w:rFonts w:ascii="Palatino Linotype" w:hAnsi="Palatino Linotype"/>
      </w:rPr>
      <w:t xml:space="preserve"> AL </w:t>
    </w:r>
    <w:r w:rsidR="00B3064F">
      <w:rPr>
        <w:rFonts w:ascii="Palatino Linotype" w:hAnsi="Palatino Linotype"/>
      </w:rPr>
      <w:t>10</w:t>
    </w:r>
    <w:r w:rsidR="00A36CD7">
      <w:rPr>
        <w:rFonts w:ascii="Palatino Linotype" w:hAnsi="Palatino Linotype"/>
      </w:rPr>
      <w:t>-G</w:t>
    </w:r>
    <w:r w:rsidR="00B3064F">
      <w:rPr>
        <w:rFonts w:ascii="Palatino Linotype" w:hAnsi="Palatino Linotype"/>
      </w:rPr>
      <w:t xml:space="preserve"> &amp; </w:t>
    </w:r>
    <w:r>
      <w:rPr>
        <w:rFonts w:ascii="Palatino Linotype" w:hAnsi="Palatino Linotype"/>
      </w:rPr>
      <w:t>AL 1</w:t>
    </w:r>
    <w:r w:rsidR="00B3064F">
      <w:rPr>
        <w:rFonts w:ascii="Palatino Linotype" w:hAnsi="Palatino Linotype"/>
      </w:rPr>
      <w:t>2</w:t>
    </w:r>
    <w:r>
      <w:rPr>
        <w:rFonts w:ascii="Palatino Linotype" w:hAnsi="Palatino Linotype"/>
      </w:rPr>
      <w:t>-G</w:t>
    </w:r>
    <w:r w:rsidR="00A36CD7">
      <w:rPr>
        <w:rFonts w:ascii="Palatino Linotype" w:hAnsi="Palatino Linotype"/>
      </w:rPr>
      <w:t>/EM9</w:t>
    </w:r>
  </w:p>
  <w:p w14:paraId="14DCBF56" w14:textId="77777777" w:rsidR="00A36CD7" w:rsidRDefault="00A36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A707" w14:textId="27D94F6C" w:rsidR="001D1173" w:rsidRDefault="001D1173" w:rsidP="001D1173">
    <w:pPr>
      <w:pStyle w:val="Header"/>
      <w:rPr>
        <w:rFonts w:ascii="Palatino Linotype" w:hAnsi="Palatino Linotype"/>
      </w:rPr>
    </w:pPr>
    <w:r>
      <w:rPr>
        <w:rFonts w:ascii="Palatino Linotype" w:hAnsi="Palatino Linotype"/>
      </w:rPr>
      <w:tab/>
      <w:t>DRAFT</w:t>
    </w:r>
    <w:r>
      <w:rPr>
        <w:rFonts w:ascii="Palatino Linotype" w:hAnsi="Palatino Linotype"/>
      </w:rPr>
      <w:tab/>
    </w:r>
  </w:p>
  <w:p w14:paraId="78FCAA5C" w14:textId="63732977" w:rsidR="001E20B2" w:rsidRPr="001D1173" w:rsidRDefault="001E20B2" w:rsidP="001D1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022D" w14:textId="28293F17" w:rsidR="002E1692" w:rsidRDefault="002E1692" w:rsidP="00A36CD7">
    <w:pPr>
      <w:pStyle w:val="Header"/>
      <w:rPr>
        <w:rFonts w:ascii="Palatino Linotype" w:hAnsi="Palatino Linotype"/>
      </w:rPr>
    </w:pPr>
    <w:r>
      <w:rPr>
        <w:rFonts w:ascii="Palatino Linotype" w:hAnsi="Palatino Linotype"/>
      </w:rPr>
      <w:t>ED/Resolution G-3622</w:t>
    </w:r>
    <w:r>
      <w:rPr>
        <w:rFonts w:ascii="Palatino Linotype" w:hAnsi="Palatino Linotype"/>
      </w:rPr>
      <w:tab/>
      <w:t>DRAFT</w:t>
    </w:r>
    <w:r>
      <w:rPr>
        <w:rFonts w:ascii="Palatino Linotype" w:hAnsi="Palatino Linotype"/>
      </w:rPr>
      <w:tab/>
    </w:r>
    <w:r w:rsidR="00C20050">
      <w:rPr>
        <w:rFonts w:ascii="Palatino Linotype" w:hAnsi="Palatino Linotype"/>
      </w:rPr>
      <w:t>November 19</w:t>
    </w:r>
    <w:r>
      <w:rPr>
        <w:rFonts w:ascii="Palatino Linotype" w:hAnsi="Palatino Linotype"/>
      </w:rPr>
      <w:t>, 2026</w:t>
    </w:r>
  </w:p>
  <w:p w14:paraId="6A3D5D80" w14:textId="77777777" w:rsidR="002E1692" w:rsidRPr="00A36CD7" w:rsidRDefault="002E1692">
    <w:pPr>
      <w:pStyle w:val="Header"/>
      <w:rPr>
        <w:rFonts w:ascii="Palatino Linotype" w:hAnsi="Palatino Linotype"/>
      </w:rPr>
    </w:pPr>
    <w:r>
      <w:rPr>
        <w:rFonts w:ascii="Palatino Linotype" w:hAnsi="Palatino Linotype"/>
      </w:rPr>
      <w:t>CEC AL 10-G &amp; AL 12-G/EM9</w:t>
    </w:r>
  </w:p>
  <w:p w14:paraId="4F38D995" w14:textId="77777777" w:rsidR="002E1692" w:rsidRDefault="002E16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BE82" w14:textId="069C3A8C" w:rsidR="002E1692" w:rsidRDefault="002E1692" w:rsidP="001D1173">
    <w:pPr>
      <w:pStyle w:val="Header"/>
      <w:rPr>
        <w:rFonts w:ascii="Palatino Linotype" w:hAnsi="Palatino Linotype"/>
      </w:rPr>
    </w:pPr>
    <w:r>
      <w:rPr>
        <w:rFonts w:ascii="Palatino Linotype" w:hAnsi="Palatino Linotype"/>
      </w:rPr>
      <w:t>ED/Resolution G-3622</w:t>
    </w:r>
    <w:r>
      <w:rPr>
        <w:rFonts w:ascii="Palatino Linotype" w:hAnsi="Palatino Linotype"/>
      </w:rPr>
      <w:tab/>
      <w:t>DRAFT</w:t>
    </w:r>
    <w:r>
      <w:rPr>
        <w:rFonts w:ascii="Palatino Linotype" w:hAnsi="Palatino Linotype"/>
      </w:rPr>
      <w:tab/>
    </w:r>
    <w:r w:rsidR="00C20050">
      <w:rPr>
        <w:rFonts w:ascii="Palatino Linotype" w:hAnsi="Palatino Linotype"/>
      </w:rPr>
      <w:t>November 19</w:t>
    </w:r>
    <w:r>
      <w:rPr>
        <w:rFonts w:ascii="Palatino Linotype" w:hAnsi="Palatino Linotype"/>
      </w:rPr>
      <w:t>, 2026</w:t>
    </w:r>
  </w:p>
  <w:p w14:paraId="15D97C1D" w14:textId="77777777" w:rsidR="002E1692" w:rsidRPr="00A36CD7" w:rsidRDefault="002E1692" w:rsidP="001D1173">
    <w:pPr>
      <w:pStyle w:val="Header"/>
      <w:rPr>
        <w:rFonts w:ascii="Palatino Linotype" w:hAnsi="Palatino Linotype"/>
      </w:rPr>
    </w:pPr>
    <w:r>
      <w:rPr>
        <w:rFonts w:ascii="Palatino Linotype" w:hAnsi="Palatino Linotype"/>
      </w:rPr>
      <w:t>CEC AL 10-G &amp; AL 12-G/EM9</w:t>
    </w:r>
  </w:p>
  <w:p w14:paraId="537B13D0" w14:textId="77777777" w:rsidR="002E1692" w:rsidRPr="001D1173" w:rsidRDefault="002E1692" w:rsidP="001D11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1508BF97" w:rsidR="00A76F4A" w:rsidRDefault="008213BB" w:rsidP="006555A6">
    <w:pPr>
      <w:pStyle w:val="Header"/>
      <w:rPr>
        <w:rFonts w:ascii="Palatino Linotype" w:hAnsi="Palatino Linotype"/>
      </w:rPr>
    </w:pPr>
    <w:r>
      <w:rPr>
        <w:rFonts w:ascii="Palatino Linotype" w:hAnsi="Palatino Linotype"/>
      </w:rPr>
      <w:t>E</w:t>
    </w:r>
    <w:r w:rsidR="00744E0E">
      <w:rPr>
        <w:rFonts w:ascii="Palatino Linotype" w:hAnsi="Palatino Linotype"/>
      </w:rPr>
      <w:t>NERGY</w:t>
    </w:r>
    <w:r>
      <w:rPr>
        <w:rFonts w:ascii="Palatino Linotype" w:hAnsi="Palatino Linotype"/>
      </w:rPr>
      <w:t xml:space="preserve">/Resolution </w:t>
    </w:r>
    <w:r w:rsidR="00CD2149">
      <w:rPr>
        <w:rFonts w:ascii="Palatino Linotype" w:hAnsi="Palatino Linotype"/>
      </w:rPr>
      <w:t>G</w:t>
    </w:r>
    <w:r w:rsidR="00654697">
      <w:rPr>
        <w:rFonts w:ascii="Palatino Linotype" w:hAnsi="Palatino Linotype"/>
      </w:rPr>
      <w:t>-3622</w:t>
    </w:r>
    <w:r w:rsidR="004255F8">
      <w:rPr>
        <w:rFonts w:ascii="Palatino Linotype" w:hAnsi="Palatino Linotype"/>
      </w:rPr>
      <w:tab/>
    </w:r>
    <w:r w:rsidR="004255F8">
      <w:rPr>
        <w:rFonts w:ascii="Palatino Linotype" w:hAnsi="Palatino Linotype"/>
      </w:rPr>
      <w:tab/>
    </w:r>
    <w:r w:rsidR="00E747C6">
      <w:rPr>
        <w:rFonts w:ascii="Palatino Linotype" w:hAnsi="Palatino Linotype"/>
      </w:rPr>
      <w:t>November 19</w:t>
    </w:r>
    <w:r w:rsidR="00162F5D">
      <w:rPr>
        <w:rFonts w:ascii="Palatino Linotype" w:hAnsi="Palatino Linotype"/>
      </w:rPr>
      <w:t>, 2026</w:t>
    </w:r>
  </w:p>
  <w:p w14:paraId="6F422203" w14:textId="77777777" w:rsidR="00E1241D" w:rsidRPr="00A36CD7" w:rsidRDefault="00E1241D" w:rsidP="00E1241D">
    <w:pPr>
      <w:pStyle w:val="Header"/>
      <w:rPr>
        <w:rFonts w:ascii="Palatino Linotype" w:hAnsi="Palatino Linotype"/>
      </w:rPr>
    </w:pPr>
    <w:r>
      <w:rPr>
        <w:rFonts w:ascii="Palatino Linotype" w:hAnsi="Palatino Linotype"/>
      </w:rPr>
      <w:t>CEC AL 10-G &amp; AL 12-G/EM9</w:t>
    </w:r>
  </w:p>
  <w:p w14:paraId="6B090989" w14:textId="77777777" w:rsidR="00167F5B" w:rsidRPr="00CD2149" w:rsidRDefault="00167F5B" w:rsidP="006555A6">
    <w:pPr>
      <w:pStyle w:val="Header"/>
      <w:rPr>
        <w:rFonts w:ascii="Palatino Linotype" w:hAnsi="Palatino Linotyp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7309" w14:textId="280EA54C" w:rsidR="00C245C0" w:rsidRDefault="00C245C0" w:rsidP="00C245C0">
    <w:pPr>
      <w:pStyle w:val="Header"/>
      <w:rPr>
        <w:rFonts w:ascii="Palatino Linotype" w:hAnsi="Palatino Linotype"/>
      </w:rPr>
    </w:pPr>
    <w:r>
      <w:rPr>
        <w:rFonts w:ascii="Palatino Linotype" w:hAnsi="Palatino Linotype"/>
      </w:rPr>
      <w:t>ENERGY/Resolution G-3622</w:t>
    </w:r>
    <w:r>
      <w:rPr>
        <w:rFonts w:ascii="Palatino Linotype" w:hAnsi="Palatino Linotype"/>
      </w:rPr>
      <w:tab/>
    </w:r>
    <w:r>
      <w:rPr>
        <w:rFonts w:ascii="Palatino Linotype" w:hAnsi="Palatino Linotype"/>
      </w:rPr>
      <w:tab/>
    </w:r>
    <w:r w:rsidR="00E747C6">
      <w:rPr>
        <w:rFonts w:ascii="Palatino Linotype" w:hAnsi="Palatino Linotype"/>
      </w:rPr>
      <w:t>November 19</w:t>
    </w:r>
    <w:r>
      <w:rPr>
        <w:rFonts w:ascii="Palatino Linotype" w:hAnsi="Palatino Linotype"/>
      </w:rPr>
      <w:t>, 2026</w:t>
    </w:r>
  </w:p>
  <w:p w14:paraId="7FD74632" w14:textId="77777777" w:rsidR="00E1241D" w:rsidRPr="00A36CD7" w:rsidRDefault="00E1241D" w:rsidP="00E1241D">
    <w:pPr>
      <w:pStyle w:val="Header"/>
      <w:rPr>
        <w:rFonts w:ascii="Palatino Linotype" w:hAnsi="Palatino Linotype"/>
      </w:rPr>
    </w:pPr>
    <w:r>
      <w:rPr>
        <w:rFonts w:ascii="Palatino Linotype" w:hAnsi="Palatino Linotype"/>
      </w:rPr>
      <w:t>CEC AL 10-G &amp; AL 12-G/EM9</w:t>
    </w:r>
  </w:p>
  <w:p w14:paraId="71AD99C7" w14:textId="77777777" w:rsidR="00E90BAB" w:rsidRPr="00750E92" w:rsidRDefault="00E90BAB" w:rsidP="00C245C0">
    <w:pPr>
      <w:pStyle w:val="Header"/>
      <w:rPr>
        <w:rFonts w:ascii="Palatino Linotype" w:hAnsi="Palatino Linotyp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A4A0" w14:textId="3931A161" w:rsidR="00B86EB4" w:rsidRDefault="00B86EB4" w:rsidP="006555A6">
    <w:pPr>
      <w:pStyle w:val="Header"/>
      <w:rPr>
        <w:rFonts w:ascii="Palatino Linotype" w:hAnsi="Palatino Linotype"/>
      </w:rPr>
    </w:pPr>
    <w:r>
      <w:rPr>
        <w:rFonts w:ascii="Palatino Linotype" w:hAnsi="Palatino Linotype"/>
      </w:rPr>
      <w:t>ENERGY/Resolution G-3622</w:t>
    </w:r>
    <w:r>
      <w:rPr>
        <w:rFonts w:ascii="Palatino Linotype" w:hAnsi="Palatino Linotype"/>
      </w:rPr>
      <w:tab/>
    </w:r>
    <w:r>
      <w:rPr>
        <w:rFonts w:ascii="Palatino Linotype" w:hAnsi="Palatino Linotype"/>
      </w:rPr>
      <w:tab/>
    </w:r>
    <w:r>
      <w:rPr>
        <w:rFonts w:ascii="Palatino Linotype" w:hAnsi="Palatino Linotype"/>
      </w:rPr>
      <w:tab/>
    </w:r>
    <w:r>
      <w:rPr>
        <w:rFonts w:ascii="Palatino Linotype" w:hAnsi="Palatino Linotype"/>
      </w:rPr>
      <w:tab/>
    </w:r>
    <w:r w:rsidR="00E747C6">
      <w:rPr>
        <w:rFonts w:ascii="Palatino Linotype" w:hAnsi="Palatino Linotype"/>
      </w:rPr>
      <w:t>November 19</w:t>
    </w:r>
    <w:r>
      <w:rPr>
        <w:rFonts w:ascii="Palatino Linotype" w:hAnsi="Palatino Linotype"/>
      </w:rPr>
      <w:t>, 2026</w:t>
    </w:r>
  </w:p>
  <w:p w14:paraId="0F1C911D" w14:textId="77777777" w:rsidR="001D1173" w:rsidRPr="00A36CD7" w:rsidRDefault="001D1173" w:rsidP="001D1173">
    <w:pPr>
      <w:pStyle w:val="Header"/>
      <w:rPr>
        <w:rFonts w:ascii="Palatino Linotype" w:hAnsi="Palatino Linotype"/>
      </w:rPr>
    </w:pPr>
    <w:r>
      <w:rPr>
        <w:rFonts w:ascii="Palatino Linotype" w:hAnsi="Palatino Linotype"/>
      </w:rPr>
      <w:t>CEC AL 10-G &amp; AL 12-G/EM9</w:t>
    </w:r>
  </w:p>
  <w:p w14:paraId="1097E0E2" w14:textId="77777777" w:rsidR="00B86EB4" w:rsidRPr="00CD2149" w:rsidRDefault="00B86EB4" w:rsidP="006555A6">
    <w:pPr>
      <w:pStyle w:val="Header"/>
      <w:rPr>
        <w:rFonts w:ascii="Palatino Linotype" w:hAnsi="Palatino Linotyp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A82"/>
    <w:multiLevelType w:val="hybridMultilevel"/>
    <w:tmpl w:val="9E26B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264989"/>
    <w:multiLevelType w:val="hybridMultilevel"/>
    <w:tmpl w:val="2A881122"/>
    <w:lvl w:ilvl="0" w:tplc="8C9CA3E2">
      <w:start w:val="1"/>
      <w:numFmt w:val="decimal"/>
      <w:lvlText w:val="%1)"/>
      <w:lvlJc w:val="left"/>
      <w:pPr>
        <w:ind w:left="720" w:hanging="360"/>
      </w:pPr>
      <w:rPr>
        <w:rFonts w:ascii="Palatino Linotype" w:eastAsiaTheme="minorHAnsi" w:hAnsi="Palatino Linotype"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47DF4"/>
    <w:multiLevelType w:val="hybridMultilevel"/>
    <w:tmpl w:val="952C1F38"/>
    <w:lvl w:ilvl="0" w:tplc="2EF4D6A8">
      <w:start w:val="1"/>
      <w:numFmt w:val="bullet"/>
      <w:lvlText w:val=""/>
      <w:lvlJc w:val="left"/>
      <w:pPr>
        <w:ind w:left="720" w:hanging="360"/>
      </w:pPr>
      <w:rPr>
        <w:rFonts w:ascii="Symbol" w:hAnsi="Symbol"/>
      </w:rPr>
    </w:lvl>
    <w:lvl w:ilvl="1" w:tplc="79D0ADF2">
      <w:start w:val="1"/>
      <w:numFmt w:val="bullet"/>
      <w:lvlText w:val=""/>
      <w:lvlJc w:val="left"/>
      <w:pPr>
        <w:ind w:left="720" w:hanging="360"/>
      </w:pPr>
      <w:rPr>
        <w:rFonts w:ascii="Symbol" w:hAnsi="Symbol"/>
      </w:rPr>
    </w:lvl>
    <w:lvl w:ilvl="2" w:tplc="C63EF11E">
      <w:start w:val="1"/>
      <w:numFmt w:val="bullet"/>
      <w:lvlText w:val=""/>
      <w:lvlJc w:val="left"/>
      <w:pPr>
        <w:ind w:left="720" w:hanging="360"/>
      </w:pPr>
      <w:rPr>
        <w:rFonts w:ascii="Symbol" w:hAnsi="Symbol"/>
      </w:rPr>
    </w:lvl>
    <w:lvl w:ilvl="3" w:tplc="963018E0">
      <w:start w:val="1"/>
      <w:numFmt w:val="bullet"/>
      <w:lvlText w:val=""/>
      <w:lvlJc w:val="left"/>
      <w:pPr>
        <w:ind w:left="720" w:hanging="360"/>
      </w:pPr>
      <w:rPr>
        <w:rFonts w:ascii="Symbol" w:hAnsi="Symbol"/>
      </w:rPr>
    </w:lvl>
    <w:lvl w:ilvl="4" w:tplc="CCC2CCD6">
      <w:start w:val="1"/>
      <w:numFmt w:val="bullet"/>
      <w:lvlText w:val=""/>
      <w:lvlJc w:val="left"/>
      <w:pPr>
        <w:ind w:left="720" w:hanging="360"/>
      </w:pPr>
      <w:rPr>
        <w:rFonts w:ascii="Symbol" w:hAnsi="Symbol"/>
      </w:rPr>
    </w:lvl>
    <w:lvl w:ilvl="5" w:tplc="CB2870C6">
      <w:start w:val="1"/>
      <w:numFmt w:val="bullet"/>
      <w:lvlText w:val=""/>
      <w:lvlJc w:val="left"/>
      <w:pPr>
        <w:ind w:left="720" w:hanging="360"/>
      </w:pPr>
      <w:rPr>
        <w:rFonts w:ascii="Symbol" w:hAnsi="Symbol"/>
      </w:rPr>
    </w:lvl>
    <w:lvl w:ilvl="6" w:tplc="C0E0D940">
      <w:start w:val="1"/>
      <w:numFmt w:val="bullet"/>
      <w:lvlText w:val=""/>
      <w:lvlJc w:val="left"/>
      <w:pPr>
        <w:ind w:left="720" w:hanging="360"/>
      </w:pPr>
      <w:rPr>
        <w:rFonts w:ascii="Symbol" w:hAnsi="Symbol"/>
      </w:rPr>
    </w:lvl>
    <w:lvl w:ilvl="7" w:tplc="2EC481DC">
      <w:start w:val="1"/>
      <w:numFmt w:val="bullet"/>
      <w:lvlText w:val=""/>
      <w:lvlJc w:val="left"/>
      <w:pPr>
        <w:ind w:left="720" w:hanging="360"/>
      </w:pPr>
      <w:rPr>
        <w:rFonts w:ascii="Symbol" w:hAnsi="Symbol"/>
      </w:rPr>
    </w:lvl>
    <w:lvl w:ilvl="8" w:tplc="53A8A542">
      <w:start w:val="1"/>
      <w:numFmt w:val="bullet"/>
      <w:lvlText w:val=""/>
      <w:lvlJc w:val="left"/>
      <w:pPr>
        <w:ind w:left="720" w:hanging="360"/>
      </w:pPr>
      <w:rPr>
        <w:rFonts w:ascii="Symbol" w:hAnsi="Symbol"/>
      </w:rPr>
    </w:lvl>
  </w:abstractNum>
  <w:abstractNum w:abstractNumId="3" w15:restartNumberingAfterBreak="0">
    <w:nsid w:val="04D50E09"/>
    <w:multiLevelType w:val="hybridMultilevel"/>
    <w:tmpl w:val="20026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996146"/>
    <w:multiLevelType w:val="hybridMultilevel"/>
    <w:tmpl w:val="2D2A0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0A5253"/>
    <w:multiLevelType w:val="hybridMultilevel"/>
    <w:tmpl w:val="0D7A5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8934EE"/>
    <w:multiLevelType w:val="hybridMultilevel"/>
    <w:tmpl w:val="15C21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84A70"/>
    <w:multiLevelType w:val="hybridMultilevel"/>
    <w:tmpl w:val="E71E21E6"/>
    <w:lvl w:ilvl="0" w:tplc="56044820">
      <w:start w:val="1"/>
      <w:numFmt w:val="lowerLetter"/>
      <w:lvlText w:val="%1)"/>
      <w:lvlJc w:val="left"/>
      <w:pPr>
        <w:ind w:left="720" w:hanging="360"/>
      </w:pPr>
      <w:rPr>
        <w:rFonts w:ascii="Palatino Linotype" w:eastAsia="SimSun" w:hAnsi="Palatino Linotype"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4372D"/>
    <w:multiLevelType w:val="hybridMultilevel"/>
    <w:tmpl w:val="D7FC742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F48F1"/>
    <w:multiLevelType w:val="hybridMultilevel"/>
    <w:tmpl w:val="DBE0AD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369550C"/>
    <w:multiLevelType w:val="hybridMultilevel"/>
    <w:tmpl w:val="08B45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814958"/>
    <w:multiLevelType w:val="hybridMultilevel"/>
    <w:tmpl w:val="126AB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20A2B"/>
    <w:multiLevelType w:val="hybridMultilevel"/>
    <w:tmpl w:val="A132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5D4D56"/>
    <w:multiLevelType w:val="hybridMultilevel"/>
    <w:tmpl w:val="33DAA7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CE655DF"/>
    <w:multiLevelType w:val="multilevel"/>
    <w:tmpl w:val="1A06C7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A2369"/>
    <w:multiLevelType w:val="hybridMultilevel"/>
    <w:tmpl w:val="53F2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0D3999"/>
    <w:multiLevelType w:val="hybridMultilevel"/>
    <w:tmpl w:val="C28CE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04D5FC9"/>
    <w:multiLevelType w:val="multilevel"/>
    <w:tmpl w:val="EA90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DB1825"/>
    <w:multiLevelType w:val="hybridMultilevel"/>
    <w:tmpl w:val="D14CC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81321"/>
    <w:multiLevelType w:val="hybridMultilevel"/>
    <w:tmpl w:val="FC0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157642"/>
    <w:multiLevelType w:val="hybridMultilevel"/>
    <w:tmpl w:val="1F101374"/>
    <w:lvl w:ilvl="0" w:tplc="B21A4424">
      <w:start w:val="1"/>
      <w:numFmt w:val="decimal"/>
      <w:lvlText w:val="%1)"/>
      <w:lvlJc w:val="left"/>
      <w:pPr>
        <w:ind w:left="1020" w:hanging="360"/>
      </w:pPr>
    </w:lvl>
    <w:lvl w:ilvl="1" w:tplc="81DAF398">
      <w:start w:val="1"/>
      <w:numFmt w:val="decimal"/>
      <w:lvlText w:val="%2)"/>
      <w:lvlJc w:val="left"/>
      <w:pPr>
        <w:ind w:left="1020" w:hanging="360"/>
      </w:pPr>
    </w:lvl>
    <w:lvl w:ilvl="2" w:tplc="B61A9E48">
      <w:start w:val="1"/>
      <w:numFmt w:val="decimal"/>
      <w:lvlText w:val="%3)"/>
      <w:lvlJc w:val="left"/>
      <w:pPr>
        <w:ind w:left="1020" w:hanging="360"/>
      </w:pPr>
    </w:lvl>
    <w:lvl w:ilvl="3" w:tplc="DF322354">
      <w:start w:val="1"/>
      <w:numFmt w:val="decimal"/>
      <w:lvlText w:val="%4)"/>
      <w:lvlJc w:val="left"/>
      <w:pPr>
        <w:ind w:left="1020" w:hanging="360"/>
      </w:pPr>
    </w:lvl>
    <w:lvl w:ilvl="4" w:tplc="C89CA5DE">
      <w:start w:val="1"/>
      <w:numFmt w:val="decimal"/>
      <w:lvlText w:val="%5)"/>
      <w:lvlJc w:val="left"/>
      <w:pPr>
        <w:ind w:left="1020" w:hanging="360"/>
      </w:pPr>
    </w:lvl>
    <w:lvl w:ilvl="5" w:tplc="A782C870">
      <w:start w:val="1"/>
      <w:numFmt w:val="decimal"/>
      <w:lvlText w:val="%6)"/>
      <w:lvlJc w:val="left"/>
      <w:pPr>
        <w:ind w:left="1020" w:hanging="360"/>
      </w:pPr>
    </w:lvl>
    <w:lvl w:ilvl="6" w:tplc="1D22112E">
      <w:start w:val="1"/>
      <w:numFmt w:val="decimal"/>
      <w:lvlText w:val="%7)"/>
      <w:lvlJc w:val="left"/>
      <w:pPr>
        <w:ind w:left="1020" w:hanging="360"/>
      </w:pPr>
    </w:lvl>
    <w:lvl w:ilvl="7" w:tplc="562C4856">
      <w:start w:val="1"/>
      <w:numFmt w:val="decimal"/>
      <w:lvlText w:val="%8)"/>
      <w:lvlJc w:val="left"/>
      <w:pPr>
        <w:ind w:left="1020" w:hanging="360"/>
      </w:pPr>
    </w:lvl>
    <w:lvl w:ilvl="8" w:tplc="84B46470">
      <w:start w:val="1"/>
      <w:numFmt w:val="decimal"/>
      <w:lvlText w:val="%9)"/>
      <w:lvlJc w:val="left"/>
      <w:pPr>
        <w:ind w:left="1020" w:hanging="360"/>
      </w:pPr>
    </w:lvl>
  </w:abstractNum>
  <w:abstractNum w:abstractNumId="21" w15:restartNumberingAfterBreak="0">
    <w:nsid w:val="25074680"/>
    <w:multiLevelType w:val="hybridMultilevel"/>
    <w:tmpl w:val="C9AC63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52830AA"/>
    <w:multiLevelType w:val="hybridMultilevel"/>
    <w:tmpl w:val="466AC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886CB1"/>
    <w:multiLevelType w:val="hybridMultilevel"/>
    <w:tmpl w:val="32AA33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6F8414F"/>
    <w:multiLevelType w:val="hybridMultilevel"/>
    <w:tmpl w:val="5C827A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7023B0E"/>
    <w:multiLevelType w:val="hybridMultilevel"/>
    <w:tmpl w:val="A7B2D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CF37CE"/>
    <w:multiLevelType w:val="multilevel"/>
    <w:tmpl w:val="2D3A84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634DA0"/>
    <w:multiLevelType w:val="hybridMultilevel"/>
    <w:tmpl w:val="7910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B0117E"/>
    <w:multiLevelType w:val="hybridMultilevel"/>
    <w:tmpl w:val="E61C7D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68187D"/>
    <w:multiLevelType w:val="multilevel"/>
    <w:tmpl w:val="373444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36E6504F"/>
    <w:multiLevelType w:val="hybridMultilevel"/>
    <w:tmpl w:val="4EEE8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90C31C2"/>
    <w:multiLevelType w:val="hybridMultilevel"/>
    <w:tmpl w:val="2F6E10A6"/>
    <w:lvl w:ilvl="0" w:tplc="FDE4A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512AD2"/>
    <w:multiLevelType w:val="hybridMultilevel"/>
    <w:tmpl w:val="28964612"/>
    <w:lvl w:ilvl="0" w:tplc="D5781E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7E7DDF"/>
    <w:multiLevelType w:val="hybridMultilevel"/>
    <w:tmpl w:val="F24C0230"/>
    <w:lvl w:ilvl="0" w:tplc="2A3ED80A">
      <w:start w:val="1"/>
      <w:numFmt w:val="decimal"/>
      <w:lvlText w:val="%1."/>
      <w:lvlJc w:val="left"/>
      <w:pPr>
        <w:ind w:left="720" w:hanging="360"/>
      </w:pPr>
    </w:lvl>
    <w:lvl w:ilvl="1" w:tplc="70A62C00">
      <w:start w:val="1"/>
      <w:numFmt w:val="lowerLetter"/>
      <w:lvlText w:val="%2."/>
      <w:lvlJc w:val="left"/>
      <w:pPr>
        <w:ind w:left="1440" w:hanging="360"/>
      </w:pPr>
    </w:lvl>
    <w:lvl w:ilvl="2" w:tplc="6AE8B54A">
      <w:start w:val="1"/>
      <w:numFmt w:val="lowerRoman"/>
      <w:lvlText w:val="%3."/>
      <w:lvlJc w:val="right"/>
      <w:pPr>
        <w:ind w:left="2160" w:hanging="180"/>
      </w:pPr>
    </w:lvl>
    <w:lvl w:ilvl="3" w:tplc="80BAD950">
      <w:start w:val="1"/>
      <w:numFmt w:val="decimal"/>
      <w:lvlText w:val="%4."/>
      <w:lvlJc w:val="left"/>
      <w:pPr>
        <w:ind w:left="2880" w:hanging="360"/>
      </w:pPr>
    </w:lvl>
    <w:lvl w:ilvl="4" w:tplc="56A44F06">
      <w:start w:val="1"/>
      <w:numFmt w:val="lowerLetter"/>
      <w:lvlText w:val="%5."/>
      <w:lvlJc w:val="left"/>
      <w:pPr>
        <w:ind w:left="3600" w:hanging="360"/>
      </w:pPr>
    </w:lvl>
    <w:lvl w:ilvl="5" w:tplc="0994F682">
      <w:start w:val="1"/>
      <w:numFmt w:val="lowerRoman"/>
      <w:lvlText w:val="%6."/>
      <w:lvlJc w:val="right"/>
      <w:pPr>
        <w:ind w:left="4320" w:hanging="180"/>
      </w:pPr>
    </w:lvl>
    <w:lvl w:ilvl="6" w:tplc="8B280AC4">
      <w:start w:val="1"/>
      <w:numFmt w:val="decimal"/>
      <w:lvlText w:val="%7."/>
      <w:lvlJc w:val="left"/>
      <w:pPr>
        <w:ind w:left="5040" w:hanging="360"/>
      </w:pPr>
    </w:lvl>
    <w:lvl w:ilvl="7" w:tplc="5DD061F6">
      <w:start w:val="1"/>
      <w:numFmt w:val="lowerLetter"/>
      <w:lvlText w:val="%8."/>
      <w:lvlJc w:val="left"/>
      <w:pPr>
        <w:ind w:left="5760" w:hanging="360"/>
      </w:pPr>
    </w:lvl>
    <w:lvl w:ilvl="8" w:tplc="7BA84F3C">
      <w:start w:val="1"/>
      <w:numFmt w:val="lowerRoman"/>
      <w:lvlText w:val="%9."/>
      <w:lvlJc w:val="right"/>
      <w:pPr>
        <w:ind w:left="6480" w:hanging="180"/>
      </w:pPr>
    </w:lvl>
  </w:abstractNum>
  <w:abstractNum w:abstractNumId="34" w15:restartNumberingAfterBreak="0">
    <w:nsid w:val="40111613"/>
    <w:multiLevelType w:val="hybridMultilevel"/>
    <w:tmpl w:val="843C5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A408AB"/>
    <w:multiLevelType w:val="hybridMultilevel"/>
    <w:tmpl w:val="691E0774"/>
    <w:lvl w:ilvl="0" w:tplc="A9220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DC4FBE"/>
    <w:multiLevelType w:val="multilevel"/>
    <w:tmpl w:val="C4DE0D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3CE6582"/>
    <w:multiLevelType w:val="hybridMultilevel"/>
    <w:tmpl w:val="F8C2D5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5213F6B"/>
    <w:multiLevelType w:val="hybridMultilevel"/>
    <w:tmpl w:val="41EC5B1A"/>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61B2FD1"/>
    <w:multiLevelType w:val="hybridMultilevel"/>
    <w:tmpl w:val="F2E0FCC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77645D4"/>
    <w:multiLevelType w:val="hybridMultilevel"/>
    <w:tmpl w:val="55E2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AC416C9"/>
    <w:multiLevelType w:val="hybridMultilevel"/>
    <w:tmpl w:val="B308D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B5F498A"/>
    <w:multiLevelType w:val="hybridMultilevel"/>
    <w:tmpl w:val="E688B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BF655E7"/>
    <w:multiLevelType w:val="hybridMultilevel"/>
    <w:tmpl w:val="9AC6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EE1372"/>
    <w:multiLevelType w:val="hybridMultilevel"/>
    <w:tmpl w:val="520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B00B7E"/>
    <w:multiLevelType w:val="hybridMultilevel"/>
    <w:tmpl w:val="DA6E3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5987C3E"/>
    <w:multiLevelType w:val="hybridMultilevel"/>
    <w:tmpl w:val="57FA8898"/>
    <w:lvl w:ilvl="0" w:tplc="9ED289C4">
      <w:start w:val="1"/>
      <w:numFmt w:val="decimal"/>
      <w:lvlText w:val="%1)"/>
      <w:lvlJc w:val="left"/>
      <w:pPr>
        <w:ind w:left="1020" w:hanging="360"/>
      </w:pPr>
    </w:lvl>
    <w:lvl w:ilvl="1" w:tplc="BBE0F4F0">
      <w:start w:val="1"/>
      <w:numFmt w:val="decimal"/>
      <w:lvlText w:val="%2)"/>
      <w:lvlJc w:val="left"/>
      <w:pPr>
        <w:ind w:left="1020" w:hanging="360"/>
      </w:pPr>
    </w:lvl>
    <w:lvl w:ilvl="2" w:tplc="4E1E5594">
      <w:start w:val="1"/>
      <w:numFmt w:val="decimal"/>
      <w:lvlText w:val="%3)"/>
      <w:lvlJc w:val="left"/>
      <w:pPr>
        <w:ind w:left="1020" w:hanging="360"/>
      </w:pPr>
    </w:lvl>
    <w:lvl w:ilvl="3" w:tplc="99D4F7B2">
      <w:start w:val="1"/>
      <w:numFmt w:val="decimal"/>
      <w:lvlText w:val="%4)"/>
      <w:lvlJc w:val="left"/>
      <w:pPr>
        <w:ind w:left="1020" w:hanging="360"/>
      </w:pPr>
    </w:lvl>
    <w:lvl w:ilvl="4" w:tplc="20DA8E30">
      <w:start w:val="1"/>
      <w:numFmt w:val="decimal"/>
      <w:lvlText w:val="%5)"/>
      <w:lvlJc w:val="left"/>
      <w:pPr>
        <w:ind w:left="1020" w:hanging="360"/>
      </w:pPr>
    </w:lvl>
    <w:lvl w:ilvl="5" w:tplc="5B509766">
      <w:start w:val="1"/>
      <w:numFmt w:val="decimal"/>
      <w:lvlText w:val="%6)"/>
      <w:lvlJc w:val="left"/>
      <w:pPr>
        <w:ind w:left="1020" w:hanging="360"/>
      </w:pPr>
    </w:lvl>
    <w:lvl w:ilvl="6" w:tplc="8FC03F46">
      <w:start w:val="1"/>
      <w:numFmt w:val="decimal"/>
      <w:lvlText w:val="%7)"/>
      <w:lvlJc w:val="left"/>
      <w:pPr>
        <w:ind w:left="1020" w:hanging="360"/>
      </w:pPr>
    </w:lvl>
    <w:lvl w:ilvl="7" w:tplc="B170C76E">
      <w:start w:val="1"/>
      <w:numFmt w:val="decimal"/>
      <w:lvlText w:val="%8)"/>
      <w:lvlJc w:val="left"/>
      <w:pPr>
        <w:ind w:left="1020" w:hanging="360"/>
      </w:pPr>
    </w:lvl>
    <w:lvl w:ilvl="8" w:tplc="53A42F12">
      <w:start w:val="1"/>
      <w:numFmt w:val="decimal"/>
      <w:lvlText w:val="%9)"/>
      <w:lvlJc w:val="left"/>
      <w:pPr>
        <w:ind w:left="1020" w:hanging="360"/>
      </w:pPr>
    </w:lvl>
  </w:abstractNum>
  <w:abstractNum w:abstractNumId="47" w15:restartNumberingAfterBreak="0">
    <w:nsid w:val="569B4B64"/>
    <w:multiLevelType w:val="hybridMultilevel"/>
    <w:tmpl w:val="E996AF8A"/>
    <w:lvl w:ilvl="0" w:tplc="FDE4A3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74F3323"/>
    <w:multiLevelType w:val="hybridMultilevel"/>
    <w:tmpl w:val="17A0D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C70179"/>
    <w:multiLevelType w:val="hybridMultilevel"/>
    <w:tmpl w:val="7326EC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CEE5703"/>
    <w:multiLevelType w:val="hybridMultilevel"/>
    <w:tmpl w:val="9C92F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CF56A29"/>
    <w:multiLevelType w:val="hybridMultilevel"/>
    <w:tmpl w:val="54C45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DEF6DDE"/>
    <w:multiLevelType w:val="hybridMultilevel"/>
    <w:tmpl w:val="15C21AB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3796459"/>
    <w:multiLevelType w:val="hybridMultilevel"/>
    <w:tmpl w:val="D278E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4ED1C06"/>
    <w:multiLevelType w:val="multilevel"/>
    <w:tmpl w:val="76341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9BD3A92"/>
    <w:multiLevelType w:val="hybridMultilevel"/>
    <w:tmpl w:val="79C4D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B945CCB"/>
    <w:multiLevelType w:val="hybridMultilevel"/>
    <w:tmpl w:val="549C5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BB84711"/>
    <w:multiLevelType w:val="hybridMultilevel"/>
    <w:tmpl w:val="04EE7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59" w15:restartNumberingAfterBreak="0">
    <w:nsid w:val="75C37B0C"/>
    <w:multiLevelType w:val="hybridMultilevel"/>
    <w:tmpl w:val="B3E0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E00E78"/>
    <w:multiLevelType w:val="hybridMultilevel"/>
    <w:tmpl w:val="88C20E54"/>
    <w:lvl w:ilvl="0" w:tplc="24505F6C">
      <w:start w:val="1"/>
      <w:numFmt w:val="decimal"/>
      <w:lvlText w:val="%1)"/>
      <w:lvlJc w:val="left"/>
      <w:pPr>
        <w:ind w:left="1020" w:hanging="360"/>
      </w:pPr>
    </w:lvl>
    <w:lvl w:ilvl="1" w:tplc="08C00D86">
      <w:start w:val="1"/>
      <w:numFmt w:val="decimal"/>
      <w:lvlText w:val="%2)"/>
      <w:lvlJc w:val="left"/>
      <w:pPr>
        <w:ind w:left="1020" w:hanging="360"/>
      </w:pPr>
    </w:lvl>
    <w:lvl w:ilvl="2" w:tplc="2BBC44E8">
      <w:start w:val="1"/>
      <w:numFmt w:val="decimal"/>
      <w:lvlText w:val="%3)"/>
      <w:lvlJc w:val="left"/>
      <w:pPr>
        <w:ind w:left="1020" w:hanging="360"/>
      </w:pPr>
    </w:lvl>
    <w:lvl w:ilvl="3" w:tplc="0316D326">
      <w:start w:val="1"/>
      <w:numFmt w:val="decimal"/>
      <w:lvlText w:val="%4)"/>
      <w:lvlJc w:val="left"/>
      <w:pPr>
        <w:ind w:left="1020" w:hanging="360"/>
      </w:pPr>
    </w:lvl>
    <w:lvl w:ilvl="4" w:tplc="07046730">
      <w:start w:val="1"/>
      <w:numFmt w:val="decimal"/>
      <w:lvlText w:val="%5)"/>
      <w:lvlJc w:val="left"/>
      <w:pPr>
        <w:ind w:left="1020" w:hanging="360"/>
      </w:pPr>
    </w:lvl>
    <w:lvl w:ilvl="5" w:tplc="2C68E716">
      <w:start w:val="1"/>
      <w:numFmt w:val="decimal"/>
      <w:lvlText w:val="%6)"/>
      <w:lvlJc w:val="left"/>
      <w:pPr>
        <w:ind w:left="1020" w:hanging="360"/>
      </w:pPr>
    </w:lvl>
    <w:lvl w:ilvl="6" w:tplc="C636AD78">
      <w:start w:val="1"/>
      <w:numFmt w:val="decimal"/>
      <w:lvlText w:val="%7)"/>
      <w:lvlJc w:val="left"/>
      <w:pPr>
        <w:ind w:left="1020" w:hanging="360"/>
      </w:pPr>
    </w:lvl>
    <w:lvl w:ilvl="7" w:tplc="444ED9BA">
      <w:start w:val="1"/>
      <w:numFmt w:val="decimal"/>
      <w:lvlText w:val="%8)"/>
      <w:lvlJc w:val="left"/>
      <w:pPr>
        <w:ind w:left="1020" w:hanging="360"/>
      </w:pPr>
    </w:lvl>
    <w:lvl w:ilvl="8" w:tplc="504A9980">
      <w:start w:val="1"/>
      <w:numFmt w:val="decimal"/>
      <w:lvlText w:val="%9)"/>
      <w:lvlJc w:val="left"/>
      <w:pPr>
        <w:ind w:left="1020" w:hanging="360"/>
      </w:pPr>
    </w:lvl>
  </w:abstractNum>
  <w:abstractNum w:abstractNumId="61" w15:restartNumberingAfterBreak="0">
    <w:nsid w:val="78DF4516"/>
    <w:multiLevelType w:val="hybridMultilevel"/>
    <w:tmpl w:val="4A96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C994570"/>
    <w:multiLevelType w:val="hybridMultilevel"/>
    <w:tmpl w:val="20DA9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4620235">
    <w:abstractNumId w:val="24"/>
  </w:num>
  <w:num w:numId="2" w16cid:durableId="969365539">
    <w:abstractNumId w:val="57"/>
  </w:num>
  <w:num w:numId="3" w16cid:durableId="426273653">
    <w:abstractNumId w:val="58"/>
  </w:num>
  <w:num w:numId="4" w16cid:durableId="1299454016">
    <w:abstractNumId w:val="28"/>
  </w:num>
  <w:num w:numId="5" w16cid:durableId="1679309455">
    <w:abstractNumId w:val="34"/>
  </w:num>
  <w:num w:numId="6" w16cid:durableId="1901943406">
    <w:abstractNumId w:val="32"/>
  </w:num>
  <w:num w:numId="7" w16cid:durableId="244657654">
    <w:abstractNumId w:val="47"/>
  </w:num>
  <w:num w:numId="8" w16cid:durableId="1998723742">
    <w:abstractNumId w:val="1"/>
  </w:num>
  <w:num w:numId="9" w16cid:durableId="1483504008">
    <w:abstractNumId w:val="33"/>
  </w:num>
  <w:num w:numId="10" w16cid:durableId="742096123">
    <w:abstractNumId w:val="6"/>
  </w:num>
  <w:num w:numId="11" w16cid:durableId="657658086">
    <w:abstractNumId w:val="52"/>
  </w:num>
  <w:num w:numId="12" w16cid:durableId="1509707999">
    <w:abstractNumId w:val="39"/>
  </w:num>
  <w:num w:numId="13" w16cid:durableId="1533415376">
    <w:abstractNumId w:val="40"/>
  </w:num>
  <w:num w:numId="14" w16cid:durableId="628173806">
    <w:abstractNumId w:val="12"/>
  </w:num>
  <w:num w:numId="15" w16cid:durableId="1579244243">
    <w:abstractNumId w:val="19"/>
  </w:num>
  <w:num w:numId="16" w16cid:durableId="2021002017">
    <w:abstractNumId w:val="18"/>
  </w:num>
  <w:num w:numId="17" w16cid:durableId="210964838">
    <w:abstractNumId w:val="25"/>
  </w:num>
  <w:num w:numId="18" w16cid:durableId="35473544">
    <w:abstractNumId w:val="43"/>
  </w:num>
  <w:num w:numId="19" w16cid:durableId="1533150403">
    <w:abstractNumId w:val="44"/>
  </w:num>
  <w:num w:numId="20" w16cid:durableId="1319262154">
    <w:abstractNumId w:val="37"/>
  </w:num>
  <w:num w:numId="21" w16cid:durableId="840239882">
    <w:abstractNumId w:val="31"/>
  </w:num>
  <w:num w:numId="22" w16cid:durableId="1981642063">
    <w:abstractNumId w:val="22"/>
  </w:num>
  <w:num w:numId="23" w16cid:durableId="1268000252">
    <w:abstractNumId w:val="51"/>
  </w:num>
  <w:num w:numId="24" w16cid:durableId="612637397">
    <w:abstractNumId w:val="9"/>
  </w:num>
  <w:num w:numId="25" w16cid:durableId="585923174">
    <w:abstractNumId w:val="8"/>
  </w:num>
  <w:num w:numId="26" w16cid:durableId="474108692">
    <w:abstractNumId w:val="55"/>
  </w:num>
  <w:num w:numId="27" w16cid:durableId="1912425364">
    <w:abstractNumId w:val="38"/>
  </w:num>
  <w:num w:numId="28" w16cid:durableId="562522817">
    <w:abstractNumId w:val="30"/>
  </w:num>
  <w:num w:numId="29" w16cid:durableId="643437217">
    <w:abstractNumId w:val="35"/>
  </w:num>
  <w:num w:numId="30" w16cid:durableId="224875705">
    <w:abstractNumId w:val="3"/>
  </w:num>
  <w:num w:numId="31" w16cid:durableId="2057581894">
    <w:abstractNumId w:val="5"/>
  </w:num>
  <w:num w:numId="32" w16cid:durableId="469447235">
    <w:abstractNumId w:val="56"/>
  </w:num>
  <w:num w:numId="33" w16cid:durableId="1272937375">
    <w:abstractNumId w:val="49"/>
  </w:num>
  <w:num w:numId="34" w16cid:durableId="1545633649">
    <w:abstractNumId w:val="53"/>
  </w:num>
  <w:num w:numId="35" w16cid:durableId="2109693785">
    <w:abstractNumId w:val="16"/>
  </w:num>
  <w:num w:numId="36" w16cid:durableId="2066759013">
    <w:abstractNumId w:val="0"/>
  </w:num>
  <w:num w:numId="37" w16cid:durableId="813529918">
    <w:abstractNumId w:val="41"/>
  </w:num>
  <w:num w:numId="38" w16cid:durableId="1037388291">
    <w:abstractNumId w:val="23"/>
  </w:num>
  <w:num w:numId="39" w16cid:durableId="361899006">
    <w:abstractNumId w:val="4"/>
  </w:num>
  <w:num w:numId="40" w16cid:durableId="2130197883">
    <w:abstractNumId w:val="42"/>
  </w:num>
  <w:num w:numId="41" w16cid:durableId="1660383525">
    <w:abstractNumId w:val="59"/>
  </w:num>
  <w:num w:numId="42" w16cid:durableId="406466466">
    <w:abstractNumId w:val="7"/>
  </w:num>
  <w:num w:numId="43" w16cid:durableId="321659753">
    <w:abstractNumId w:val="21"/>
  </w:num>
  <w:num w:numId="44" w16cid:durableId="773403784">
    <w:abstractNumId w:val="62"/>
  </w:num>
  <w:num w:numId="45" w16cid:durableId="1063869509">
    <w:abstractNumId w:val="11"/>
  </w:num>
  <w:num w:numId="46" w16cid:durableId="222059364">
    <w:abstractNumId w:val="45"/>
  </w:num>
  <w:num w:numId="47" w16cid:durableId="768085785">
    <w:abstractNumId w:val="2"/>
  </w:num>
  <w:num w:numId="48" w16cid:durableId="570315916">
    <w:abstractNumId w:val="17"/>
  </w:num>
  <w:num w:numId="49" w16cid:durableId="1202478792">
    <w:abstractNumId w:val="29"/>
  </w:num>
  <w:num w:numId="50" w16cid:durableId="1858960462">
    <w:abstractNumId w:val="54"/>
  </w:num>
  <w:num w:numId="51" w16cid:durableId="324667496">
    <w:abstractNumId w:val="27"/>
  </w:num>
  <w:num w:numId="52" w16cid:durableId="2025281840">
    <w:abstractNumId w:val="48"/>
  </w:num>
  <w:num w:numId="53" w16cid:durableId="674066706">
    <w:abstractNumId w:val="46"/>
  </w:num>
  <w:num w:numId="54" w16cid:durableId="448083419">
    <w:abstractNumId w:val="50"/>
  </w:num>
  <w:num w:numId="55" w16cid:durableId="1808618649">
    <w:abstractNumId w:val="36"/>
  </w:num>
  <w:num w:numId="56" w16cid:durableId="1559048962">
    <w:abstractNumId w:val="26"/>
  </w:num>
  <w:num w:numId="57" w16cid:durableId="2036804193">
    <w:abstractNumId w:val="14"/>
  </w:num>
  <w:num w:numId="58" w16cid:durableId="1748571240">
    <w:abstractNumId w:val="13"/>
  </w:num>
  <w:num w:numId="59" w16cid:durableId="584807862">
    <w:abstractNumId w:val="10"/>
  </w:num>
  <w:num w:numId="60" w16cid:durableId="335960250">
    <w:abstractNumId w:val="60"/>
  </w:num>
  <w:num w:numId="61" w16cid:durableId="1296177529">
    <w:abstractNumId w:val="61"/>
  </w:num>
  <w:num w:numId="62" w16cid:durableId="36056534">
    <w:abstractNumId w:val="15"/>
  </w:num>
  <w:num w:numId="63" w16cid:durableId="1576207606">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8B5"/>
    <w:rsid w:val="00000ACE"/>
    <w:rsid w:val="00000B1E"/>
    <w:rsid w:val="00000B8A"/>
    <w:rsid w:val="00000C97"/>
    <w:rsid w:val="00000EB6"/>
    <w:rsid w:val="00000FC7"/>
    <w:rsid w:val="00001022"/>
    <w:rsid w:val="00001179"/>
    <w:rsid w:val="000011E5"/>
    <w:rsid w:val="00001203"/>
    <w:rsid w:val="00001661"/>
    <w:rsid w:val="000016E4"/>
    <w:rsid w:val="00001865"/>
    <w:rsid w:val="00001A3B"/>
    <w:rsid w:val="00001CBB"/>
    <w:rsid w:val="00001D6B"/>
    <w:rsid w:val="00001DFC"/>
    <w:rsid w:val="00002139"/>
    <w:rsid w:val="0000219E"/>
    <w:rsid w:val="000021CC"/>
    <w:rsid w:val="00002216"/>
    <w:rsid w:val="000022C1"/>
    <w:rsid w:val="00002407"/>
    <w:rsid w:val="000024E6"/>
    <w:rsid w:val="00002784"/>
    <w:rsid w:val="00002ABE"/>
    <w:rsid w:val="00002B59"/>
    <w:rsid w:val="00002B61"/>
    <w:rsid w:val="00002FF9"/>
    <w:rsid w:val="00003485"/>
    <w:rsid w:val="000034E0"/>
    <w:rsid w:val="00003805"/>
    <w:rsid w:val="00003E32"/>
    <w:rsid w:val="000041A0"/>
    <w:rsid w:val="000044FC"/>
    <w:rsid w:val="00004652"/>
    <w:rsid w:val="0000477A"/>
    <w:rsid w:val="000048D9"/>
    <w:rsid w:val="00004C87"/>
    <w:rsid w:val="000050D0"/>
    <w:rsid w:val="000058D1"/>
    <w:rsid w:val="00005D5A"/>
    <w:rsid w:val="00006431"/>
    <w:rsid w:val="00006467"/>
    <w:rsid w:val="00006489"/>
    <w:rsid w:val="00006650"/>
    <w:rsid w:val="000067BD"/>
    <w:rsid w:val="00006886"/>
    <w:rsid w:val="0000690E"/>
    <w:rsid w:val="00006B79"/>
    <w:rsid w:val="000072A7"/>
    <w:rsid w:val="00007617"/>
    <w:rsid w:val="00007788"/>
    <w:rsid w:val="000077A3"/>
    <w:rsid w:val="0000788A"/>
    <w:rsid w:val="0000799D"/>
    <w:rsid w:val="000079E4"/>
    <w:rsid w:val="0001013B"/>
    <w:rsid w:val="000102D7"/>
    <w:rsid w:val="00010361"/>
    <w:rsid w:val="00010648"/>
    <w:rsid w:val="0001077B"/>
    <w:rsid w:val="00010C85"/>
    <w:rsid w:val="00010E12"/>
    <w:rsid w:val="00010EFE"/>
    <w:rsid w:val="00011464"/>
    <w:rsid w:val="000119E7"/>
    <w:rsid w:val="00011EF8"/>
    <w:rsid w:val="000121D0"/>
    <w:rsid w:val="00012343"/>
    <w:rsid w:val="000124F7"/>
    <w:rsid w:val="0001262D"/>
    <w:rsid w:val="00012894"/>
    <w:rsid w:val="00012B28"/>
    <w:rsid w:val="00012C87"/>
    <w:rsid w:val="00012E8F"/>
    <w:rsid w:val="00013099"/>
    <w:rsid w:val="000131C4"/>
    <w:rsid w:val="00013208"/>
    <w:rsid w:val="00013408"/>
    <w:rsid w:val="0001362A"/>
    <w:rsid w:val="0001369D"/>
    <w:rsid w:val="00013713"/>
    <w:rsid w:val="00013912"/>
    <w:rsid w:val="0001391D"/>
    <w:rsid w:val="00013AE3"/>
    <w:rsid w:val="00013BC1"/>
    <w:rsid w:val="00013BC5"/>
    <w:rsid w:val="00013D7A"/>
    <w:rsid w:val="00013EED"/>
    <w:rsid w:val="00014427"/>
    <w:rsid w:val="00014440"/>
    <w:rsid w:val="0001446F"/>
    <w:rsid w:val="000144D2"/>
    <w:rsid w:val="0001455A"/>
    <w:rsid w:val="0001471A"/>
    <w:rsid w:val="00014775"/>
    <w:rsid w:val="00014A57"/>
    <w:rsid w:val="00014BFC"/>
    <w:rsid w:val="00014D1E"/>
    <w:rsid w:val="00015073"/>
    <w:rsid w:val="0001510F"/>
    <w:rsid w:val="000151F6"/>
    <w:rsid w:val="00015301"/>
    <w:rsid w:val="0001537E"/>
    <w:rsid w:val="00015683"/>
    <w:rsid w:val="00015944"/>
    <w:rsid w:val="00015D98"/>
    <w:rsid w:val="00015E5A"/>
    <w:rsid w:val="00015F80"/>
    <w:rsid w:val="0001622F"/>
    <w:rsid w:val="000163F6"/>
    <w:rsid w:val="0001665A"/>
    <w:rsid w:val="000166B4"/>
    <w:rsid w:val="00016713"/>
    <w:rsid w:val="00016A12"/>
    <w:rsid w:val="00016C04"/>
    <w:rsid w:val="00016D30"/>
    <w:rsid w:val="00016D67"/>
    <w:rsid w:val="00017496"/>
    <w:rsid w:val="00017906"/>
    <w:rsid w:val="00017C23"/>
    <w:rsid w:val="00017CFE"/>
    <w:rsid w:val="00017D9A"/>
    <w:rsid w:val="00017F41"/>
    <w:rsid w:val="00020156"/>
    <w:rsid w:val="0002023C"/>
    <w:rsid w:val="000202FF"/>
    <w:rsid w:val="0002045F"/>
    <w:rsid w:val="000207CC"/>
    <w:rsid w:val="0002085A"/>
    <w:rsid w:val="00020E97"/>
    <w:rsid w:val="00020FC1"/>
    <w:rsid w:val="0002183E"/>
    <w:rsid w:val="0002197C"/>
    <w:rsid w:val="00021B84"/>
    <w:rsid w:val="000223BC"/>
    <w:rsid w:val="0002244B"/>
    <w:rsid w:val="000224A7"/>
    <w:rsid w:val="00022A3B"/>
    <w:rsid w:val="00022AC5"/>
    <w:rsid w:val="00023625"/>
    <w:rsid w:val="000236CC"/>
    <w:rsid w:val="00023EE5"/>
    <w:rsid w:val="00023FCA"/>
    <w:rsid w:val="000242BC"/>
    <w:rsid w:val="00024367"/>
    <w:rsid w:val="000244A5"/>
    <w:rsid w:val="00024ACB"/>
    <w:rsid w:val="00024CAC"/>
    <w:rsid w:val="00024E40"/>
    <w:rsid w:val="00024E4C"/>
    <w:rsid w:val="0002520D"/>
    <w:rsid w:val="00025459"/>
    <w:rsid w:val="000255C0"/>
    <w:rsid w:val="00025A1D"/>
    <w:rsid w:val="000260EA"/>
    <w:rsid w:val="000262CF"/>
    <w:rsid w:val="00026381"/>
    <w:rsid w:val="000264F5"/>
    <w:rsid w:val="0002656E"/>
    <w:rsid w:val="00026572"/>
    <w:rsid w:val="0002657C"/>
    <w:rsid w:val="000268BD"/>
    <w:rsid w:val="00026966"/>
    <w:rsid w:val="00026A18"/>
    <w:rsid w:val="00026ACB"/>
    <w:rsid w:val="00026FD9"/>
    <w:rsid w:val="00026FE6"/>
    <w:rsid w:val="0002702C"/>
    <w:rsid w:val="00027100"/>
    <w:rsid w:val="000271DB"/>
    <w:rsid w:val="0002749F"/>
    <w:rsid w:val="000274A4"/>
    <w:rsid w:val="0002755C"/>
    <w:rsid w:val="000277E2"/>
    <w:rsid w:val="0002791A"/>
    <w:rsid w:val="00027960"/>
    <w:rsid w:val="00027E74"/>
    <w:rsid w:val="00027F5E"/>
    <w:rsid w:val="0003056F"/>
    <w:rsid w:val="00030882"/>
    <w:rsid w:val="000309BB"/>
    <w:rsid w:val="00030B8C"/>
    <w:rsid w:val="00030D63"/>
    <w:rsid w:val="00030E28"/>
    <w:rsid w:val="00030EC9"/>
    <w:rsid w:val="000311C8"/>
    <w:rsid w:val="00031371"/>
    <w:rsid w:val="00031830"/>
    <w:rsid w:val="00031BC3"/>
    <w:rsid w:val="00031D47"/>
    <w:rsid w:val="000325AE"/>
    <w:rsid w:val="000327B1"/>
    <w:rsid w:val="00032B92"/>
    <w:rsid w:val="00032D1A"/>
    <w:rsid w:val="00032F1B"/>
    <w:rsid w:val="00032F7C"/>
    <w:rsid w:val="00033095"/>
    <w:rsid w:val="0003314F"/>
    <w:rsid w:val="00033164"/>
    <w:rsid w:val="00033502"/>
    <w:rsid w:val="00033729"/>
    <w:rsid w:val="0003386C"/>
    <w:rsid w:val="00033919"/>
    <w:rsid w:val="00033A37"/>
    <w:rsid w:val="00033AC5"/>
    <w:rsid w:val="00033ED1"/>
    <w:rsid w:val="0003404A"/>
    <w:rsid w:val="00034076"/>
    <w:rsid w:val="00034165"/>
    <w:rsid w:val="00034178"/>
    <w:rsid w:val="0003423D"/>
    <w:rsid w:val="00034715"/>
    <w:rsid w:val="00034C86"/>
    <w:rsid w:val="00034CCD"/>
    <w:rsid w:val="00034D07"/>
    <w:rsid w:val="00034D31"/>
    <w:rsid w:val="00034D5B"/>
    <w:rsid w:val="000350E7"/>
    <w:rsid w:val="000350E9"/>
    <w:rsid w:val="0003539B"/>
    <w:rsid w:val="000355B0"/>
    <w:rsid w:val="0003568B"/>
    <w:rsid w:val="000358A7"/>
    <w:rsid w:val="0003593C"/>
    <w:rsid w:val="00035ABE"/>
    <w:rsid w:val="00035C05"/>
    <w:rsid w:val="000361EF"/>
    <w:rsid w:val="00036510"/>
    <w:rsid w:val="000368D2"/>
    <w:rsid w:val="00036DAA"/>
    <w:rsid w:val="00036DB0"/>
    <w:rsid w:val="00036FB7"/>
    <w:rsid w:val="000374FE"/>
    <w:rsid w:val="0003754C"/>
    <w:rsid w:val="000379CD"/>
    <w:rsid w:val="00037C5F"/>
    <w:rsid w:val="00037DA9"/>
    <w:rsid w:val="00037E30"/>
    <w:rsid w:val="00037FCA"/>
    <w:rsid w:val="000400EB"/>
    <w:rsid w:val="000401D8"/>
    <w:rsid w:val="0004092B"/>
    <w:rsid w:val="00040EEC"/>
    <w:rsid w:val="00041063"/>
    <w:rsid w:val="00041095"/>
    <w:rsid w:val="0004143D"/>
    <w:rsid w:val="000416AC"/>
    <w:rsid w:val="000416EC"/>
    <w:rsid w:val="0004172E"/>
    <w:rsid w:val="00041903"/>
    <w:rsid w:val="00041918"/>
    <w:rsid w:val="00041AD5"/>
    <w:rsid w:val="00041D44"/>
    <w:rsid w:val="00041DC1"/>
    <w:rsid w:val="00041E1A"/>
    <w:rsid w:val="0004204C"/>
    <w:rsid w:val="00042414"/>
    <w:rsid w:val="00042822"/>
    <w:rsid w:val="00042857"/>
    <w:rsid w:val="000429B2"/>
    <w:rsid w:val="00042BBE"/>
    <w:rsid w:val="00042C56"/>
    <w:rsid w:val="00042C8D"/>
    <w:rsid w:val="000430EF"/>
    <w:rsid w:val="00043445"/>
    <w:rsid w:val="00043617"/>
    <w:rsid w:val="00043838"/>
    <w:rsid w:val="00043A6B"/>
    <w:rsid w:val="00043AA7"/>
    <w:rsid w:val="00043D7F"/>
    <w:rsid w:val="000440BF"/>
    <w:rsid w:val="000442F4"/>
    <w:rsid w:val="00044441"/>
    <w:rsid w:val="00044525"/>
    <w:rsid w:val="000446C5"/>
    <w:rsid w:val="000449C3"/>
    <w:rsid w:val="000450DC"/>
    <w:rsid w:val="00045160"/>
    <w:rsid w:val="0004523C"/>
    <w:rsid w:val="00045250"/>
    <w:rsid w:val="000454A1"/>
    <w:rsid w:val="000456EF"/>
    <w:rsid w:val="00045701"/>
    <w:rsid w:val="00045882"/>
    <w:rsid w:val="00045993"/>
    <w:rsid w:val="00045A97"/>
    <w:rsid w:val="00045AF7"/>
    <w:rsid w:val="00045BFB"/>
    <w:rsid w:val="00045CC9"/>
    <w:rsid w:val="000460D9"/>
    <w:rsid w:val="0004630A"/>
    <w:rsid w:val="0004639E"/>
    <w:rsid w:val="0004644D"/>
    <w:rsid w:val="000466C3"/>
    <w:rsid w:val="00046C5A"/>
    <w:rsid w:val="00046DA2"/>
    <w:rsid w:val="00046E9C"/>
    <w:rsid w:val="0004735D"/>
    <w:rsid w:val="00047640"/>
    <w:rsid w:val="0004773F"/>
    <w:rsid w:val="00047838"/>
    <w:rsid w:val="00047985"/>
    <w:rsid w:val="00047A59"/>
    <w:rsid w:val="00047A81"/>
    <w:rsid w:val="00047B2D"/>
    <w:rsid w:val="00047B49"/>
    <w:rsid w:val="00047DFA"/>
    <w:rsid w:val="00047EA2"/>
    <w:rsid w:val="00047FE6"/>
    <w:rsid w:val="00050276"/>
    <w:rsid w:val="000504A1"/>
    <w:rsid w:val="00050554"/>
    <w:rsid w:val="00050674"/>
    <w:rsid w:val="00050FFE"/>
    <w:rsid w:val="000510AA"/>
    <w:rsid w:val="00051183"/>
    <w:rsid w:val="00051269"/>
    <w:rsid w:val="00051306"/>
    <w:rsid w:val="00051949"/>
    <w:rsid w:val="00051A81"/>
    <w:rsid w:val="00051F70"/>
    <w:rsid w:val="000520AC"/>
    <w:rsid w:val="00052227"/>
    <w:rsid w:val="000522A3"/>
    <w:rsid w:val="000522E2"/>
    <w:rsid w:val="00052502"/>
    <w:rsid w:val="000527F6"/>
    <w:rsid w:val="00052934"/>
    <w:rsid w:val="00053245"/>
    <w:rsid w:val="0005349F"/>
    <w:rsid w:val="00053822"/>
    <w:rsid w:val="0005382A"/>
    <w:rsid w:val="00053FD8"/>
    <w:rsid w:val="00053FE7"/>
    <w:rsid w:val="00054610"/>
    <w:rsid w:val="00054D11"/>
    <w:rsid w:val="00054F92"/>
    <w:rsid w:val="00055011"/>
    <w:rsid w:val="00055877"/>
    <w:rsid w:val="0005593F"/>
    <w:rsid w:val="00055A03"/>
    <w:rsid w:val="00055D3B"/>
    <w:rsid w:val="00055D8F"/>
    <w:rsid w:val="00055E21"/>
    <w:rsid w:val="00056542"/>
    <w:rsid w:val="00056EB4"/>
    <w:rsid w:val="00056FBD"/>
    <w:rsid w:val="00057031"/>
    <w:rsid w:val="00057224"/>
    <w:rsid w:val="000573B9"/>
    <w:rsid w:val="0005740A"/>
    <w:rsid w:val="000574A0"/>
    <w:rsid w:val="00057591"/>
    <w:rsid w:val="00057767"/>
    <w:rsid w:val="00057A15"/>
    <w:rsid w:val="00057AB9"/>
    <w:rsid w:val="00057B22"/>
    <w:rsid w:val="00057E61"/>
    <w:rsid w:val="00057EB8"/>
    <w:rsid w:val="00057F98"/>
    <w:rsid w:val="00060049"/>
    <w:rsid w:val="0006021D"/>
    <w:rsid w:val="0006039E"/>
    <w:rsid w:val="0006056F"/>
    <w:rsid w:val="000606E4"/>
    <w:rsid w:val="000607E8"/>
    <w:rsid w:val="000609A4"/>
    <w:rsid w:val="00060A29"/>
    <w:rsid w:val="00060D29"/>
    <w:rsid w:val="00060DDC"/>
    <w:rsid w:val="00060E1A"/>
    <w:rsid w:val="00061B48"/>
    <w:rsid w:val="00061B63"/>
    <w:rsid w:val="00061E11"/>
    <w:rsid w:val="00061FA7"/>
    <w:rsid w:val="000623A7"/>
    <w:rsid w:val="00062764"/>
    <w:rsid w:val="000627FE"/>
    <w:rsid w:val="00062BCA"/>
    <w:rsid w:val="00062C03"/>
    <w:rsid w:val="0006317E"/>
    <w:rsid w:val="0006360A"/>
    <w:rsid w:val="00063666"/>
    <w:rsid w:val="0006372D"/>
    <w:rsid w:val="000639ED"/>
    <w:rsid w:val="00063BE8"/>
    <w:rsid w:val="00063D7E"/>
    <w:rsid w:val="00063DAA"/>
    <w:rsid w:val="00063EF6"/>
    <w:rsid w:val="00064089"/>
    <w:rsid w:val="000641EF"/>
    <w:rsid w:val="000642A6"/>
    <w:rsid w:val="00064336"/>
    <w:rsid w:val="00064607"/>
    <w:rsid w:val="00064637"/>
    <w:rsid w:val="00064817"/>
    <w:rsid w:val="000649D7"/>
    <w:rsid w:val="00064C1A"/>
    <w:rsid w:val="00064D08"/>
    <w:rsid w:val="000653C7"/>
    <w:rsid w:val="00065701"/>
    <w:rsid w:val="00065F98"/>
    <w:rsid w:val="00066037"/>
    <w:rsid w:val="000660B3"/>
    <w:rsid w:val="00066395"/>
    <w:rsid w:val="000664E4"/>
    <w:rsid w:val="0006665E"/>
    <w:rsid w:val="000667A9"/>
    <w:rsid w:val="000668C8"/>
    <w:rsid w:val="000669BB"/>
    <w:rsid w:val="00066BDF"/>
    <w:rsid w:val="00066C5F"/>
    <w:rsid w:val="00066DB5"/>
    <w:rsid w:val="00066EC9"/>
    <w:rsid w:val="00067622"/>
    <w:rsid w:val="00067976"/>
    <w:rsid w:val="00067BBF"/>
    <w:rsid w:val="00067CBF"/>
    <w:rsid w:val="0007017C"/>
    <w:rsid w:val="000702A1"/>
    <w:rsid w:val="000704AD"/>
    <w:rsid w:val="0007054D"/>
    <w:rsid w:val="00070755"/>
    <w:rsid w:val="0007086F"/>
    <w:rsid w:val="00070CAC"/>
    <w:rsid w:val="0007116E"/>
    <w:rsid w:val="0007126E"/>
    <w:rsid w:val="000713FA"/>
    <w:rsid w:val="0007143A"/>
    <w:rsid w:val="000716C9"/>
    <w:rsid w:val="00071713"/>
    <w:rsid w:val="00071963"/>
    <w:rsid w:val="000719D6"/>
    <w:rsid w:val="00071CB4"/>
    <w:rsid w:val="00071E43"/>
    <w:rsid w:val="00071F97"/>
    <w:rsid w:val="00072336"/>
    <w:rsid w:val="00072727"/>
    <w:rsid w:val="00072F7A"/>
    <w:rsid w:val="00073090"/>
    <w:rsid w:val="000731DE"/>
    <w:rsid w:val="00073316"/>
    <w:rsid w:val="000733DB"/>
    <w:rsid w:val="0007358E"/>
    <w:rsid w:val="000736F7"/>
    <w:rsid w:val="00073A7D"/>
    <w:rsid w:val="00073AA3"/>
    <w:rsid w:val="00073CEA"/>
    <w:rsid w:val="0007403E"/>
    <w:rsid w:val="0007407B"/>
    <w:rsid w:val="00074206"/>
    <w:rsid w:val="00074304"/>
    <w:rsid w:val="00074811"/>
    <w:rsid w:val="00074CD5"/>
    <w:rsid w:val="00074F64"/>
    <w:rsid w:val="00075198"/>
    <w:rsid w:val="000757D3"/>
    <w:rsid w:val="000758D1"/>
    <w:rsid w:val="00075ACA"/>
    <w:rsid w:val="00075AEF"/>
    <w:rsid w:val="00075DD9"/>
    <w:rsid w:val="000763E5"/>
    <w:rsid w:val="0007657A"/>
    <w:rsid w:val="00076CA7"/>
    <w:rsid w:val="00076EBD"/>
    <w:rsid w:val="00077087"/>
    <w:rsid w:val="00077210"/>
    <w:rsid w:val="000775B9"/>
    <w:rsid w:val="000777FC"/>
    <w:rsid w:val="00077879"/>
    <w:rsid w:val="00077C33"/>
    <w:rsid w:val="00077D8E"/>
    <w:rsid w:val="00080209"/>
    <w:rsid w:val="000803B1"/>
    <w:rsid w:val="00080430"/>
    <w:rsid w:val="00080527"/>
    <w:rsid w:val="00080574"/>
    <w:rsid w:val="000806F0"/>
    <w:rsid w:val="00080709"/>
    <w:rsid w:val="00080817"/>
    <w:rsid w:val="00080ABC"/>
    <w:rsid w:val="00080C60"/>
    <w:rsid w:val="00080F12"/>
    <w:rsid w:val="00080FBB"/>
    <w:rsid w:val="000813E9"/>
    <w:rsid w:val="000813EF"/>
    <w:rsid w:val="00081776"/>
    <w:rsid w:val="000817CD"/>
    <w:rsid w:val="00081849"/>
    <w:rsid w:val="00081F17"/>
    <w:rsid w:val="00082286"/>
    <w:rsid w:val="000824D5"/>
    <w:rsid w:val="000824E4"/>
    <w:rsid w:val="00082667"/>
    <w:rsid w:val="00082688"/>
    <w:rsid w:val="000828E0"/>
    <w:rsid w:val="00082A37"/>
    <w:rsid w:val="00082E17"/>
    <w:rsid w:val="00082E80"/>
    <w:rsid w:val="000831D6"/>
    <w:rsid w:val="0008328F"/>
    <w:rsid w:val="00083349"/>
    <w:rsid w:val="00083381"/>
    <w:rsid w:val="0008368A"/>
    <w:rsid w:val="0008379D"/>
    <w:rsid w:val="00083C40"/>
    <w:rsid w:val="00083E4D"/>
    <w:rsid w:val="00083ECD"/>
    <w:rsid w:val="000840E2"/>
    <w:rsid w:val="0008429E"/>
    <w:rsid w:val="00084365"/>
    <w:rsid w:val="0008476B"/>
    <w:rsid w:val="000849AB"/>
    <w:rsid w:val="00084A4F"/>
    <w:rsid w:val="00084B15"/>
    <w:rsid w:val="00084EF7"/>
    <w:rsid w:val="0008505C"/>
    <w:rsid w:val="0008548D"/>
    <w:rsid w:val="00085588"/>
    <w:rsid w:val="0008578D"/>
    <w:rsid w:val="0008591C"/>
    <w:rsid w:val="00085A25"/>
    <w:rsid w:val="00085B90"/>
    <w:rsid w:val="00085D02"/>
    <w:rsid w:val="0008621C"/>
    <w:rsid w:val="000863E0"/>
    <w:rsid w:val="000865A7"/>
    <w:rsid w:val="00086F21"/>
    <w:rsid w:val="00087180"/>
    <w:rsid w:val="00087386"/>
    <w:rsid w:val="00087556"/>
    <w:rsid w:val="000876AF"/>
    <w:rsid w:val="00087AAE"/>
    <w:rsid w:val="00087B78"/>
    <w:rsid w:val="00087B97"/>
    <w:rsid w:val="0009011F"/>
    <w:rsid w:val="000903AA"/>
    <w:rsid w:val="000904CB"/>
    <w:rsid w:val="000904EF"/>
    <w:rsid w:val="0009054E"/>
    <w:rsid w:val="00090555"/>
    <w:rsid w:val="0009081F"/>
    <w:rsid w:val="00090A91"/>
    <w:rsid w:val="00090BD9"/>
    <w:rsid w:val="00091AC1"/>
    <w:rsid w:val="00091C6B"/>
    <w:rsid w:val="00091EE9"/>
    <w:rsid w:val="000920AA"/>
    <w:rsid w:val="00092324"/>
    <w:rsid w:val="000923A5"/>
    <w:rsid w:val="0009257C"/>
    <w:rsid w:val="00092785"/>
    <w:rsid w:val="00092A53"/>
    <w:rsid w:val="00092B6F"/>
    <w:rsid w:val="0009325B"/>
    <w:rsid w:val="000932E0"/>
    <w:rsid w:val="00093469"/>
    <w:rsid w:val="000934A2"/>
    <w:rsid w:val="00093543"/>
    <w:rsid w:val="00093711"/>
    <w:rsid w:val="0009374B"/>
    <w:rsid w:val="000937D6"/>
    <w:rsid w:val="00093881"/>
    <w:rsid w:val="00093AAA"/>
    <w:rsid w:val="00093CCC"/>
    <w:rsid w:val="00093CEC"/>
    <w:rsid w:val="00093E45"/>
    <w:rsid w:val="000941A5"/>
    <w:rsid w:val="000941F4"/>
    <w:rsid w:val="0009435B"/>
    <w:rsid w:val="0009435D"/>
    <w:rsid w:val="000945FF"/>
    <w:rsid w:val="00094677"/>
    <w:rsid w:val="00094710"/>
    <w:rsid w:val="00094819"/>
    <w:rsid w:val="00094CEB"/>
    <w:rsid w:val="00094D30"/>
    <w:rsid w:val="00094D9A"/>
    <w:rsid w:val="00095029"/>
    <w:rsid w:val="000956AD"/>
    <w:rsid w:val="000959AE"/>
    <w:rsid w:val="00095AA4"/>
    <w:rsid w:val="00095AE7"/>
    <w:rsid w:val="00095C32"/>
    <w:rsid w:val="00095C73"/>
    <w:rsid w:val="0009626A"/>
    <w:rsid w:val="000963CC"/>
    <w:rsid w:val="0009642F"/>
    <w:rsid w:val="00096BB1"/>
    <w:rsid w:val="00096EBA"/>
    <w:rsid w:val="000970A1"/>
    <w:rsid w:val="0009715C"/>
    <w:rsid w:val="000971A3"/>
    <w:rsid w:val="00097304"/>
    <w:rsid w:val="0009773D"/>
    <w:rsid w:val="000A02E6"/>
    <w:rsid w:val="000A03A1"/>
    <w:rsid w:val="000A0871"/>
    <w:rsid w:val="000A0879"/>
    <w:rsid w:val="000A0B5A"/>
    <w:rsid w:val="000A0BAE"/>
    <w:rsid w:val="000A0C8B"/>
    <w:rsid w:val="000A172F"/>
    <w:rsid w:val="000A1757"/>
    <w:rsid w:val="000A1888"/>
    <w:rsid w:val="000A1B04"/>
    <w:rsid w:val="000A1B76"/>
    <w:rsid w:val="000A1BE2"/>
    <w:rsid w:val="000A1E61"/>
    <w:rsid w:val="000A1F44"/>
    <w:rsid w:val="000A1F65"/>
    <w:rsid w:val="000A20B0"/>
    <w:rsid w:val="000A226B"/>
    <w:rsid w:val="000A2548"/>
    <w:rsid w:val="000A2AFC"/>
    <w:rsid w:val="000A3098"/>
    <w:rsid w:val="000A32F7"/>
    <w:rsid w:val="000A3409"/>
    <w:rsid w:val="000A3424"/>
    <w:rsid w:val="000A34FE"/>
    <w:rsid w:val="000A3610"/>
    <w:rsid w:val="000A3967"/>
    <w:rsid w:val="000A39A3"/>
    <w:rsid w:val="000A3A9A"/>
    <w:rsid w:val="000A42A3"/>
    <w:rsid w:val="000A4541"/>
    <w:rsid w:val="000A4560"/>
    <w:rsid w:val="000A49D4"/>
    <w:rsid w:val="000A4B58"/>
    <w:rsid w:val="000A4CD4"/>
    <w:rsid w:val="000A51D8"/>
    <w:rsid w:val="000A541F"/>
    <w:rsid w:val="000A5450"/>
    <w:rsid w:val="000A54B6"/>
    <w:rsid w:val="000A555B"/>
    <w:rsid w:val="000A572E"/>
    <w:rsid w:val="000A5AEB"/>
    <w:rsid w:val="000A5B4E"/>
    <w:rsid w:val="000A5DDA"/>
    <w:rsid w:val="000A626A"/>
    <w:rsid w:val="000A6280"/>
    <w:rsid w:val="000A67B1"/>
    <w:rsid w:val="000A68AC"/>
    <w:rsid w:val="000A69BE"/>
    <w:rsid w:val="000A6B32"/>
    <w:rsid w:val="000A6E2C"/>
    <w:rsid w:val="000A717B"/>
    <w:rsid w:val="000A74E2"/>
    <w:rsid w:val="000A766E"/>
    <w:rsid w:val="000A7AB5"/>
    <w:rsid w:val="000A7AEB"/>
    <w:rsid w:val="000A7C8A"/>
    <w:rsid w:val="000A7F06"/>
    <w:rsid w:val="000A7FD1"/>
    <w:rsid w:val="000B0004"/>
    <w:rsid w:val="000B041B"/>
    <w:rsid w:val="000B0474"/>
    <w:rsid w:val="000B0997"/>
    <w:rsid w:val="000B0C93"/>
    <w:rsid w:val="000B0D6A"/>
    <w:rsid w:val="000B13CC"/>
    <w:rsid w:val="000B1717"/>
    <w:rsid w:val="000B1886"/>
    <w:rsid w:val="000B1BAD"/>
    <w:rsid w:val="000B1BEA"/>
    <w:rsid w:val="000B1C5C"/>
    <w:rsid w:val="000B1E1B"/>
    <w:rsid w:val="000B1FB1"/>
    <w:rsid w:val="000B2123"/>
    <w:rsid w:val="000B2174"/>
    <w:rsid w:val="000B22E2"/>
    <w:rsid w:val="000B239C"/>
    <w:rsid w:val="000B24C3"/>
    <w:rsid w:val="000B2575"/>
    <w:rsid w:val="000B324C"/>
    <w:rsid w:val="000B3687"/>
    <w:rsid w:val="000B3C02"/>
    <w:rsid w:val="000B4186"/>
    <w:rsid w:val="000B46D4"/>
    <w:rsid w:val="000B4755"/>
    <w:rsid w:val="000B480B"/>
    <w:rsid w:val="000B4816"/>
    <w:rsid w:val="000B49CF"/>
    <w:rsid w:val="000B4CE5"/>
    <w:rsid w:val="000B4DEE"/>
    <w:rsid w:val="000B4E81"/>
    <w:rsid w:val="000B50D4"/>
    <w:rsid w:val="000B5197"/>
    <w:rsid w:val="000B52F0"/>
    <w:rsid w:val="000B53EF"/>
    <w:rsid w:val="000B54C2"/>
    <w:rsid w:val="000B54CF"/>
    <w:rsid w:val="000B5531"/>
    <w:rsid w:val="000B58AB"/>
    <w:rsid w:val="000B59D7"/>
    <w:rsid w:val="000B59E7"/>
    <w:rsid w:val="000B5CF1"/>
    <w:rsid w:val="000B5F65"/>
    <w:rsid w:val="000B61C4"/>
    <w:rsid w:val="000B62D3"/>
    <w:rsid w:val="000B6422"/>
    <w:rsid w:val="000B64BC"/>
    <w:rsid w:val="000B654F"/>
    <w:rsid w:val="000B6588"/>
    <w:rsid w:val="000B68FE"/>
    <w:rsid w:val="000B697F"/>
    <w:rsid w:val="000B6A6A"/>
    <w:rsid w:val="000B6F9A"/>
    <w:rsid w:val="000B6FC6"/>
    <w:rsid w:val="000B75DA"/>
    <w:rsid w:val="000B769B"/>
    <w:rsid w:val="000B7A68"/>
    <w:rsid w:val="000B7E4C"/>
    <w:rsid w:val="000B7F1D"/>
    <w:rsid w:val="000C0009"/>
    <w:rsid w:val="000C01A5"/>
    <w:rsid w:val="000C0582"/>
    <w:rsid w:val="000C073D"/>
    <w:rsid w:val="000C08F0"/>
    <w:rsid w:val="000C0B95"/>
    <w:rsid w:val="000C0D80"/>
    <w:rsid w:val="000C0FB0"/>
    <w:rsid w:val="000C0FC2"/>
    <w:rsid w:val="000C104F"/>
    <w:rsid w:val="000C1345"/>
    <w:rsid w:val="000C13D8"/>
    <w:rsid w:val="000C14B7"/>
    <w:rsid w:val="000C1761"/>
    <w:rsid w:val="000C1987"/>
    <w:rsid w:val="000C1DCF"/>
    <w:rsid w:val="000C1E03"/>
    <w:rsid w:val="000C1F4D"/>
    <w:rsid w:val="000C216C"/>
    <w:rsid w:val="000C2550"/>
    <w:rsid w:val="000C2F65"/>
    <w:rsid w:val="000C309E"/>
    <w:rsid w:val="000C31E4"/>
    <w:rsid w:val="000C322B"/>
    <w:rsid w:val="000C3472"/>
    <w:rsid w:val="000C347A"/>
    <w:rsid w:val="000C34B6"/>
    <w:rsid w:val="000C38ED"/>
    <w:rsid w:val="000C3AA5"/>
    <w:rsid w:val="000C3DD2"/>
    <w:rsid w:val="000C3E9B"/>
    <w:rsid w:val="000C3ECD"/>
    <w:rsid w:val="000C3FB4"/>
    <w:rsid w:val="000C4150"/>
    <w:rsid w:val="000C419F"/>
    <w:rsid w:val="000C42A7"/>
    <w:rsid w:val="000C44A1"/>
    <w:rsid w:val="000C44E7"/>
    <w:rsid w:val="000C4C9F"/>
    <w:rsid w:val="000C4CBF"/>
    <w:rsid w:val="000C50F0"/>
    <w:rsid w:val="000C51B8"/>
    <w:rsid w:val="000C5322"/>
    <w:rsid w:val="000C5746"/>
    <w:rsid w:val="000C5C01"/>
    <w:rsid w:val="000C5CC6"/>
    <w:rsid w:val="000C5DF4"/>
    <w:rsid w:val="000C5F27"/>
    <w:rsid w:val="000C604F"/>
    <w:rsid w:val="000C6147"/>
    <w:rsid w:val="000C6464"/>
    <w:rsid w:val="000C65C8"/>
    <w:rsid w:val="000C670C"/>
    <w:rsid w:val="000C678B"/>
    <w:rsid w:val="000C684B"/>
    <w:rsid w:val="000C690A"/>
    <w:rsid w:val="000C69AC"/>
    <w:rsid w:val="000C6C77"/>
    <w:rsid w:val="000C6D1E"/>
    <w:rsid w:val="000C6F8D"/>
    <w:rsid w:val="000C6FC3"/>
    <w:rsid w:val="000C6FE6"/>
    <w:rsid w:val="000C72ED"/>
    <w:rsid w:val="000C73B1"/>
    <w:rsid w:val="000C740C"/>
    <w:rsid w:val="000C7821"/>
    <w:rsid w:val="000C78C1"/>
    <w:rsid w:val="000C79F6"/>
    <w:rsid w:val="000C7ECB"/>
    <w:rsid w:val="000C7F7F"/>
    <w:rsid w:val="000D00F0"/>
    <w:rsid w:val="000D0185"/>
    <w:rsid w:val="000D05C4"/>
    <w:rsid w:val="000D0634"/>
    <w:rsid w:val="000D09FB"/>
    <w:rsid w:val="000D0B33"/>
    <w:rsid w:val="000D0B9E"/>
    <w:rsid w:val="000D0BB2"/>
    <w:rsid w:val="000D0C3A"/>
    <w:rsid w:val="000D0DD0"/>
    <w:rsid w:val="000D120F"/>
    <w:rsid w:val="000D1223"/>
    <w:rsid w:val="000D1293"/>
    <w:rsid w:val="000D15EC"/>
    <w:rsid w:val="000D1691"/>
    <w:rsid w:val="000D1804"/>
    <w:rsid w:val="000D1813"/>
    <w:rsid w:val="000D1A29"/>
    <w:rsid w:val="000D1B00"/>
    <w:rsid w:val="000D1B90"/>
    <w:rsid w:val="000D1C1F"/>
    <w:rsid w:val="000D1CD5"/>
    <w:rsid w:val="000D1D1B"/>
    <w:rsid w:val="000D2002"/>
    <w:rsid w:val="000D217B"/>
    <w:rsid w:val="000D225A"/>
    <w:rsid w:val="000D24DA"/>
    <w:rsid w:val="000D24F8"/>
    <w:rsid w:val="000D27C6"/>
    <w:rsid w:val="000D2810"/>
    <w:rsid w:val="000D2C66"/>
    <w:rsid w:val="000D2CA7"/>
    <w:rsid w:val="000D2EDB"/>
    <w:rsid w:val="000D2F86"/>
    <w:rsid w:val="000D2FEF"/>
    <w:rsid w:val="000D3778"/>
    <w:rsid w:val="000D3BC4"/>
    <w:rsid w:val="000D3CA3"/>
    <w:rsid w:val="000D3CBD"/>
    <w:rsid w:val="000D4001"/>
    <w:rsid w:val="000D43EA"/>
    <w:rsid w:val="000D4683"/>
    <w:rsid w:val="000D4817"/>
    <w:rsid w:val="000D495D"/>
    <w:rsid w:val="000D4D2B"/>
    <w:rsid w:val="000D4F40"/>
    <w:rsid w:val="000D5195"/>
    <w:rsid w:val="000D534A"/>
    <w:rsid w:val="000D535A"/>
    <w:rsid w:val="000D5494"/>
    <w:rsid w:val="000D58E3"/>
    <w:rsid w:val="000D58F2"/>
    <w:rsid w:val="000D59E8"/>
    <w:rsid w:val="000D5A6A"/>
    <w:rsid w:val="000D5BE2"/>
    <w:rsid w:val="000D62B5"/>
    <w:rsid w:val="000D64E0"/>
    <w:rsid w:val="000D6854"/>
    <w:rsid w:val="000D686C"/>
    <w:rsid w:val="000D6AFE"/>
    <w:rsid w:val="000D6FB6"/>
    <w:rsid w:val="000D7196"/>
    <w:rsid w:val="000D72BC"/>
    <w:rsid w:val="000D731D"/>
    <w:rsid w:val="000D7435"/>
    <w:rsid w:val="000D74C8"/>
    <w:rsid w:val="000D7855"/>
    <w:rsid w:val="000D78F1"/>
    <w:rsid w:val="000D7959"/>
    <w:rsid w:val="000D7B60"/>
    <w:rsid w:val="000D7B88"/>
    <w:rsid w:val="000D7DE0"/>
    <w:rsid w:val="000D7FAB"/>
    <w:rsid w:val="000D7FD6"/>
    <w:rsid w:val="000D7FE0"/>
    <w:rsid w:val="000E01F1"/>
    <w:rsid w:val="000E03CC"/>
    <w:rsid w:val="000E046F"/>
    <w:rsid w:val="000E0565"/>
    <w:rsid w:val="000E07BE"/>
    <w:rsid w:val="000E089C"/>
    <w:rsid w:val="000E0A65"/>
    <w:rsid w:val="000E0C24"/>
    <w:rsid w:val="000E0CCE"/>
    <w:rsid w:val="000E0EBD"/>
    <w:rsid w:val="000E111C"/>
    <w:rsid w:val="000E118A"/>
    <w:rsid w:val="000E1218"/>
    <w:rsid w:val="000E13AD"/>
    <w:rsid w:val="000E164E"/>
    <w:rsid w:val="000E18B3"/>
    <w:rsid w:val="000E19AA"/>
    <w:rsid w:val="000E1B34"/>
    <w:rsid w:val="000E1FA8"/>
    <w:rsid w:val="000E1FD4"/>
    <w:rsid w:val="000E1FD6"/>
    <w:rsid w:val="000E2039"/>
    <w:rsid w:val="000E21F0"/>
    <w:rsid w:val="000E22A3"/>
    <w:rsid w:val="000E233A"/>
    <w:rsid w:val="000E245D"/>
    <w:rsid w:val="000E2503"/>
    <w:rsid w:val="000E27C6"/>
    <w:rsid w:val="000E283B"/>
    <w:rsid w:val="000E2840"/>
    <w:rsid w:val="000E2F22"/>
    <w:rsid w:val="000E303F"/>
    <w:rsid w:val="000E3336"/>
    <w:rsid w:val="000E3434"/>
    <w:rsid w:val="000E3619"/>
    <w:rsid w:val="000E37E5"/>
    <w:rsid w:val="000E3A98"/>
    <w:rsid w:val="000E3C62"/>
    <w:rsid w:val="000E401A"/>
    <w:rsid w:val="000E4069"/>
    <w:rsid w:val="000E43B1"/>
    <w:rsid w:val="000E4645"/>
    <w:rsid w:val="000E4B6A"/>
    <w:rsid w:val="000E4BCE"/>
    <w:rsid w:val="000E4BDA"/>
    <w:rsid w:val="000E4DAE"/>
    <w:rsid w:val="000E4FBD"/>
    <w:rsid w:val="000E505F"/>
    <w:rsid w:val="000E5451"/>
    <w:rsid w:val="000E54AE"/>
    <w:rsid w:val="000E561B"/>
    <w:rsid w:val="000E56BB"/>
    <w:rsid w:val="000E5843"/>
    <w:rsid w:val="000E5DAA"/>
    <w:rsid w:val="000E5F3C"/>
    <w:rsid w:val="000E652F"/>
    <w:rsid w:val="000E66D2"/>
    <w:rsid w:val="000E6AF3"/>
    <w:rsid w:val="000E6F9D"/>
    <w:rsid w:val="000E6FA7"/>
    <w:rsid w:val="000E7076"/>
    <w:rsid w:val="000E753E"/>
    <w:rsid w:val="000E77D1"/>
    <w:rsid w:val="000E7C8E"/>
    <w:rsid w:val="000E7F14"/>
    <w:rsid w:val="000E7FB2"/>
    <w:rsid w:val="000F00EB"/>
    <w:rsid w:val="000F0642"/>
    <w:rsid w:val="000F0715"/>
    <w:rsid w:val="000F0723"/>
    <w:rsid w:val="000F0AC8"/>
    <w:rsid w:val="000F0CE3"/>
    <w:rsid w:val="000F0D0C"/>
    <w:rsid w:val="000F0EAC"/>
    <w:rsid w:val="000F10CE"/>
    <w:rsid w:val="000F1239"/>
    <w:rsid w:val="000F1437"/>
    <w:rsid w:val="000F1645"/>
    <w:rsid w:val="000F1BEC"/>
    <w:rsid w:val="000F1FF0"/>
    <w:rsid w:val="000F237F"/>
    <w:rsid w:val="000F24F2"/>
    <w:rsid w:val="000F26B3"/>
    <w:rsid w:val="000F2794"/>
    <w:rsid w:val="000F289B"/>
    <w:rsid w:val="000F2927"/>
    <w:rsid w:val="000F2C32"/>
    <w:rsid w:val="000F2F44"/>
    <w:rsid w:val="000F3622"/>
    <w:rsid w:val="000F3B28"/>
    <w:rsid w:val="000F4139"/>
    <w:rsid w:val="000F4578"/>
    <w:rsid w:val="000F460B"/>
    <w:rsid w:val="000F46C2"/>
    <w:rsid w:val="000F4833"/>
    <w:rsid w:val="000F495B"/>
    <w:rsid w:val="000F4E6C"/>
    <w:rsid w:val="000F4EF8"/>
    <w:rsid w:val="000F540D"/>
    <w:rsid w:val="000F5550"/>
    <w:rsid w:val="000F5643"/>
    <w:rsid w:val="000F5774"/>
    <w:rsid w:val="000F57E7"/>
    <w:rsid w:val="000F5812"/>
    <w:rsid w:val="000F5CDC"/>
    <w:rsid w:val="000F5EC6"/>
    <w:rsid w:val="000F5FEE"/>
    <w:rsid w:val="000F615F"/>
    <w:rsid w:val="000F64FF"/>
    <w:rsid w:val="000F65AB"/>
    <w:rsid w:val="000F6B9F"/>
    <w:rsid w:val="000F6ED3"/>
    <w:rsid w:val="000F718D"/>
    <w:rsid w:val="000F72B8"/>
    <w:rsid w:val="000F78FC"/>
    <w:rsid w:val="000F7DC0"/>
    <w:rsid w:val="000F7FF7"/>
    <w:rsid w:val="00100112"/>
    <w:rsid w:val="001003A9"/>
    <w:rsid w:val="001004C8"/>
    <w:rsid w:val="001004D2"/>
    <w:rsid w:val="00100655"/>
    <w:rsid w:val="00100BA5"/>
    <w:rsid w:val="0010138C"/>
    <w:rsid w:val="00101732"/>
    <w:rsid w:val="00101977"/>
    <w:rsid w:val="00101F4B"/>
    <w:rsid w:val="00102283"/>
    <w:rsid w:val="001023C3"/>
    <w:rsid w:val="001025EA"/>
    <w:rsid w:val="00102633"/>
    <w:rsid w:val="00102668"/>
    <w:rsid w:val="0010283A"/>
    <w:rsid w:val="00102A8B"/>
    <w:rsid w:val="00102DDB"/>
    <w:rsid w:val="00103080"/>
    <w:rsid w:val="0010314E"/>
    <w:rsid w:val="00103449"/>
    <w:rsid w:val="0010381E"/>
    <w:rsid w:val="00103D18"/>
    <w:rsid w:val="001042D1"/>
    <w:rsid w:val="0010435C"/>
    <w:rsid w:val="00104673"/>
    <w:rsid w:val="001046F2"/>
    <w:rsid w:val="001046FA"/>
    <w:rsid w:val="0010480D"/>
    <w:rsid w:val="001048FD"/>
    <w:rsid w:val="00104989"/>
    <w:rsid w:val="00104AB5"/>
    <w:rsid w:val="00104F23"/>
    <w:rsid w:val="00104F3A"/>
    <w:rsid w:val="00104FBE"/>
    <w:rsid w:val="001052C6"/>
    <w:rsid w:val="0010536A"/>
    <w:rsid w:val="00105411"/>
    <w:rsid w:val="00105554"/>
    <w:rsid w:val="00105566"/>
    <w:rsid w:val="00105684"/>
    <w:rsid w:val="0010589A"/>
    <w:rsid w:val="00105F02"/>
    <w:rsid w:val="001060D3"/>
    <w:rsid w:val="00106193"/>
    <w:rsid w:val="0010624E"/>
    <w:rsid w:val="00106332"/>
    <w:rsid w:val="001064F1"/>
    <w:rsid w:val="0010699C"/>
    <w:rsid w:val="00106B50"/>
    <w:rsid w:val="00106C9E"/>
    <w:rsid w:val="00107064"/>
    <w:rsid w:val="00107131"/>
    <w:rsid w:val="0010714E"/>
    <w:rsid w:val="00107246"/>
    <w:rsid w:val="001072D1"/>
    <w:rsid w:val="00107478"/>
    <w:rsid w:val="0010749D"/>
    <w:rsid w:val="00107AAF"/>
    <w:rsid w:val="00107DC9"/>
    <w:rsid w:val="00107F1B"/>
    <w:rsid w:val="0011003F"/>
    <w:rsid w:val="0011021B"/>
    <w:rsid w:val="00110305"/>
    <w:rsid w:val="001105E6"/>
    <w:rsid w:val="0011062E"/>
    <w:rsid w:val="001108EF"/>
    <w:rsid w:val="00110958"/>
    <w:rsid w:val="001109FC"/>
    <w:rsid w:val="00110A88"/>
    <w:rsid w:val="00110C9F"/>
    <w:rsid w:val="00110E90"/>
    <w:rsid w:val="001116E9"/>
    <w:rsid w:val="00111795"/>
    <w:rsid w:val="00111A0F"/>
    <w:rsid w:val="00111A60"/>
    <w:rsid w:val="00111A9F"/>
    <w:rsid w:val="00111B2F"/>
    <w:rsid w:val="00111F1C"/>
    <w:rsid w:val="001120BF"/>
    <w:rsid w:val="0011252A"/>
    <w:rsid w:val="001125DB"/>
    <w:rsid w:val="0011265E"/>
    <w:rsid w:val="00112661"/>
    <w:rsid w:val="00112866"/>
    <w:rsid w:val="001128E7"/>
    <w:rsid w:val="00112EDC"/>
    <w:rsid w:val="00113061"/>
    <w:rsid w:val="0011349C"/>
    <w:rsid w:val="001134B4"/>
    <w:rsid w:val="001135A0"/>
    <w:rsid w:val="001137A0"/>
    <w:rsid w:val="0011381F"/>
    <w:rsid w:val="00113AB4"/>
    <w:rsid w:val="00113C33"/>
    <w:rsid w:val="00113CAA"/>
    <w:rsid w:val="00113EBC"/>
    <w:rsid w:val="00114222"/>
    <w:rsid w:val="00114412"/>
    <w:rsid w:val="001145C0"/>
    <w:rsid w:val="0011461F"/>
    <w:rsid w:val="00114701"/>
    <w:rsid w:val="00114723"/>
    <w:rsid w:val="00114747"/>
    <w:rsid w:val="00114772"/>
    <w:rsid w:val="001152AC"/>
    <w:rsid w:val="001155E3"/>
    <w:rsid w:val="00115749"/>
    <w:rsid w:val="001158D6"/>
    <w:rsid w:val="00115B86"/>
    <w:rsid w:val="0011600F"/>
    <w:rsid w:val="00116415"/>
    <w:rsid w:val="00116ABF"/>
    <w:rsid w:val="00116B61"/>
    <w:rsid w:val="00116BEA"/>
    <w:rsid w:val="00116C2E"/>
    <w:rsid w:val="0011743E"/>
    <w:rsid w:val="001174A9"/>
    <w:rsid w:val="001175BE"/>
    <w:rsid w:val="0011768B"/>
    <w:rsid w:val="0011772F"/>
    <w:rsid w:val="0011776F"/>
    <w:rsid w:val="001178A9"/>
    <w:rsid w:val="001178C9"/>
    <w:rsid w:val="001179F1"/>
    <w:rsid w:val="00117C8E"/>
    <w:rsid w:val="00117CC3"/>
    <w:rsid w:val="00117CD7"/>
    <w:rsid w:val="00117EB6"/>
    <w:rsid w:val="00117F2A"/>
    <w:rsid w:val="0012019D"/>
    <w:rsid w:val="0012039D"/>
    <w:rsid w:val="001203E8"/>
    <w:rsid w:val="0012074A"/>
    <w:rsid w:val="001207B9"/>
    <w:rsid w:val="00121186"/>
    <w:rsid w:val="0012150E"/>
    <w:rsid w:val="00121763"/>
    <w:rsid w:val="0012188D"/>
    <w:rsid w:val="00121A3B"/>
    <w:rsid w:val="00121EF3"/>
    <w:rsid w:val="00121FA2"/>
    <w:rsid w:val="00122075"/>
    <w:rsid w:val="001223AC"/>
    <w:rsid w:val="001227C4"/>
    <w:rsid w:val="001228DA"/>
    <w:rsid w:val="0012294D"/>
    <w:rsid w:val="00122B8B"/>
    <w:rsid w:val="00122E08"/>
    <w:rsid w:val="00122ED7"/>
    <w:rsid w:val="0012311B"/>
    <w:rsid w:val="0012317E"/>
    <w:rsid w:val="0012319A"/>
    <w:rsid w:val="001232C4"/>
    <w:rsid w:val="0012342D"/>
    <w:rsid w:val="001237CC"/>
    <w:rsid w:val="00123811"/>
    <w:rsid w:val="001239C5"/>
    <w:rsid w:val="00123ABA"/>
    <w:rsid w:val="00123E36"/>
    <w:rsid w:val="0012413C"/>
    <w:rsid w:val="001248D3"/>
    <w:rsid w:val="00124A80"/>
    <w:rsid w:val="00124BD6"/>
    <w:rsid w:val="00124C83"/>
    <w:rsid w:val="00124D7D"/>
    <w:rsid w:val="0012539A"/>
    <w:rsid w:val="0012553D"/>
    <w:rsid w:val="001255CB"/>
    <w:rsid w:val="0012564C"/>
    <w:rsid w:val="001258E1"/>
    <w:rsid w:val="00125A35"/>
    <w:rsid w:val="00125B38"/>
    <w:rsid w:val="00125B63"/>
    <w:rsid w:val="00125D4F"/>
    <w:rsid w:val="001261C2"/>
    <w:rsid w:val="00126255"/>
    <w:rsid w:val="00126835"/>
    <w:rsid w:val="00126D17"/>
    <w:rsid w:val="00126DEB"/>
    <w:rsid w:val="00126EB3"/>
    <w:rsid w:val="001270D5"/>
    <w:rsid w:val="001271E6"/>
    <w:rsid w:val="001272A5"/>
    <w:rsid w:val="00127429"/>
    <w:rsid w:val="0012760F"/>
    <w:rsid w:val="00127627"/>
    <w:rsid w:val="00127745"/>
    <w:rsid w:val="00127857"/>
    <w:rsid w:val="0012786C"/>
    <w:rsid w:val="00127926"/>
    <w:rsid w:val="0012793C"/>
    <w:rsid w:val="00127BDD"/>
    <w:rsid w:val="00127D88"/>
    <w:rsid w:val="00127E0D"/>
    <w:rsid w:val="00130056"/>
    <w:rsid w:val="0013019C"/>
    <w:rsid w:val="00130352"/>
    <w:rsid w:val="0013065E"/>
    <w:rsid w:val="0013083F"/>
    <w:rsid w:val="001308BE"/>
    <w:rsid w:val="00130C40"/>
    <w:rsid w:val="00131072"/>
    <w:rsid w:val="001317EC"/>
    <w:rsid w:val="00131855"/>
    <w:rsid w:val="00131C22"/>
    <w:rsid w:val="00131C48"/>
    <w:rsid w:val="00132143"/>
    <w:rsid w:val="00132682"/>
    <w:rsid w:val="001326C6"/>
    <w:rsid w:val="00132740"/>
    <w:rsid w:val="001327CA"/>
    <w:rsid w:val="0013290A"/>
    <w:rsid w:val="0013298B"/>
    <w:rsid w:val="001329DB"/>
    <w:rsid w:val="00132E17"/>
    <w:rsid w:val="00132FF1"/>
    <w:rsid w:val="001330F8"/>
    <w:rsid w:val="00133354"/>
    <w:rsid w:val="001335CE"/>
    <w:rsid w:val="001336E6"/>
    <w:rsid w:val="00133A81"/>
    <w:rsid w:val="001340E6"/>
    <w:rsid w:val="001340FC"/>
    <w:rsid w:val="00134148"/>
    <w:rsid w:val="00134D49"/>
    <w:rsid w:val="00134FC1"/>
    <w:rsid w:val="001352D2"/>
    <w:rsid w:val="001353F3"/>
    <w:rsid w:val="00135445"/>
    <w:rsid w:val="0013549D"/>
    <w:rsid w:val="001354B8"/>
    <w:rsid w:val="00135544"/>
    <w:rsid w:val="00135707"/>
    <w:rsid w:val="001358A8"/>
    <w:rsid w:val="0013595F"/>
    <w:rsid w:val="00135B05"/>
    <w:rsid w:val="00136893"/>
    <w:rsid w:val="00136E3B"/>
    <w:rsid w:val="00136F36"/>
    <w:rsid w:val="00137017"/>
    <w:rsid w:val="0013701B"/>
    <w:rsid w:val="00137025"/>
    <w:rsid w:val="00137439"/>
    <w:rsid w:val="001375E8"/>
    <w:rsid w:val="0013769D"/>
    <w:rsid w:val="0013781D"/>
    <w:rsid w:val="00137888"/>
    <w:rsid w:val="00137A07"/>
    <w:rsid w:val="00137D41"/>
    <w:rsid w:val="00137E96"/>
    <w:rsid w:val="00137EDA"/>
    <w:rsid w:val="00137EE6"/>
    <w:rsid w:val="00137FEE"/>
    <w:rsid w:val="001403EB"/>
    <w:rsid w:val="0014054E"/>
    <w:rsid w:val="00140569"/>
    <w:rsid w:val="00140570"/>
    <w:rsid w:val="001405D1"/>
    <w:rsid w:val="0014060C"/>
    <w:rsid w:val="00140A6A"/>
    <w:rsid w:val="001411F3"/>
    <w:rsid w:val="0014124E"/>
    <w:rsid w:val="001412DD"/>
    <w:rsid w:val="00141527"/>
    <w:rsid w:val="001417D1"/>
    <w:rsid w:val="001418C8"/>
    <w:rsid w:val="0014194A"/>
    <w:rsid w:val="00141BDC"/>
    <w:rsid w:val="00141C3E"/>
    <w:rsid w:val="00141D28"/>
    <w:rsid w:val="00141EB4"/>
    <w:rsid w:val="00141F58"/>
    <w:rsid w:val="001422FA"/>
    <w:rsid w:val="00142AE5"/>
    <w:rsid w:val="00142D44"/>
    <w:rsid w:val="00142DB0"/>
    <w:rsid w:val="00142DD0"/>
    <w:rsid w:val="001434EE"/>
    <w:rsid w:val="0014394E"/>
    <w:rsid w:val="00143B4E"/>
    <w:rsid w:val="00143BB1"/>
    <w:rsid w:val="00143E96"/>
    <w:rsid w:val="001440AC"/>
    <w:rsid w:val="00144647"/>
    <w:rsid w:val="001447C9"/>
    <w:rsid w:val="001448F3"/>
    <w:rsid w:val="00145188"/>
    <w:rsid w:val="001451A3"/>
    <w:rsid w:val="00145847"/>
    <w:rsid w:val="00145B7A"/>
    <w:rsid w:val="001461A2"/>
    <w:rsid w:val="001466C2"/>
    <w:rsid w:val="00146DB1"/>
    <w:rsid w:val="00146F91"/>
    <w:rsid w:val="001470E7"/>
    <w:rsid w:val="001470FB"/>
    <w:rsid w:val="00147178"/>
    <w:rsid w:val="001476E6"/>
    <w:rsid w:val="0014775E"/>
    <w:rsid w:val="0014789A"/>
    <w:rsid w:val="00147FC2"/>
    <w:rsid w:val="001500B1"/>
    <w:rsid w:val="0015070A"/>
    <w:rsid w:val="001508A3"/>
    <w:rsid w:val="001509A9"/>
    <w:rsid w:val="00150C73"/>
    <w:rsid w:val="001510A7"/>
    <w:rsid w:val="001511EE"/>
    <w:rsid w:val="0015146E"/>
    <w:rsid w:val="001516DE"/>
    <w:rsid w:val="00151B6A"/>
    <w:rsid w:val="00151D02"/>
    <w:rsid w:val="00151DA7"/>
    <w:rsid w:val="001520D3"/>
    <w:rsid w:val="00152323"/>
    <w:rsid w:val="0015249A"/>
    <w:rsid w:val="001525BB"/>
    <w:rsid w:val="001525E1"/>
    <w:rsid w:val="001527F3"/>
    <w:rsid w:val="00152C68"/>
    <w:rsid w:val="00152F84"/>
    <w:rsid w:val="00153236"/>
    <w:rsid w:val="00153309"/>
    <w:rsid w:val="00153314"/>
    <w:rsid w:val="0015351C"/>
    <w:rsid w:val="00153A65"/>
    <w:rsid w:val="00153B42"/>
    <w:rsid w:val="00153C0E"/>
    <w:rsid w:val="00153E48"/>
    <w:rsid w:val="00154058"/>
    <w:rsid w:val="0015428B"/>
    <w:rsid w:val="00154336"/>
    <w:rsid w:val="001543F1"/>
    <w:rsid w:val="00154653"/>
    <w:rsid w:val="00154654"/>
    <w:rsid w:val="00154829"/>
    <w:rsid w:val="00154C04"/>
    <w:rsid w:val="00154C5F"/>
    <w:rsid w:val="00154E12"/>
    <w:rsid w:val="00154F8F"/>
    <w:rsid w:val="00155080"/>
    <w:rsid w:val="00155146"/>
    <w:rsid w:val="00155373"/>
    <w:rsid w:val="00155417"/>
    <w:rsid w:val="00155497"/>
    <w:rsid w:val="00155596"/>
    <w:rsid w:val="0015575D"/>
    <w:rsid w:val="00155A1B"/>
    <w:rsid w:val="00155B77"/>
    <w:rsid w:val="00155D14"/>
    <w:rsid w:val="00155E0F"/>
    <w:rsid w:val="0015659E"/>
    <w:rsid w:val="0015663A"/>
    <w:rsid w:val="00156654"/>
    <w:rsid w:val="001567C8"/>
    <w:rsid w:val="00156830"/>
    <w:rsid w:val="00156841"/>
    <w:rsid w:val="00156A64"/>
    <w:rsid w:val="00156ABD"/>
    <w:rsid w:val="00156ABE"/>
    <w:rsid w:val="00156EB7"/>
    <w:rsid w:val="0015739B"/>
    <w:rsid w:val="00157524"/>
    <w:rsid w:val="001578FF"/>
    <w:rsid w:val="00157907"/>
    <w:rsid w:val="001579AE"/>
    <w:rsid w:val="001579F6"/>
    <w:rsid w:val="00157A96"/>
    <w:rsid w:val="00157B62"/>
    <w:rsid w:val="00157C5A"/>
    <w:rsid w:val="00157C9C"/>
    <w:rsid w:val="00157D53"/>
    <w:rsid w:val="0015CD0B"/>
    <w:rsid w:val="001604E2"/>
    <w:rsid w:val="00160828"/>
    <w:rsid w:val="001608A9"/>
    <w:rsid w:val="00160AC9"/>
    <w:rsid w:val="00160C45"/>
    <w:rsid w:val="00160DC6"/>
    <w:rsid w:val="00160FC4"/>
    <w:rsid w:val="001612A0"/>
    <w:rsid w:val="00161360"/>
    <w:rsid w:val="0016167F"/>
    <w:rsid w:val="00161714"/>
    <w:rsid w:val="001617E2"/>
    <w:rsid w:val="00161947"/>
    <w:rsid w:val="001619D5"/>
    <w:rsid w:val="00161BE0"/>
    <w:rsid w:val="00161C56"/>
    <w:rsid w:val="00161CB6"/>
    <w:rsid w:val="00161D47"/>
    <w:rsid w:val="00161E0F"/>
    <w:rsid w:val="00161EF5"/>
    <w:rsid w:val="00162087"/>
    <w:rsid w:val="001627B3"/>
    <w:rsid w:val="0016280F"/>
    <w:rsid w:val="001628BF"/>
    <w:rsid w:val="00162947"/>
    <w:rsid w:val="00162A78"/>
    <w:rsid w:val="00162B66"/>
    <w:rsid w:val="00162C16"/>
    <w:rsid w:val="00162C47"/>
    <w:rsid w:val="00162F5D"/>
    <w:rsid w:val="0016317B"/>
    <w:rsid w:val="001632E5"/>
    <w:rsid w:val="0016358C"/>
    <w:rsid w:val="0016374A"/>
    <w:rsid w:val="00163840"/>
    <w:rsid w:val="00163894"/>
    <w:rsid w:val="001638FB"/>
    <w:rsid w:val="00163B48"/>
    <w:rsid w:val="00163E2F"/>
    <w:rsid w:val="00163EAF"/>
    <w:rsid w:val="00164439"/>
    <w:rsid w:val="001644E5"/>
    <w:rsid w:val="001646CA"/>
    <w:rsid w:val="00164794"/>
    <w:rsid w:val="00164C91"/>
    <w:rsid w:val="00164CC4"/>
    <w:rsid w:val="00164FA5"/>
    <w:rsid w:val="00165104"/>
    <w:rsid w:val="00165210"/>
    <w:rsid w:val="00165725"/>
    <w:rsid w:val="00166400"/>
    <w:rsid w:val="001666C9"/>
    <w:rsid w:val="001667F8"/>
    <w:rsid w:val="00166D24"/>
    <w:rsid w:val="00166D61"/>
    <w:rsid w:val="00166DE9"/>
    <w:rsid w:val="00166F36"/>
    <w:rsid w:val="00166F97"/>
    <w:rsid w:val="001673C4"/>
    <w:rsid w:val="00167757"/>
    <w:rsid w:val="0016778D"/>
    <w:rsid w:val="00167B48"/>
    <w:rsid w:val="00167D21"/>
    <w:rsid w:val="00167E21"/>
    <w:rsid w:val="00167F5B"/>
    <w:rsid w:val="00170063"/>
    <w:rsid w:val="001700F3"/>
    <w:rsid w:val="001703B0"/>
    <w:rsid w:val="0017044E"/>
    <w:rsid w:val="001707B0"/>
    <w:rsid w:val="00170938"/>
    <w:rsid w:val="00170A5A"/>
    <w:rsid w:val="00170A9E"/>
    <w:rsid w:val="00170B50"/>
    <w:rsid w:val="00171607"/>
    <w:rsid w:val="001716E5"/>
    <w:rsid w:val="0017189C"/>
    <w:rsid w:val="001719BF"/>
    <w:rsid w:val="00171C3D"/>
    <w:rsid w:val="00171F9E"/>
    <w:rsid w:val="001723CE"/>
    <w:rsid w:val="001723E2"/>
    <w:rsid w:val="00172444"/>
    <w:rsid w:val="0017259F"/>
    <w:rsid w:val="00172656"/>
    <w:rsid w:val="0017274D"/>
    <w:rsid w:val="001727E1"/>
    <w:rsid w:val="00172995"/>
    <w:rsid w:val="00172A0F"/>
    <w:rsid w:val="00172AA0"/>
    <w:rsid w:val="00172AAB"/>
    <w:rsid w:val="00172D84"/>
    <w:rsid w:val="00173266"/>
    <w:rsid w:val="00173694"/>
    <w:rsid w:val="001737B1"/>
    <w:rsid w:val="00173CF5"/>
    <w:rsid w:val="00173E5F"/>
    <w:rsid w:val="001741BD"/>
    <w:rsid w:val="0017444F"/>
    <w:rsid w:val="00174D64"/>
    <w:rsid w:val="001752A3"/>
    <w:rsid w:val="001759C2"/>
    <w:rsid w:val="00175D56"/>
    <w:rsid w:val="00175D6E"/>
    <w:rsid w:val="00175ED5"/>
    <w:rsid w:val="00176257"/>
    <w:rsid w:val="0017626E"/>
    <w:rsid w:val="0017631E"/>
    <w:rsid w:val="0017659A"/>
    <w:rsid w:val="00176B83"/>
    <w:rsid w:val="00176BA5"/>
    <w:rsid w:val="00176BD3"/>
    <w:rsid w:val="001774CF"/>
    <w:rsid w:val="0017757C"/>
    <w:rsid w:val="001775E1"/>
    <w:rsid w:val="001776BF"/>
    <w:rsid w:val="001776FC"/>
    <w:rsid w:val="00177718"/>
    <w:rsid w:val="001777AC"/>
    <w:rsid w:val="001779A1"/>
    <w:rsid w:val="00177AA2"/>
    <w:rsid w:val="00177CFF"/>
    <w:rsid w:val="00177F80"/>
    <w:rsid w:val="00180084"/>
    <w:rsid w:val="00180184"/>
    <w:rsid w:val="001803BB"/>
    <w:rsid w:val="0018055F"/>
    <w:rsid w:val="001805FB"/>
    <w:rsid w:val="001807CD"/>
    <w:rsid w:val="00180B5F"/>
    <w:rsid w:val="00180E37"/>
    <w:rsid w:val="0018105F"/>
    <w:rsid w:val="001813C3"/>
    <w:rsid w:val="00181439"/>
    <w:rsid w:val="001816FF"/>
    <w:rsid w:val="0018174B"/>
    <w:rsid w:val="00181D98"/>
    <w:rsid w:val="00181E34"/>
    <w:rsid w:val="001822EE"/>
    <w:rsid w:val="001829F5"/>
    <w:rsid w:val="00182FE4"/>
    <w:rsid w:val="001830F3"/>
    <w:rsid w:val="001836A3"/>
    <w:rsid w:val="00183828"/>
    <w:rsid w:val="0018395F"/>
    <w:rsid w:val="00183D16"/>
    <w:rsid w:val="0018401E"/>
    <w:rsid w:val="00184295"/>
    <w:rsid w:val="00184317"/>
    <w:rsid w:val="00184376"/>
    <w:rsid w:val="00184385"/>
    <w:rsid w:val="001843EB"/>
    <w:rsid w:val="001844F5"/>
    <w:rsid w:val="00184693"/>
    <w:rsid w:val="00184C6E"/>
    <w:rsid w:val="0018556C"/>
    <w:rsid w:val="00185781"/>
    <w:rsid w:val="001858B6"/>
    <w:rsid w:val="00185A05"/>
    <w:rsid w:val="00185B5B"/>
    <w:rsid w:val="00185EAC"/>
    <w:rsid w:val="00185ECE"/>
    <w:rsid w:val="00185FB7"/>
    <w:rsid w:val="0018615B"/>
    <w:rsid w:val="001862F7"/>
    <w:rsid w:val="0018641C"/>
    <w:rsid w:val="00186438"/>
    <w:rsid w:val="00186488"/>
    <w:rsid w:val="0018648F"/>
    <w:rsid w:val="00186A40"/>
    <w:rsid w:val="00186BEB"/>
    <w:rsid w:val="00186C39"/>
    <w:rsid w:val="00186D4F"/>
    <w:rsid w:val="00186D81"/>
    <w:rsid w:val="00187680"/>
    <w:rsid w:val="001877D2"/>
    <w:rsid w:val="001878A8"/>
    <w:rsid w:val="00187F0C"/>
    <w:rsid w:val="0019015A"/>
    <w:rsid w:val="001902BE"/>
    <w:rsid w:val="00190515"/>
    <w:rsid w:val="00190FC6"/>
    <w:rsid w:val="001911F7"/>
    <w:rsid w:val="00191639"/>
    <w:rsid w:val="00191850"/>
    <w:rsid w:val="00191A18"/>
    <w:rsid w:val="00192404"/>
    <w:rsid w:val="00192436"/>
    <w:rsid w:val="001924C3"/>
    <w:rsid w:val="001924E5"/>
    <w:rsid w:val="0019299D"/>
    <w:rsid w:val="00192E4D"/>
    <w:rsid w:val="0019318C"/>
    <w:rsid w:val="00193532"/>
    <w:rsid w:val="001935C4"/>
    <w:rsid w:val="0019367B"/>
    <w:rsid w:val="00193682"/>
    <w:rsid w:val="0019372D"/>
    <w:rsid w:val="00193763"/>
    <w:rsid w:val="001937CA"/>
    <w:rsid w:val="00193ABE"/>
    <w:rsid w:val="00193E7A"/>
    <w:rsid w:val="00193E99"/>
    <w:rsid w:val="00194315"/>
    <w:rsid w:val="00194568"/>
    <w:rsid w:val="00194E6F"/>
    <w:rsid w:val="00194EC2"/>
    <w:rsid w:val="0019501E"/>
    <w:rsid w:val="00195541"/>
    <w:rsid w:val="00195A2F"/>
    <w:rsid w:val="00195AA8"/>
    <w:rsid w:val="00195BD4"/>
    <w:rsid w:val="00195D01"/>
    <w:rsid w:val="00195D29"/>
    <w:rsid w:val="00195F35"/>
    <w:rsid w:val="001961B3"/>
    <w:rsid w:val="001963A4"/>
    <w:rsid w:val="001963AF"/>
    <w:rsid w:val="0019699E"/>
    <w:rsid w:val="00196A30"/>
    <w:rsid w:val="001971BF"/>
    <w:rsid w:val="0019738F"/>
    <w:rsid w:val="001973EA"/>
    <w:rsid w:val="00197452"/>
    <w:rsid w:val="00197583"/>
    <w:rsid w:val="0019792F"/>
    <w:rsid w:val="001979D8"/>
    <w:rsid w:val="00197A6A"/>
    <w:rsid w:val="00197C34"/>
    <w:rsid w:val="00197CFC"/>
    <w:rsid w:val="00197DBD"/>
    <w:rsid w:val="001A0402"/>
    <w:rsid w:val="001A063A"/>
    <w:rsid w:val="001A06D6"/>
    <w:rsid w:val="001A070C"/>
    <w:rsid w:val="001A0866"/>
    <w:rsid w:val="001A0880"/>
    <w:rsid w:val="001A0970"/>
    <w:rsid w:val="001A0A45"/>
    <w:rsid w:val="001A0B92"/>
    <w:rsid w:val="001A0C9A"/>
    <w:rsid w:val="001A0CC4"/>
    <w:rsid w:val="001A107C"/>
    <w:rsid w:val="001A1164"/>
    <w:rsid w:val="001A1287"/>
    <w:rsid w:val="001A14BE"/>
    <w:rsid w:val="001A172B"/>
    <w:rsid w:val="001A17F9"/>
    <w:rsid w:val="001A18BA"/>
    <w:rsid w:val="001A19D2"/>
    <w:rsid w:val="001A1FD9"/>
    <w:rsid w:val="001A227A"/>
    <w:rsid w:val="001A2785"/>
    <w:rsid w:val="001A2AB6"/>
    <w:rsid w:val="001A2EC2"/>
    <w:rsid w:val="001A30D5"/>
    <w:rsid w:val="001A317E"/>
    <w:rsid w:val="001A336B"/>
    <w:rsid w:val="001A3419"/>
    <w:rsid w:val="001A34D9"/>
    <w:rsid w:val="001A378E"/>
    <w:rsid w:val="001A3E8C"/>
    <w:rsid w:val="001A41AF"/>
    <w:rsid w:val="001A454C"/>
    <w:rsid w:val="001A47E1"/>
    <w:rsid w:val="001A4830"/>
    <w:rsid w:val="001A4894"/>
    <w:rsid w:val="001A4AD8"/>
    <w:rsid w:val="001A4AEB"/>
    <w:rsid w:val="001A4BFD"/>
    <w:rsid w:val="001A4CA6"/>
    <w:rsid w:val="001A4CE5"/>
    <w:rsid w:val="001A4D43"/>
    <w:rsid w:val="001A51EF"/>
    <w:rsid w:val="001A531B"/>
    <w:rsid w:val="001A5364"/>
    <w:rsid w:val="001A57D5"/>
    <w:rsid w:val="001A592E"/>
    <w:rsid w:val="001A66BC"/>
    <w:rsid w:val="001A66FB"/>
    <w:rsid w:val="001A67DE"/>
    <w:rsid w:val="001A68BA"/>
    <w:rsid w:val="001A6914"/>
    <w:rsid w:val="001A6D04"/>
    <w:rsid w:val="001A6F67"/>
    <w:rsid w:val="001A6F8B"/>
    <w:rsid w:val="001A703F"/>
    <w:rsid w:val="001A7203"/>
    <w:rsid w:val="001A7459"/>
    <w:rsid w:val="001A7577"/>
    <w:rsid w:val="001A7855"/>
    <w:rsid w:val="001A79F4"/>
    <w:rsid w:val="001A7BB1"/>
    <w:rsid w:val="001A7D92"/>
    <w:rsid w:val="001B06E3"/>
    <w:rsid w:val="001B0AE1"/>
    <w:rsid w:val="001B0BDC"/>
    <w:rsid w:val="001B0BF5"/>
    <w:rsid w:val="001B0D0E"/>
    <w:rsid w:val="001B10C1"/>
    <w:rsid w:val="001B1132"/>
    <w:rsid w:val="001B192E"/>
    <w:rsid w:val="001B1A26"/>
    <w:rsid w:val="001B1C3D"/>
    <w:rsid w:val="001B1D00"/>
    <w:rsid w:val="001B1F38"/>
    <w:rsid w:val="001B22D2"/>
    <w:rsid w:val="001B265C"/>
    <w:rsid w:val="001B2A9B"/>
    <w:rsid w:val="001B2FBD"/>
    <w:rsid w:val="001B3235"/>
    <w:rsid w:val="001B358B"/>
    <w:rsid w:val="001B35B8"/>
    <w:rsid w:val="001B3C80"/>
    <w:rsid w:val="001B3C8A"/>
    <w:rsid w:val="001B3D2E"/>
    <w:rsid w:val="001B3DFD"/>
    <w:rsid w:val="001B4139"/>
    <w:rsid w:val="001B4372"/>
    <w:rsid w:val="001B44BA"/>
    <w:rsid w:val="001B4937"/>
    <w:rsid w:val="001B49EF"/>
    <w:rsid w:val="001B4AFE"/>
    <w:rsid w:val="001B6107"/>
    <w:rsid w:val="001B6664"/>
    <w:rsid w:val="001B687C"/>
    <w:rsid w:val="001B6B73"/>
    <w:rsid w:val="001B6D41"/>
    <w:rsid w:val="001B6D8D"/>
    <w:rsid w:val="001B6EE6"/>
    <w:rsid w:val="001B6FF0"/>
    <w:rsid w:val="001B728B"/>
    <w:rsid w:val="001B728F"/>
    <w:rsid w:val="001B7422"/>
    <w:rsid w:val="001B7856"/>
    <w:rsid w:val="001B78F7"/>
    <w:rsid w:val="001B7A33"/>
    <w:rsid w:val="001B7C2B"/>
    <w:rsid w:val="001B7CE3"/>
    <w:rsid w:val="001B7E14"/>
    <w:rsid w:val="001B7ED3"/>
    <w:rsid w:val="001C0292"/>
    <w:rsid w:val="001C0307"/>
    <w:rsid w:val="001C03A2"/>
    <w:rsid w:val="001C03BA"/>
    <w:rsid w:val="001C078A"/>
    <w:rsid w:val="001C07F6"/>
    <w:rsid w:val="001C0C44"/>
    <w:rsid w:val="001C0F3B"/>
    <w:rsid w:val="001C105B"/>
    <w:rsid w:val="001C1452"/>
    <w:rsid w:val="001C1626"/>
    <w:rsid w:val="001C170B"/>
    <w:rsid w:val="001C1879"/>
    <w:rsid w:val="001C1DFB"/>
    <w:rsid w:val="001C1F73"/>
    <w:rsid w:val="001C286C"/>
    <w:rsid w:val="001C2B7B"/>
    <w:rsid w:val="001C2C87"/>
    <w:rsid w:val="001C33F4"/>
    <w:rsid w:val="001C375E"/>
    <w:rsid w:val="001C3768"/>
    <w:rsid w:val="001C39C5"/>
    <w:rsid w:val="001C3AD5"/>
    <w:rsid w:val="001C3B2E"/>
    <w:rsid w:val="001C3C92"/>
    <w:rsid w:val="001C3D2E"/>
    <w:rsid w:val="001C3D69"/>
    <w:rsid w:val="001C3DC6"/>
    <w:rsid w:val="001C4000"/>
    <w:rsid w:val="001C40F9"/>
    <w:rsid w:val="001C43A8"/>
    <w:rsid w:val="001C44F7"/>
    <w:rsid w:val="001C467C"/>
    <w:rsid w:val="001C48C7"/>
    <w:rsid w:val="001C4A0C"/>
    <w:rsid w:val="001C51D8"/>
    <w:rsid w:val="001C5433"/>
    <w:rsid w:val="001C5592"/>
    <w:rsid w:val="001C57E6"/>
    <w:rsid w:val="001C59D8"/>
    <w:rsid w:val="001C5AF3"/>
    <w:rsid w:val="001C5D12"/>
    <w:rsid w:val="001C5D2E"/>
    <w:rsid w:val="001C5D4D"/>
    <w:rsid w:val="001C5D9D"/>
    <w:rsid w:val="001C5F0D"/>
    <w:rsid w:val="001C61EF"/>
    <w:rsid w:val="001C6253"/>
    <w:rsid w:val="001C62FB"/>
    <w:rsid w:val="001C6312"/>
    <w:rsid w:val="001C6470"/>
    <w:rsid w:val="001C64C5"/>
    <w:rsid w:val="001C67E2"/>
    <w:rsid w:val="001C6839"/>
    <w:rsid w:val="001C68CC"/>
    <w:rsid w:val="001C6EA0"/>
    <w:rsid w:val="001C6EA3"/>
    <w:rsid w:val="001C6FBF"/>
    <w:rsid w:val="001C723C"/>
    <w:rsid w:val="001C72F8"/>
    <w:rsid w:val="001C73CC"/>
    <w:rsid w:val="001C7502"/>
    <w:rsid w:val="001C777E"/>
    <w:rsid w:val="001C78BA"/>
    <w:rsid w:val="001C7A56"/>
    <w:rsid w:val="001C7AAC"/>
    <w:rsid w:val="001D018C"/>
    <w:rsid w:val="001D01B3"/>
    <w:rsid w:val="001D01EB"/>
    <w:rsid w:val="001D02DD"/>
    <w:rsid w:val="001D07E7"/>
    <w:rsid w:val="001D085C"/>
    <w:rsid w:val="001D0CE7"/>
    <w:rsid w:val="001D0CF5"/>
    <w:rsid w:val="001D0E78"/>
    <w:rsid w:val="001D0F35"/>
    <w:rsid w:val="001D10F4"/>
    <w:rsid w:val="001D1173"/>
    <w:rsid w:val="001D1282"/>
    <w:rsid w:val="001D12E0"/>
    <w:rsid w:val="001D1682"/>
    <w:rsid w:val="001D196C"/>
    <w:rsid w:val="001D19BF"/>
    <w:rsid w:val="001D1AC2"/>
    <w:rsid w:val="001D1BF4"/>
    <w:rsid w:val="001D1CE8"/>
    <w:rsid w:val="001D2450"/>
    <w:rsid w:val="001D24ED"/>
    <w:rsid w:val="001D283E"/>
    <w:rsid w:val="001D2856"/>
    <w:rsid w:val="001D294E"/>
    <w:rsid w:val="001D2AE9"/>
    <w:rsid w:val="001D2B0A"/>
    <w:rsid w:val="001D30AA"/>
    <w:rsid w:val="001D3113"/>
    <w:rsid w:val="001D33BA"/>
    <w:rsid w:val="001D36D5"/>
    <w:rsid w:val="001D376C"/>
    <w:rsid w:val="001D3CEC"/>
    <w:rsid w:val="001D42B3"/>
    <w:rsid w:val="001D450C"/>
    <w:rsid w:val="001D464A"/>
    <w:rsid w:val="001D4992"/>
    <w:rsid w:val="001D4A55"/>
    <w:rsid w:val="001D4C9D"/>
    <w:rsid w:val="001D4F66"/>
    <w:rsid w:val="001D5023"/>
    <w:rsid w:val="001D509D"/>
    <w:rsid w:val="001D54E6"/>
    <w:rsid w:val="001D574D"/>
    <w:rsid w:val="001D5F2F"/>
    <w:rsid w:val="001D5FA7"/>
    <w:rsid w:val="001D5FD7"/>
    <w:rsid w:val="001D6025"/>
    <w:rsid w:val="001D61F4"/>
    <w:rsid w:val="001D6472"/>
    <w:rsid w:val="001D64E7"/>
    <w:rsid w:val="001D6585"/>
    <w:rsid w:val="001D65F2"/>
    <w:rsid w:val="001D6760"/>
    <w:rsid w:val="001D685C"/>
    <w:rsid w:val="001D6CBB"/>
    <w:rsid w:val="001D6F98"/>
    <w:rsid w:val="001D7208"/>
    <w:rsid w:val="001D75FF"/>
    <w:rsid w:val="001D786F"/>
    <w:rsid w:val="001D78B1"/>
    <w:rsid w:val="001D7996"/>
    <w:rsid w:val="001D7C0F"/>
    <w:rsid w:val="001D7C46"/>
    <w:rsid w:val="001D7D99"/>
    <w:rsid w:val="001D7EC1"/>
    <w:rsid w:val="001D7FCA"/>
    <w:rsid w:val="001E005E"/>
    <w:rsid w:val="001E0537"/>
    <w:rsid w:val="001E06B6"/>
    <w:rsid w:val="001E0717"/>
    <w:rsid w:val="001E08F2"/>
    <w:rsid w:val="001E0910"/>
    <w:rsid w:val="001E0A44"/>
    <w:rsid w:val="001E0B07"/>
    <w:rsid w:val="001E0DC8"/>
    <w:rsid w:val="001E0EF4"/>
    <w:rsid w:val="001E118B"/>
    <w:rsid w:val="001E11F3"/>
    <w:rsid w:val="001E137A"/>
    <w:rsid w:val="001E14B4"/>
    <w:rsid w:val="001E159B"/>
    <w:rsid w:val="001E16FB"/>
    <w:rsid w:val="001E1F09"/>
    <w:rsid w:val="001E20B2"/>
    <w:rsid w:val="001E23AC"/>
    <w:rsid w:val="001E23C8"/>
    <w:rsid w:val="001E2526"/>
    <w:rsid w:val="001E2561"/>
    <w:rsid w:val="001E275E"/>
    <w:rsid w:val="001E2A00"/>
    <w:rsid w:val="001E2F6C"/>
    <w:rsid w:val="001E2FF9"/>
    <w:rsid w:val="001E30F3"/>
    <w:rsid w:val="001E371E"/>
    <w:rsid w:val="001E3913"/>
    <w:rsid w:val="001E3B69"/>
    <w:rsid w:val="001E3D5D"/>
    <w:rsid w:val="001E3F39"/>
    <w:rsid w:val="001E4701"/>
    <w:rsid w:val="001E497A"/>
    <w:rsid w:val="001E4A7C"/>
    <w:rsid w:val="001E4CE2"/>
    <w:rsid w:val="001E4D36"/>
    <w:rsid w:val="001E4D8E"/>
    <w:rsid w:val="001E4E2E"/>
    <w:rsid w:val="001E4EFB"/>
    <w:rsid w:val="001E5796"/>
    <w:rsid w:val="001E589B"/>
    <w:rsid w:val="001E5A48"/>
    <w:rsid w:val="001E614D"/>
    <w:rsid w:val="001E618C"/>
    <w:rsid w:val="001E6542"/>
    <w:rsid w:val="001E6737"/>
    <w:rsid w:val="001E6802"/>
    <w:rsid w:val="001E6CAF"/>
    <w:rsid w:val="001E6D4B"/>
    <w:rsid w:val="001E6E4E"/>
    <w:rsid w:val="001E6E9F"/>
    <w:rsid w:val="001E6F21"/>
    <w:rsid w:val="001E6FEA"/>
    <w:rsid w:val="001E707C"/>
    <w:rsid w:val="001E70F0"/>
    <w:rsid w:val="001E7417"/>
    <w:rsid w:val="001E75FE"/>
    <w:rsid w:val="001E7610"/>
    <w:rsid w:val="001E76CC"/>
    <w:rsid w:val="001E7ECE"/>
    <w:rsid w:val="001F02C7"/>
    <w:rsid w:val="001F02E9"/>
    <w:rsid w:val="001F0361"/>
    <w:rsid w:val="001F06EB"/>
    <w:rsid w:val="001F0729"/>
    <w:rsid w:val="001F0884"/>
    <w:rsid w:val="001F0BE5"/>
    <w:rsid w:val="001F0D4E"/>
    <w:rsid w:val="001F0E1B"/>
    <w:rsid w:val="001F102D"/>
    <w:rsid w:val="001F1129"/>
    <w:rsid w:val="001F15B3"/>
    <w:rsid w:val="001F1717"/>
    <w:rsid w:val="001F187A"/>
    <w:rsid w:val="001F1BEB"/>
    <w:rsid w:val="001F1C3D"/>
    <w:rsid w:val="001F1C63"/>
    <w:rsid w:val="001F1CBD"/>
    <w:rsid w:val="001F200D"/>
    <w:rsid w:val="001F257A"/>
    <w:rsid w:val="001F2655"/>
    <w:rsid w:val="001F2737"/>
    <w:rsid w:val="001F27E8"/>
    <w:rsid w:val="001F295B"/>
    <w:rsid w:val="001F2B33"/>
    <w:rsid w:val="001F3071"/>
    <w:rsid w:val="001F320A"/>
    <w:rsid w:val="001F378D"/>
    <w:rsid w:val="001F39C1"/>
    <w:rsid w:val="001F3A52"/>
    <w:rsid w:val="001F3C28"/>
    <w:rsid w:val="001F3E36"/>
    <w:rsid w:val="001F3F15"/>
    <w:rsid w:val="001F4473"/>
    <w:rsid w:val="001F4499"/>
    <w:rsid w:val="001F4957"/>
    <w:rsid w:val="001F49EF"/>
    <w:rsid w:val="001F4ADF"/>
    <w:rsid w:val="001F504D"/>
    <w:rsid w:val="001F5454"/>
    <w:rsid w:val="001F57EF"/>
    <w:rsid w:val="001F59FB"/>
    <w:rsid w:val="001F6057"/>
    <w:rsid w:val="001F6159"/>
    <w:rsid w:val="001F6171"/>
    <w:rsid w:val="001F64B6"/>
    <w:rsid w:val="001F665F"/>
    <w:rsid w:val="001F699B"/>
    <w:rsid w:val="001F703E"/>
    <w:rsid w:val="001F75CD"/>
    <w:rsid w:val="001F7AD0"/>
    <w:rsid w:val="001F7BDA"/>
    <w:rsid w:val="00200144"/>
    <w:rsid w:val="0020015A"/>
    <w:rsid w:val="002005C1"/>
    <w:rsid w:val="0020075E"/>
    <w:rsid w:val="0020085C"/>
    <w:rsid w:val="002009AD"/>
    <w:rsid w:val="00200C1F"/>
    <w:rsid w:val="00200DB9"/>
    <w:rsid w:val="00201993"/>
    <w:rsid w:val="00201B00"/>
    <w:rsid w:val="00201B96"/>
    <w:rsid w:val="00201D0F"/>
    <w:rsid w:val="00201E29"/>
    <w:rsid w:val="00202063"/>
    <w:rsid w:val="0020207F"/>
    <w:rsid w:val="0020213F"/>
    <w:rsid w:val="002021D8"/>
    <w:rsid w:val="00202321"/>
    <w:rsid w:val="00202547"/>
    <w:rsid w:val="002025C8"/>
    <w:rsid w:val="00202915"/>
    <w:rsid w:val="00202CB5"/>
    <w:rsid w:val="002031E4"/>
    <w:rsid w:val="00203220"/>
    <w:rsid w:val="002032BA"/>
    <w:rsid w:val="00203711"/>
    <w:rsid w:val="0020386C"/>
    <w:rsid w:val="002038F8"/>
    <w:rsid w:val="00203AF2"/>
    <w:rsid w:val="00203CCC"/>
    <w:rsid w:val="00203CFE"/>
    <w:rsid w:val="00203DC1"/>
    <w:rsid w:val="00203EE0"/>
    <w:rsid w:val="002040A0"/>
    <w:rsid w:val="00204180"/>
    <w:rsid w:val="00204397"/>
    <w:rsid w:val="00204571"/>
    <w:rsid w:val="00204658"/>
    <w:rsid w:val="00204866"/>
    <w:rsid w:val="00204A07"/>
    <w:rsid w:val="00204B1B"/>
    <w:rsid w:val="00205045"/>
    <w:rsid w:val="00205070"/>
    <w:rsid w:val="00205242"/>
    <w:rsid w:val="002054B8"/>
    <w:rsid w:val="002054E9"/>
    <w:rsid w:val="002058EE"/>
    <w:rsid w:val="0020593A"/>
    <w:rsid w:val="00205BC1"/>
    <w:rsid w:val="00205C1C"/>
    <w:rsid w:val="00205D92"/>
    <w:rsid w:val="00205E34"/>
    <w:rsid w:val="002060F4"/>
    <w:rsid w:val="002062AB"/>
    <w:rsid w:val="00206350"/>
    <w:rsid w:val="002063FA"/>
    <w:rsid w:val="0020648B"/>
    <w:rsid w:val="00206652"/>
    <w:rsid w:val="002066C1"/>
    <w:rsid w:val="00206E00"/>
    <w:rsid w:val="00207091"/>
    <w:rsid w:val="00207434"/>
    <w:rsid w:val="00207688"/>
    <w:rsid w:val="00207947"/>
    <w:rsid w:val="00207950"/>
    <w:rsid w:val="002079C6"/>
    <w:rsid w:val="00207B22"/>
    <w:rsid w:val="00207E00"/>
    <w:rsid w:val="00207F79"/>
    <w:rsid w:val="00210066"/>
    <w:rsid w:val="002107FE"/>
    <w:rsid w:val="00210849"/>
    <w:rsid w:val="0021090D"/>
    <w:rsid w:val="00210A4D"/>
    <w:rsid w:val="00210BBF"/>
    <w:rsid w:val="00210BE2"/>
    <w:rsid w:val="00210D1B"/>
    <w:rsid w:val="00210D9B"/>
    <w:rsid w:val="00210FBE"/>
    <w:rsid w:val="00210FFA"/>
    <w:rsid w:val="00211112"/>
    <w:rsid w:val="002113A5"/>
    <w:rsid w:val="00211C0A"/>
    <w:rsid w:val="00211D3A"/>
    <w:rsid w:val="00211F73"/>
    <w:rsid w:val="002125DE"/>
    <w:rsid w:val="002127BD"/>
    <w:rsid w:val="00212883"/>
    <w:rsid w:val="00212897"/>
    <w:rsid w:val="00212B02"/>
    <w:rsid w:val="00212B53"/>
    <w:rsid w:val="00212B6F"/>
    <w:rsid w:val="00212FB6"/>
    <w:rsid w:val="002132A5"/>
    <w:rsid w:val="00213412"/>
    <w:rsid w:val="00213864"/>
    <w:rsid w:val="00213BAB"/>
    <w:rsid w:val="00213D64"/>
    <w:rsid w:val="00213FEC"/>
    <w:rsid w:val="00214574"/>
    <w:rsid w:val="002145F5"/>
    <w:rsid w:val="00214932"/>
    <w:rsid w:val="00214AA6"/>
    <w:rsid w:val="00214AEE"/>
    <w:rsid w:val="00214CEC"/>
    <w:rsid w:val="0021511F"/>
    <w:rsid w:val="002151A1"/>
    <w:rsid w:val="00215420"/>
    <w:rsid w:val="00215421"/>
    <w:rsid w:val="0021576B"/>
    <w:rsid w:val="00215894"/>
    <w:rsid w:val="00215AC8"/>
    <w:rsid w:val="002161AE"/>
    <w:rsid w:val="00216639"/>
    <w:rsid w:val="002166F7"/>
    <w:rsid w:val="00216814"/>
    <w:rsid w:val="00216940"/>
    <w:rsid w:val="00216D03"/>
    <w:rsid w:val="00216E18"/>
    <w:rsid w:val="00217308"/>
    <w:rsid w:val="00217364"/>
    <w:rsid w:val="00217540"/>
    <w:rsid w:val="00217826"/>
    <w:rsid w:val="00217B21"/>
    <w:rsid w:val="00220070"/>
    <w:rsid w:val="00220364"/>
    <w:rsid w:val="002207DE"/>
    <w:rsid w:val="00220BF3"/>
    <w:rsid w:val="00220C19"/>
    <w:rsid w:val="002210EC"/>
    <w:rsid w:val="002212CA"/>
    <w:rsid w:val="00221487"/>
    <w:rsid w:val="00221698"/>
    <w:rsid w:val="002219DF"/>
    <w:rsid w:val="00221A2D"/>
    <w:rsid w:val="00221BF7"/>
    <w:rsid w:val="00221E52"/>
    <w:rsid w:val="0022227A"/>
    <w:rsid w:val="002225F3"/>
    <w:rsid w:val="00222C3E"/>
    <w:rsid w:val="00222E70"/>
    <w:rsid w:val="00222EF3"/>
    <w:rsid w:val="002230B1"/>
    <w:rsid w:val="002231C6"/>
    <w:rsid w:val="00223274"/>
    <w:rsid w:val="0022374E"/>
    <w:rsid w:val="0022380E"/>
    <w:rsid w:val="00223874"/>
    <w:rsid w:val="002239C5"/>
    <w:rsid w:val="00223B2E"/>
    <w:rsid w:val="00223B47"/>
    <w:rsid w:val="002241DE"/>
    <w:rsid w:val="0022449C"/>
    <w:rsid w:val="002244EE"/>
    <w:rsid w:val="00224664"/>
    <w:rsid w:val="00224790"/>
    <w:rsid w:val="00224871"/>
    <w:rsid w:val="002248AB"/>
    <w:rsid w:val="00224A01"/>
    <w:rsid w:val="00224D07"/>
    <w:rsid w:val="00224F1E"/>
    <w:rsid w:val="002251E6"/>
    <w:rsid w:val="00225833"/>
    <w:rsid w:val="00225B8F"/>
    <w:rsid w:val="00226153"/>
    <w:rsid w:val="00226B9F"/>
    <w:rsid w:val="00227467"/>
    <w:rsid w:val="0022747F"/>
    <w:rsid w:val="002276AD"/>
    <w:rsid w:val="002277FB"/>
    <w:rsid w:val="00227840"/>
    <w:rsid w:val="002279B8"/>
    <w:rsid w:val="002279BA"/>
    <w:rsid w:val="00227B3F"/>
    <w:rsid w:val="00227C09"/>
    <w:rsid w:val="00227C0A"/>
    <w:rsid w:val="00230063"/>
    <w:rsid w:val="002301FA"/>
    <w:rsid w:val="002304B7"/>
    <w:rsid w:val="00230544"/>
    <w:rsid w:val="0023067A"/>
    <w:rsid w:val="00230724"/>
    <w:rsid w:val="00230E28"/>
    <w:rsid w:val="002310F6"/>
    <w:rsid w:val="00231231"/>
    <w:rsid w:val="0023132A"/>
    <w:rsid w:val="0023174B"/>
    <w:rsid w:val="0023191F"/>
    <w:rsid w:val="00231BEB"/>
    <w:rsid w:val="00231D95"/>
    <w:rsid w:val="0023207E"/>
    <w:rsid w:val="0023285B"/>
    <w:rsid w:val="00232CC4"/>
    <w:rsid w:val="00232E23"/>
    <w:rsid w:val="00232F42"/>
    <w:rsid w:val="00232F51"/>
    <w:rsid w:val="0023317E"/>
    <w:rsid w:val="00233337"/>
    <w:rsid w:val="0023344E"/>
    <w:rsid w:val="0023353F"/>
    <w:rsid w:val="00233798"/>
    <w:rsid w:val="002337B0"/>
    <w:rsid w:val="002337FE"/>
    <w:rsid w:val="00233C07"/>
    <w:rsid w:val="00233CAE"/>
    <w:rsid w:val="00233F3C"/>
    <w:rsid w:val="0023429E"/>
    <w:rsid w:val="00234303"/>
    <w:rsid w:val="00234536"/>
    <w:rsid w:val="00234710"/>
    <w:rsid w:val="00234889"/>
    <w:rsid w:val="00234F5C"/>
    <w:rsid w:val="0023544A"/>
    <w:rsid w:val="002357C6"/>
    <w:rsid w:val="00235AA0"/>
    <w:rsid w:val="00235CCD"/>
    <w:rsid w:val="0023610F"/>
    <w:rsid w:val="0023616E"/>
    <w:rsid w:val="00236214"/>
    <w:rsid w:val="00236390"/>
    <w:rsid w:val="0023676F"/>
    <w:rsid w:val="002367C5"/>
    <w:rsid w:val="00236810"/>
    <w:rsid w:val="002368D9"/>
    <w:rsid w:val="00236A46"/>
    <w:rsid w:val="00236BA7"/>
    <w:rsid w:val="00236EC0"/>
    <w:rsid w:val="0023739E"/>
    <w:rsid w:val="00237948"/>
    <w:rsid w:val="00237AE7"/>
    <w:rsid w:val="00237C31"/>
    <w:rsid w:val="00237C99"/>
    <w:rsid w:val="00237D73"/>
    <w:rsid w:val="002400B2"/>
    <w:rsid w:val="002402FD"/>
    <w:rsid w:val="00240379"/>
    <w:rsid w:val="0024044B"/>
    <w:rsid w:val="00240490"/>
    <w:rsid w:val="00240A09"/>
    <w:rsid w:val="00240DC0"/>
    <w:rsid w:val="00240E03"/>
    <w:rsid w:val="00240FFF"/>
    <w:rsid w:val="00241071"/>
    <w:rsid w:val="002410CB"/>
    <w:rsid w:val="002411B9"/>
    <w:rsid w:val="00241231"/>
    <w:rsid w:val="002414DD"/>
    <w:rsid w:val="0024158F"/>
    <w:rsid w:val="00241846"/>
    <w:rsid w:val="00241D7F"/>
    <w:rsid w:val="00242185"/>
    <w:rsid w:val="00242891"/>
    <w:rsid w:val="00242903"/>
    <w:rsid w:val="0024298C"/>
    <w:rsid w:val="00242E7A"/>
    <w:rsid w:val="00242F35"/>
    <w:rsid w:val="00243270"/>
    <w:rsid w:val="002434CA"/>
    <w:rsid w:val="002439A2"/>
    <w:rsid w:val="00243B3F"/>
    <w:rsid w:val="00243BA0"/>
    <w:rsid w:val="00243EE1"/>
    <w:rsid w:val="0024410B"/>
    <w:rsid w:val="002443DA"/>
    <w:rsid w:val="002444B6"/>
    <w:rsid w:val="002445F9"/>
    <w:rsid w:val="00244754"/>
    <w:rsid w:val="00244BBC"/>
    <w:rsid w:val="00244C80"/>
    <w:rsid w:val="00244CBC"/>
    <w:rsid w:val="00244D93"/>
    <w:rsid w:val="00244F10"/>
    <w:rsid w:val="00244F35"/>
    <w:rsid w:val="00244F76"/>
    <w:rsid w:val="0024534F"/>
    <w:rsid w:val="002455BF"/>
    <w:rsid w:val="00245796"/>
    <w:rsid w:val="00245A3A"/>
    <w:rsid w:val="00246206"/>
    <w:rsid w:val="002462D3"/>
    <w:rsid w:val="0024664B"/>
    <w:rsid w:val="00246723"/>
    <w:rsid w:val="00246A08"/>
    <w:rsid w:val="00246D87"/>
    <w:rsid w:val="00247314"/>
    <w:rsid w:val="0024747D"/>
    <w:rsid w:val="002474D8"/>
    <w:rsid w:val="0024782B"/>
    <w:rsid w:val="0024787F"/>
    <w:rsid w:val="00247B90"/>
    <w:rsid w:val="00247E50"/>
    <w:rsid w:val="002501EA"/>
    <w:rsid w:val="00250527"/>
    <w:rsid w:val="002505E5"/>
    <w:rsid w:val="002514A5"/>
    <w:rsid w:val="002514BB"/>
    <w:rsid w:val="0025158D"/>
    <w:rsid w:val="0025159E"/>
    <w:rsid w:val="00251B47"/>
    <w:rsid w:val="00251C19"/>
    <w:rsid w:val="00251EA6"/>
    <w:rsid w:val="00251F04"/>
    <w:rsid w:val="00251FF4"/>
    <w:rsid w:val="00252208"/>
    <w:rsid w:val="00252487"/>
    <w:rsid w:val="002524D0"/>
    <w:rsid w:val="002527DE"/>
    <w:rsid w:val="00252849"/>
    <w:rsid w:val="00252C6F"/>
    <w:rsid w:val="00252D58"/>
    <w:rsid w:val="00253185"/>
    <w:rsid w:val="00253219"/>
    <w:rsid w:val="0025357C"/>
    <w:rsid w:val="002535CB"/>
    <w:rsid w:val="002537CB"/>
    <w:rsid w:val="002538F0"/>
    <w:rsid w:val="00253A6E"/>
    <w:rsid w:val="00253F14"/>
    <w:rsid w:val="00254434"/>
    <w:rsid w:val="00254B66"/>
    <w:rsid w:val="00254E04"/>
    <w:rsid w:val="00255295"/>
    <w:rsid w:val="00255301"/>
    <w:rsid w:val="00255B88"/>
    <w:rsid w:val="00255BC3"/>
    <w:rsid w:val="00255FF8"/>
    <w:rsid w:val="0025649D"/>
    <w:rsid w:val="00256730"/>
    <w:rsid w:val="00256781"/>
    <w:rsid w:val="002568E6"/>
    <w:rsid w:val="002569FB"/>
    <w:rsid w:val="00256AEF"/>
    <w:rsid w:val="00256BF8"/>
    <w:rsid w:val="00256CB5"/>
    <w:rsid w:val="00256F57"/>
    <w:rsid w:val="00256FAA"/>
    <w:rsid w:val="0025701F"/>
    <w:rsid w:val="002571F6"/>
    <w:rsid w:val="002571F8"/>
    <w:rsid w:val="002574BF"/>
    <w:rsid w:val="002600D3"/>
    <w:rsid w:val="00260304"/>
    <w:rsid w:val="002603A9"/>
    <w:rsid w:val="00260404"/>
    <w:rsid w:val="0026053A"/>
    <w:rsid w:val="002606AF"/>
    <w:rsid w:val="002607AE"/>
    <w:rsid w:val="002609A5"/>
    <w:rsid w:val="00260AA3"/>
    <w:rsid w:val="00260AB5"/>
    <w:rsid w:val="002615EB"/>
    <w:rsid w:val="00261904"/>
    <w:rsid w:val="00261BBF"/>
    <w:rsid w:val="00261FD9"/>
    <w:rsid w:val="0026204F"/>
    <w:rsid w:val="00262349"/>
    <w:rsid w:val="002625BC"/>
    <w:rsid w:val="00263286"/>
    <w:rsid w:val="002632ED"/>
    <w:rsid w:val="002635A3"/>
    <w:rsid w:val="00263A83"/>
    <w:rsid w:val="00263B49"/>
    <w:rsid w:val="00264609"/>
    <w:rsid w:val="0026486D"/>
    <w:rsid w:val="002649E4"/>
    <w:rsid w:val="00264B2B"/>
    <w:rsid w:val="00264D6A"/>
    <w:rsid w:val="00265078"/>
    <w:rsid w:val="00265459"/>
    <w:rsid w:val="002654EB"/>
    <w:rsid w:val="0026595A"/>
    <w:rsid w:val="00265DD6"/>
    <w:rsid w:val="00265F2C"/>
    <w:rsid w:val="00265F95"/>
    <w:rsid w:val="00266089"/>
    <w:rsid w:val="00266555"/>
    <w:rsid w:val="002665FB"/>
    <w:rsid w:val="0026686C"/>
    <w:rsid w:val="00266BF6"/>
    <w:rsid w:val="00266CE8"/>
    <w:rsid w:val="00266E9B"/>
    <w:rsid w:val="002672A8"/>
    <w:rsid w:val="00267486"/>
    <w:rsid w:val="0026763B"/>
    <w:rsid w:val="00267664"/>
    <w:rsid w:val="00267820"/>
    <w:rsid w:val="0026795B"/>
    <w:rsid w:val="00267B86"/>
    <w:rsid w:val="00267C52"/>
    <w:rsid w:val="00267D1F"/>
    <w:rsid w:val="002706A4"/>
    <w:rsid w:val="00270938"/>
    <w:rsid w:val="00270998"/>
    <w:rsid w:val="00270AEF"/>
    <w:rsid w:val="0027167A"/>
    <w:rsid w:val="00271CAA"/>
    <w:rsid w:val="00271EDB"/>
    <w:rsid w:val="0027212F"/>
    <w:rsid w:val="002724FC"/>
    <w:rsid w:val="00272503"/>
    <w:rsid w:val="00272639"/>
    <w:rsid w:val="00272673"/>
    <w:rsid w:val="0027282D"/>
    <w:rsid w:val="00272A9A"/>
    <w:rsid w:val="0027331E"/>
    <w:rsid w:val="002736B5"/>
    <w:rsid w:val="00273AC3"/>
    <w:rsid w:val="00273BFB"/>
    <w:rsid w:val="00273E0A"/>
    <w:rsid w:val="00273F66"/>
    <w:rsid w:val="00273F75"/>
    <w:rsid w:val="0027449F"/>
    <w:rsid w:val="002749B7"/>
    <w:rsid w:val="00274A05"/>
    <w:rsid w:val="00274BC3"/>
    <w:rsid w:val="00274CDB"/>
    <w:rsid w:val="00274E3A"/>
    <w:rsid w:val="00274EDF"/>
    <w:rsid w:val="0027501B"/>
    <w:rsid w:val="00275343"/>
    <w:rsid w:val="00275476"/>
    <w:rsid w:val="0027590A"/>
    <w:rsid w:val="0027591D"/>
    <w:rsid w:val="002759CA"/>
    <w:rsid w:val="00275BC4"/>
    <w:rsid w:val="00275D19"/>
    <w:rsid w:val="00275D59"/>
    <w:rsid w:val="00276055"/>
    <w:rsid w:val="00276217"/>
    <w:rsid w:val="002765C7"/>
    <w:rsid w:val="00276C43"/>
    <w:rsid w:val="00277277"/>
    <w:rsid w:val="00277478"/>
    <w:rsid w:val="002775ED"/>
    <w:rsid w:val="002777CB"/>
    <w:rsid w:val="00277CCE"/>
    <w:rsid w:val="00277F12"/>
    <w:rsid w:val="00280037"/>
    <w:rsid w:val="0028033B"/>
    <w:rsid w:val="002804C9"/>
    <w:rsid w:val="00280648"/>
    <w:rsid w:val="002809E9"/>
    <w:rsid w:val="00280BA2"/>
    <w:rsid w:val="00280CDE"/>
    <w:rsid w:val="00280D19"/>
    <w:rsid w:val="002815D3"/>
    <w:rsid w:val="00281855"/>
    <w:rsid w:val="0028194D"/>
    <w:rsid w:val="00281AA2"/>
    <w:rsid w:val="00281BAC"/>
    <w:rsid w:val="00281BC1"/>
    <w:rsid w:val="00281EE8"/>
    <w:rsid w:val="00282949"/>
    <w:rsid w:val="00282A35"/>
    <w:rsid w:val="00282CC7"/>
    <w:rsid w:val="00282FED"/>
    <w:rsid w:val="0028303C"/>
    <w:rsid w:val="00283328"/>
    <w:rsid w:val="00283525"/>
    <w:rsid w:val="00283590"/>
    <w:rsid w:val="002839A1"/>
    <w:rsid w:val="00283A9C"/>
    <w:rsid w:val="00283DEC"/>
    <w:rsid w:val="00283FC1"/>
    <w:rsid w:val="002841CA"/>
    <w:rsid w:val="0028431C"/>
    <w:rsid w:val="002847D4"/>
    <w:rsid w:val="00284835"/>
    <w:rsid w:val="00284B49"/>
    <w:rsid w:val="00284D07"/>
    <w:rsid w:val="00285067"/>
    <w:rsid w:val="0028506F"/>
    <w:rsid w:val="0028509F"/>
    <w:rsid w:val="0028531A"/>
    <w:rsid w:val="00285399"/>
    <w:rsid w:val="0028561F"/>
    <w:rsid w:val="0028567B"/>
    <w:rsid w:val="00285783"/>
    <w:rsid w:val="0028579D"/>
    <w:rsid w:val="002857B5"/>
    <w:rsid w:val="00285A7A"/>
    <w:rsid w:val="00285C0D"/>
    <w:rsid w:val="002862A8"/>
    <w:rsid w:val="0028641C"/>
    <w:rsid w:val="00286441"/>
    <w:rsid w:val="002867B9"/>
    <w:rsid w:val="002867BF"/>
    <w:rsid w:val="0028687B"/>
    <w:rsid w:val="002868CB"/>
    <w:rsid w:val="00286B93"/>
    <w:rsid w:val="00286CBA"/>
    <w:rsid w:val="002877C5"/>
    <w:rsid w:val="00287890"/>
    <w:rsid w:val="00287892"/>
    <w:rsid w:val="002878C2"/>
    <w:rsid w:val="0028797B"/>
    <w:rsid w:val="00287AF4"/>
    <w:rsid w:val="00287E15"/>
    <w:rsid w:val="0029010A"/>
    <w:rsid w:val="00290666"/>
    <w:rsid w:val="00290724"/>
    <w:rsid w:val="00290AB6"/>
    <w:rsid w:val="00290C90"/>
    <w:rsid w:val="00290DE6"/>
    <w:rsid w:val="00291038"/>
    <w:rsid w:val="002910D8"/>
    <w:rsid w:val="002913EF"/>
    <w:rsid w:val="002914D0"/>
    <w:rsid w:val="00291557"/>
    <w:rsid w:val="0029170A"/>
    <w:rsid w:val="00291769"/>
    <w:rsid w:val="00291840"/>
    <w:rsid w:val="00292060"/>
    <w:rsid w:val="002920D2"/>
    <w:rsid w:val="0029211C"/>
    <w:rsid w:val="00292325"/>
    <w:rsid w:val="002927AF"/>
    <w:rsid w:val="002927B5"/>
    <w:rsid w:val="0029285B"/>
    <w:rsid w:val="00292C50"/>
    <w:rsid w:val="00292C9F"/>
    <w:rsid w:val="00292E3F"/>
    <w:rsid w:val="002930E3"/>
    <w:rsid w:val="002933EF"/>
    <w:rsid w:val="0029386B"/>
    <w:rsid w:val="002938AD"/>
    <w:rsid w:val="002938C7"/>
    <w:rsid w:val="00293919"/>
    <w:rsid w:val="00293C59"/>
    <w:rsid w:val="00294111"/>
    <w:rsid w:val="002944BC"/>
    <w:rsid w:val="002946FC"/>
    <w:rsid w:val="00294A97"/>
    <w:rsid w:val="00294B6A"/>
    <w:rsid w:val="00295143"/>
    <w:rsid w:val="002956A6"/>
    <w:rsid w:val="002956D8"/>
    <w:rsid w:val="00295862"/>
    <w:rsid w:val="002958D7"/>
    <w:rsid w:val="00295C8C"/>
    <w:rsid w:val="00296034"/>
    <w:rsid w:val="00296472"/>
    <w:rsid w:val="002965EC"/>
    <w:rsid w:val="00296896"/>
    <w:rsid w:val="00296B19"/>
    <w:rsid w:val="00296D26"/>
    <w:rsid w:val="00296EF5"/>
    <w:rsid w:val="00297031"/>
    <w:rsid w:val="00297368"/>
    <w:rsid w:val="0029745A"/>
    <w:rsid w:val="00297590"/>
    <w:rsid w:val="002975D9"/>
    <w:rsid w:val="002976B2"/>
    <w:rsid w:val="00297871"/>
    <w:rsid w:val="0029791A"/>
    <w:rsid w:val="00297BCC"/>
    <w:rsid w:val="002A071B"/>
    <w:rsid w:val="002A089E"/>
    <w:rsid w:val="002A0971"/>
    <w:rsid w:val="002A0E18"/>
    <w:rsid w:val="002A0FA4"/>
    <w:rsid w:val="002A13BB"/>
    <w:rsid w:val="002A1513"/>
    <w:rsid w:val="002A1800"/>
    <w:rsid w:val="002A1968"/>
    <w:rsid w:val="002A1BB2"/>
    <w:rsid w:val="002A20C5"/>
    <w:rsid w:val="002A22EE"/>
    <w:rsid w:val="002A2343"/>
    <w:rsid w:val="002A2362"/>
    <w:rsid w:val="002A2B81"/>
    <w:rsid w:val="002A2C12"/>
    <w:rsid w:val="002A2C6A"/>
    <w:rsid w:val="002A2CE9"/>
    <w:rsid w:val="002A2E2F"/>
    <w:rsid w:val="002A2E79"/>
    <w:rsid w:val="002A2EDB"/>
    <w:rsid w:val="002A2FA3"/>
    <w:rsid w:val="002A3427"/>
    <w:rsid w:val="002A349C"/>
    <w:rsid w:val="002A3507"/>
    <w:rsid w:val="002A370C"/>
    <w:rsid w:val="002A372A"/>
    <w:rsid w:val="002A3840"/>
    <w:rsid w:val="002A39A1"/>
    <w:rsid w:val="002A3EF4"/>
    <w:rsid w:val="002A419C"/>
    <w:rsid w:val="002A44C3"/>
    <w:rsid w:val="002A480B"/>
    <w:rsid w:val="002A4887"/>
    <w:rsid w:val="002A49E7"/>
    <w:rsid w:val="002A4B30"/>
    <w:rsid w:val="002A4C8F"/>
    <w:rsid w:val="002A4CF3"/>
    <w:rsid w:val="002A4D49"/>
    <w:rsid w:val="002A4E19"/>
    <w:rsid w:val="002A4FC4"/>
    <w:rsid w:val="002A4FD0"/>
    <w:rsid w:val="002A547A"/>
    <w:rsid w:val="002A56F7"/>
    <w:rsid w:val="002A585C"/>
    <w:rsid w:val="002A597A"/>
    <w:rsid w:val="002A5B56"/>
    <w:rsid w:val="002A5BC7"/>
    <w:rsid w:val="002A5D49"/>
    <w:rsid w:val="002A6312"/>
    <w:rsid w:val="002A6572"/>
    <w:rsid w:val="002A6A91"/>
    <w:rsid w:val="002A6A9B"/>
    <w:rsid w:val="002A6F50"/>
    <w:rsid w:val="002A705B"/>
    <w:rsid w:val="002A773C"/>
    <w:rsid w:val="002A7903"/>
    <w:rsid w:val="002A7CCE"/>
    <w:rsid w:val="002A7CD9"/>
    <w:rsid w:val="002A7D2F"/>
    <w:rsid w:val="002A7E4C"/>
    <w:rsid w:val="002B02AF"/>
    <w:rsid w:val="002B02B5"/>
    <w:rsid w:val="002B058A"/>
    <w:rsid w:val="002B0612"/>
    <w:rsid w:val="002B06E2"/>
    <w:rsid w:val="002B0716"/>
    <w:rsid w:val="002B0D2C"/>
    <w:rsid w:val="002B0EC8"/>
    <w:rsid w:val="002B0EF0"/>
    <w:rsid w:val="002B13EA"/>
    <w:rsid w:val="002B1600"/>
    <w:rsid w:val="002B17A7"/>
    <w:rsid w:val="002B1827"/>
    <w:rsid w:val="002B1A2F"/>
    <w:rsid w:val="002B1DA7"/>
    <w:rsid w:val="002B1EDE"/>
    <w:rsid w:val="002B200F"/>
    <w:rsid w:val="002B2254"/>
    <w:rsid w:val="002B2532"/>
    <w:rsid w:val="002B26E7"/>
    <w:rsid w:val="002B295C"/>
    <w:rsid w:val="002B29C0"/>
    <w:rsid w:val="002B29FA"/>
    <w:rsid w:val="002B2EC8"/>
    <w:rsid w:val="002B335F"/>
    <w:rsid w:val="002B33DE"/>
    <w:rsid w:val="002B34A1"/>
    <w:rsid w:val="002B35CA"/>
    <w:rsid w:val="002B3892"/>
    <w:rsid w:val="002B3C6F"/>
    <w:rsid w:val="002B3D04"/>
    <w:rsid w:val="002B3DC3"/>
    <w:rsid w:val="002B3E62"/>
    <w:rsid w:val="002B401F"/>
    <w:rsid w:val="002B428A"/>
    <w:rsid w:val="002B4563"/>
    <w:rsid w:val="002B457C"/>
    <w:rsid w:val="002B4600"/>
    <w:rsid w:val="002B4841"/>
    <w:rsid w:val="002B4B4F"/>
    <w:rsid w:val="002B4DD2"/>
    <w:rsid w:val="002B505A"/>
    <w:rsid w:val="002B5082"/>
    <w:rsid w:val="002B54B3"/>
    <w:rsid w:val="002B556D"/>
    <w:rsid w:val="002B5667"/>
    <w:rsid w:val="002B5ACB"/>
    <w:rsid w:val="002B5DA0"/>
    <w:rsid w:val="002B5E10"/>
    <w:rsid w:val="002B5E77"/>
    <w:rsid w:val="002B5ECA"/>
    <w:rsid w:val="002B5F86"/>
    <w:rsid w:val="002B63C0"/>
    <w:rsid w:val="002B649E"/>
    <w:rsid w:val="002B64E1"/>
    <w:rsid w:val="002B66E5"/>
    <w:rsid w:val="002B687D"/>
    <w:rsid w:val="002B6C26"/>
    <w:rsid w:val="002B6D43"/>
    <w:rsid w:val="002B6D69"/>
    <w:rsid w:val="002B7216"/>
    <w:rsid w:val="002B7310"/>
    <w:rsid w:val="002B73B3"/>
    <w:rsid w:val="002B73CB"/>
    <w:rsid w:val="002B7459"/>
    <w:rsid w:val="002B7E4E"/>
    <w:rsid w:val="002B7EE9"/>
    <w:rsid w:val="002C0115"/>
    <w:rsid w:val="002C06B0"/>
    <w:rsid w:val="002C0906"/>
    <w:rsid w:val="002C0A8D"/>
    <w:rsid w:val="002C0E98"/>
    <w:rsid w:val="002C1275"/>
    <w:rsid w:val="002C17D3"/>
    <w:rsid w:val="002C1A0A"/>
    <w:rsid w:val="002C1A7C"/>
    <w:rsid w:val="002C1C47"/>
    <w:rsid w:val="002C1D2A"/>
    <w:rsid w:val="002C258A"/>
    <w:rsid w:val="002C2777"/>
    <w:rsid w:val="002C277A"/>
    <w:rsid w:val="002C29DC"/>
    <w:rsid w:val="002C2AEE"/>
    <w:rsid w:val="002C2D12"/>
    <w:rsid w:val="002C31A7"/>
    <w:rsid w:val="002C33E4"/>
    <w:rsid w:val="002C356E"/>
    <w:rsid w:val="002C3B3D"/>
    <w:rsid w:val="002C3C7A"/>
    <w:rsid w:val="002C3E93"/>
    <w:rsid w:val="002C4211"/>
    <w:rsid w:val="002C44AA"/>
    <w:rsid w:val="002C4567"/>
    <w:rsid w:val="002C493A"/>
    <w:rsid w:val="002C4AA6"/>
    <w:rsid w:val="002C4B5B"/>
    <w:rsid w:val="002C4CAC"/>
    <w:rsid w:val="002C4DEC"/>
    <w:rsid w:val="002C4E84"/>
    <w:rsid w:val="002C4F27"/>
    <w:rsid w:val="002C5219"/>
    <w:rsid w:val="002C5411"/>
    <w:rsid w:val="002C5A15"/>
    <w:rsid w:val="002C5B16"/>
    <w:rsid w:val="002C5B35"/>
    <w:rsid w:val="002C6387"/>
    <w:rsid w:val="002C6406"/>
    <w:rsid w:val="002C6446"/>
    <w:rsid w:val="002C65DB"/>
    <w:rsid w:val="002C6A9D"/>
    <w:rsid w:val="002C710D"/>
    <w:rsid w:val="002C7423"/>
    <w:rsid w:val="002C74D9"/>
    <w:rsid w:val="002C7A49"/>
    <w:rsid w:val="002C7BB9"/>
    <w:rsid w:val="002C7EF9"/>
    <w:rsid w:val="002D0007"/>
    <w:rsid w:val="002D0372"/>
    <w:rsid w:val="002D037A"/>
    <w:rsid w:val="002D04C3"/>
    <w:rsid w:val="002D0632"/>
    <w:rsid w:val="002D0653"/>
    <w:rsid w:val="002D075E"/>
    <w:rsid w:val="002D07D9"/>
    <w:rsid w:val="002D0F2D"/>
    <w:rsid w:val="002D0F56"/>
    <w:rsid w:val="002D115E"/>
    <w:rsid w:val="002D1178"/>
    <w:rsid w:val="002D11D4"/>
    <w:rsid w:val="002D1308"/>
    <w:rsid w:val="002D17A3"/>
    <w:rsid w:val="002D18FB"/>
    <w:rsid w:val="002D19EE"/>
    <w:rsid w:val="002D1B75"/>
    <w:rsid w:val="002D1E8D"/>
    <w:rsid w:val="002D1FE0"/>
    <w:rsid w:val="002D22B1"/>
    <w:rsid w:val="002D24DE"/>
    <w:rsid w:val="002D2548"/>
    <w:rsid w:val="002D259C"/>
    <w:rsid w:val="002D2618"/>
    <w:rsid w:val="002D29B4"/>
    <w:rsid w:val="002D2C7A"/>
    <w:rsid w:val="002D2E10"/>
    <w:rsid w:val="002D2EA8"/>
    <w:rsid w:val="002D3203"/>
    <w:rsid w:val="002D3285"/>
    <w:rsid w:val="002D3792"/>
    <w:rsid w:val="002D38F5"/>
    <w:rsid w:val="002D3B4D"/>
    <w:rsid w:val="002D40CE"/>
    <w:rsid w:val="002D42A2"/>
    <w:rsid w:val="002D4449"/>
    <w:rsid w:val="002D461D"/>
    <w:rsid w:val="002D4690"/>
    <w:rsid w:val="002D46B2"/>
    <w:rsid w:val="002D4866"/>
    <w:rsid w:val="002D4AC3"/>
    <w:rsid w:val="002D4AE0"/>
    <w:rsid w:val="002D4B3E"/>
    <w:rsid w:val="002D530C"/>
    <w:rsid w:val="002D565A"/>
    <w:rsid w:val="002D5B40"/>
    <w:rsid w:val="002D5B8E"/>
    <w:rsid w:val="002D5CB6"/>
    <w:rsid w:val="002D5D3F"/>
    <w:rsid w:val="002D5E89"/>
    <w:rsid w:val="002D6822"/>
    <w:rsid w:val="002D6832"/>
    <w:rsid w:val="002D69B1"/>
    <w:rsid w:val="002D69BC"/>
    <w:rsid w:val="002D701F"/>
    <w:rsid w:val="002D7111"/>
    <w:rsid w:val="002D779F"/>
    <w:rsid w:val="002D7926"/>
    <w:rsid w:val="002D793B"/>
    <w:rsid w:val="002D7B96"/>
    <w:rsid w:val="002E00B9"/>
    <w:rsid w:val="002E02AC"/>
    <w:rsid w:val="002E03C5"/>
    <w:rsid w:val="002E05EC"/>
    <w:rsid w:val="002E0702"/>
    <w:rsid w:val="002E089A"/>
    <w:rsid w:val="002E138F"/>
    <w:rsid w:val="002E1692"/>
    <w:rsid w:val="002E17BD"/>
    <w:rsid w:val="002E19B7"/>
    <w:rsid w:val="002E1A4E"/>
    <w:rsid w:val="002E1D2B"/>
    <w:rsid w:val="002E250F"/>
    <w:rsid w:val="002E27D6"/>
    <w:rsid w:val="002E2835"/>
    <w:rsid w:val="002E2A14"/>
    <w:rsid w:val="002E2D74"/>
    <w:rsid w:val="002E2DA0"/>
    <w:rsid w:val="002E2F47"/>
    <w:rsid w:val="002E2FEA"/>
    <w:rsid w:val="002E357E"/>
    <w:rsid w:val="002E3637"/>
    <w:rsid w:val="002E36EA"/>
    <w:rsid w:val="002E37C9"/>
    <w:rsid w:val="002E3A92"/>
    <w:rsid w:val="002E3B64"/>
    <w:rsid w:val="002E3C75"/>
    <w:rsid w:val="002E44A2"/>
    <w:rsid w:val="002E4616"/>
    <w:rsid w:val="002E4722"/>
    <w:rsid w:val="002E488C"/>
    <w:rsid w:val="002E4A04"/>
    <w:rsid w:val="002E4A88"/>
    <w:rsid w:val="002E4FFD"/>
    <w:rsid w:val="002E5039"/>
    <w:rsid w:val="002E50A1"/>
    <w:rsid w:val="002E50BD"/>
    <w:rsid w:val="002E52A6"/>
    <w:rsid w:val="002E58B6"/>
    <w:rsid w:val="002E59D0"/>
    <w:rsid w:val="002E5C80"/>
    <w:rsid w:val="002E5C8C"/>
    <w:rsid w:val="002E62FB"/>
    <w:rsid w:val="002E6442"/>
    <w:rsid w:val="002E66BE"/>
    <w:rsid w:val="002E6C4C"/>
    <w:rsid w:val="002E6D50"/>
    <w:rsid w:val="002E6DF9"/>
    <w:rsid w:val="002E7171"/>
    <w:rsid w:val="002E7377"/>
    <w:rsid w:val="002E73FA"/>
    <w:rsid w:val="002E7814"/>
    <w:rsid w:val="002E79AE"/>
    <w:rsid w:val="002E79C2"/>
    <w:rsid w:val="002E7F29"/>
    <w:rsid w:val="002F001D"/>
    <w:rsid w:val="002F017E"/>
    <w:rsid w:val="002F02BE"/>
    <w:rsid w:val="002F02ED"/>
    <w:rsid w:val="002F08DE"/>
    <w:rsid w:val="002F09E1"/>
    <w:rsid w:val="002F0BF9"/>
    <w:rsid w:val="002F0C83"/>
    <w:rsid w:val="002F0DF0"/>
    <w:rsid w:val="002F0F2A"/>
    <w:rsid w:val="002F116C"/>
    <w:rsid w:val="002F14A8"/>
    <w:rsid w:val="002F1541"/>
    <w:rsid w:val="002F1723"/>
    <w:rsid w:val="002F19D5"/>
    <w:rsid w:val="002F1B04"/>
    <w:rsid w:val="002F1D7A"/>
    <w:rsid w:val="002F1F01"/>
    <w:rsid w:val="002F26A6"/>
    <w:rsid w:val="002F26CB"/>
    <w:rsid w:val="002F2709"/>
    <w:rsid w:val="002F2893"/>
    <w:rsid w:val="002F28F5"/>
    <w:rsid w:val="002F2998"/>
    <w:rsid w:val="002F2B57"/>
    <w:rsid w:val="002F2C07"/>
    <w:rsid w:val="002F2C89"/>
    <w:rsid w:val="002F2D8C"/>
    <w:rsid w:val="002F312F"/>
    <w:rsid w:val="002F315F"/>
    <w:rsid w:val="002F32C0"/>
    <w:rsid w:val="002F346F"/>
    <w:rsid w:val="002F359C"/>
    <w:rsid w:val="002F3791"/>
    <w:rsid w:val="002F3816"/>
    <w:rsid w:val="002F3A33"/>
    <w:rsid w:val="002F3CFD"/>
    <w:rsid w:val="002F3DA6"/>
    <w:rsid w:val="002F3DBA"/>
    <w:rsid w:val="002F419F"/>
    <w:rsid w:val="002F41A8"/>
    <w:rsid w:val="002F42ED"/>
    <w:rsid w:val="002F460A"/>
    <w:rsid w:val="002F4637"/>
    <w:rsid w:val="002F4A0D"/>
    <w:rsid w:val="002F4AE3"/>
    <w:rsid w:val="002F4B15"/>
    <w:rsid w:val="002F4C5D"/>
    <w:rsid w:val="002F4EF5"/>
    <w:rsid w:val="002F5551"/>
    <w:rsid w:val="002F57C2"/>
    <w:rsid w:val="002F5BAD"/>
    <w:rsid w:val="002F5C85"/>
    <w:rsid w:val="002F5D3D"/>
    <w:rsid w:val="002F5F3D"/>
    <w:rsid w:val="002F5F87"/>
    <w:rsid w:val="002F693E"/>
    <w:rsid w:val="002F6B89"/>
    <w:rsid w:val="002F6D74"/>
    <w:rsid w:val="002F6F54"/>
    <w:rsid w:val="002F7062"/>
    <w:rsid w:val="002F7086"/>
    <w:rsid w:val="002F71EF"/>
    <w:rsid w:val="002F7414"/>
    <w:rsid w:val="002F74B8"/>
    <w:rsid w:val="002F7528"/>
    <w:rsid w:val="002F755E"/>
    <w:rsid w:val="002F7764"/>
    <w:rsid w:val="002F77FF"/>
    <w:rsid w:val="002F78C6"/>
    <w:rsid w:val="002F78F4"/>
    <w:rsid w:val="002F7941"/>
    <w:rsid w:val="002F7F17"/>
    <w:rsid w:val="002F7F4A"/>
    <w:rsid w:val="003003F3"/>
    <w:rsid w:val="0030041D"/>
    <w:rsid w:val="00300518"/>
    <w:rsid w:val="00300591"/>
    <w:rsid w:val="0030061D"/>
    <w:rsid w:val="00300697"/>
    <w:rsid w:val="0030086C"/>
    <w:rsid w:val="00300992"/>
    <w:rsid w:val="00300AC0"/>
    <w:rsid w:val="00300B52"/>
    <w:rsid w:val="0030119A"/>
    <w:rsid w:val="003013E2"/>
    <w:rsid w:val="00301691"/>
    <w:rsid w:val="003016FA"/>
    <w:rsid w:val="00301CDD"/>
    <w:rsid w:val="00301D15"/>
    <w:rsid w:val="00301DEA"/>
    <w:rsid w:val="00301F39"/>
    <w:rsid w:val="003020A3"/>
    <w:rsid w:val="003021B1"/>
    <w:rsid w:val="00302287"/>
    <w:rsid w:val="003022AE"/>
    <w:rsid w:val="00302991"/>
    <w:rsid w:val="0030353B"/>
    <w:rsid w:val="00303566"/>
    <w:rsid w:val="0030362E"/>
    <w:rsid w:val="00303840"/>
    <w:rsid w:val="00303B5D"/>
    <w:rsid w:val="00303D6F"/>
    <w:rsid w:val="00304017"/>
    <w:rsid w:val="0030414A"/>
    <w:rsid w:val="003042B4"/>
    <w:rsid w:val="00304644"/>
    <w:rsid w:val="00304646"/>
    <w:rsid w:val="00304702"/>
    <w:rsid w:val="0030474F"/>
    <w:rsid w:val="003047F3"/>
    <w:rsid w:val="00304806"/>
    <w:rsid w:val="003048BA"/>
    <w:rsid w:val="00304B4A"/>
    <w:rsid w:val="00304B5D"/>
    <w:rsid w:val="00304C3A"/>
    <w:rsid w:val="003055B0"/>
    <w:rsid w:val="00305602"/>
    <w:rsid w:val="0030567C"/>
    <w:rsid w:val="00305684"/>
    <w:rsid w:val="0030582A"/>
    <w:rsid w:val="00305A73"/>
    <w:rsid w:val="00305F56"/>
    <w:rsid w:val="0030628A"/>
    <w:rsid w:val="0030631F"/>
    <w:rsid w:val="0030653B"/>
    <w:rsid w:val="003065E0"/>
    <w:rsid w:val="003065E9"/>
    <w:rsid w:val="00306696"/>
    <w:rsid w:val="003068E3"/>
    <w:rsid w:val="00306E4D"/>
    <w:rsid w:val="00307109"/>
    <w:rsid w:val="003071A3"/>
    <w:rsid w:val="0030725A"/>
    <w:rsid w:val="00307581"/>
    <w:rsid w:val="0030777C"/>
    <w:rsid w:val="0030789A"/>
    <w:rsid w:val="00307B3C"/>
    <w:rsid w:val="00307B94"/>
    <w:rsid w:val="00307DC0"/>
    <w:rsid w:val="00307E80"/>
    <w:rsid w:val="00307FB9"/>
    <w:rsid w:val="00310096"/>
    <w:rsid w:val="00310250"/>
    <w:rsid w:val="003103BD"/>
    <w:rsid w:val="003108B5"/>
    <w:rsid w:val="00310CBF"/>
    <w:rsid w:val="00311127"/>
    <w:rsid w:val="0031131D"/>
    <w:rsid w:val="00311725"/>
    <w:rsid w:val="0031182B"/>
    <w:rsid w:val="0031197E"/>
    <w:rsid w:val="00311B64"/>
    <w:rsid w:val="00311E51"/>
    <w:rsid w:val="00311F69"/>
    <w:rsid w:val="0031236D"/>
    <w:rsid w:val="003123AA"/>
    <w:rsid w:val="00312C7F"/>
    <w:rsid w:val="00312E6A"/>
    <w:rsid w:val="00313137"/>
    <w:rsid w:val="00313581"/>
    <w:rsid w:val="00313B71"/>
    <w:rsid w:val="00313E08"/>
    <w:rsid w:val="00314097"/>
    <w:rsid w:val="00314108"/>
    <w:rsid w:val="00314720"/>
    <w:rsid w:val="003147DD"/>
    <w:rsid w:val="0031487B"/>
    <w:rsid w:val="003149DA"/>
    <w:rsid w:val="00314A6B"/>
    <w:rsid w:val="00314AB9"/>
    <w:rsid w:val="00314B31"/>
    <w:rsid w:val="00314C2C"/>
    <w:rsid w:val="00315110"/>
    <w:rsid w:val="003151C6"/>
    <w:rsid w:val="003157FB"/>
    <w:rsid w:val="0031584F"/>
    <w:rsid w:val="00315899"/>
    <w:rsid w:val="003159CA"/>
    <w:rsid w:val="00315CB3"/>
    <w:rsid w:val="00315E24"/>
    <w:rsid w:val="0031639E"/>
    <w:rsid w:val="00316561"/>
    <w:rsid w:val="00316B4E"/>
    <w:rsid w:val="00316CD8"/>
    <w:rsid w:val="00316D81"/>
    <w:rsid w:val="00316DB9"/>
    <w:rsid w:val="00316E51"/>
    <w:rsid w:val="0031711D"/>
    <w:rsid w:val="00317270"/>
    <w:rsid w:val="003174A4"/>
    <w:rsid w:val="00317595"/>
    <w:rsid w:val="0031769C"/>
    <w:rsid w:val="003176B5"/>
    <w:rsid w:val="003176DC"/>
    <w:rsid w:val="003178AC"/>
    <w:rsid w:val="00317ACF"/>
    <w:rsid w:val="00317E49"/>
    <w:rsid w:val="00320009"/>
    <w:rsid w:val="00320031"/>
    <w:rsid w:val="003201C4"/>
    <w:rsid w:val="00320404"/>
    <w:rsid w:val="0032061C"/>
    <w:rsid w:val="00320C87"/>
    <w:rsid w:val="00320CCD"/>
    <w:rsid w:val="003210BA"/>
    <w:rsid w:val="0032121D"/>
    <w:rsid w:val="0032136A"/>
    <w:rsid w:val="00321551"/>
    <w:rsid w:val="00321699"/>
    <w:rsid w:val="00321715"/>
    <w:rsid w:val="00321B69"/>
    <w:rsid w:val="00321CE5"/>
    <w:rsid w:val="00321DB1"/>
    <w:rsid w:val="003221BC"/>
    <w:rsid w:val="003221CC"/>
    <w:rsid w:val="003221CF"/>
    <w:rsid w:val="0032276D"/>
    <w:rsid w:val="0032313E"/>
    <w:rsid w:val="0032331E"/>
    <w:rsid w:val="00323562"/>
    <w:rsid w:val="00323638"/>
    <w:rsid w:val="0032379B"/>
    <w:rsid w:val="00323A85"/>
    <w:rsid w:val="00323DCB"/>
    <w:rsid w:val="00323F58"/>
    <w:rsid w:val="00323FF3"/>
    <w:rsid w:val="003241AA"/>
    <w:rsid w:val="00324368"/>
    <w:rsid w:val="00324381"/>
    <w:rsid w:val="00324B0F"/>
    <w:rsid w:val="00324C29"/>
    <w:rsid w:val="003250EF"/>
    <w:rsid w:val="00325196"/>
    <w:rsid w:val="0032536E"/>
    <w:rsid w:val="003258D4"/>
    <w:rsid w:val="0032590D"/>
    <w:rsid w:val="00325E28"/>
    <w:rsid w:val="00325F8B"/>
    <w:rsid w:val="0032615D"/>
    <w:rsid w:val="00326591"/>
    <w:rsid w:val="00326813"/>
    <w:rsid w:val="00326AB1"/>
    <w:rsid w:val="00326AF7"/>
    <w:rsid w:val="00326D32"/>
    <w:rsid w:val="00326DB8"/>
    <w:rsid w:val="00326F1D"/>
    <w:rsid w:val="00326FA7"/>
    <w:rsid w:val="0032703D"/>
    <w:rsid w:val="003271BF"/>
    <w:rsid w:val="00327296"/>
    <w:rsid w:val="003273BD"/>
    <w:rsid w:val="00327451"/>
    <w:rsid w:val="003275A9"/>
    <w:rsid w:val="003277C0"/>
    <w:rsid w:val="00327B51"/>
    <w:rsid w:val="003301D9"/>
    <w:rsid w:val="00330585"/>
    <w:rsid w:val="003308CC"/>
    <w:rsid w:val="003309A7"/>
    <w:rsid w:val="00330BB0"/>
    <w:rsid w:val="00330BDF"/>
    <w:rsid w:val="00330EE4"/>
    <w:rsid w:val="0033106F"/>
    <w:rsid w:val="003310D8"/>
    <w:rsid w:val="003310E2"/>
    <w:rsid w:val="00331113"/>
    <w:rsid w:val="00331116"/>
    <w:rsid w:val="00331471"/>
    <w:rsid w:val="0033190A"/>
    <w:rsid w:val="00331C5A"/>
    <w:rsid w:val="00331E81"/>
    <w:rsid w:val="00331F6C"/>
    <w:rsid w:val="00331F74"/>
    <w:rsid w:val="0033264B"/>
    <w:rsid w:val="00332678"/>
    <w:rsid w:val="00332D87"/>
    <w:rsid w:val="00332DAD"/>
    <w:rsid w:val="00332F91"/>
    <w:rsid w:val="00333081"/>
    <w:rsid w:val="0033317E"/>
    <w:rsid w:val="003333A6"/>
    <w:rsid w:val="00333551"/>
    <w:rsid w:val="0033373F"/>
    <w:rsid w:val="00333A5A"/>
    <w:rsid w:val="00333BCD"/>
    <w:rsid w:val="00333BEB"/>
    <w:rsid w:val="0033406D"/>
    <w:rsid w:val="003340F6"/>
    <w:rsid w:val="0033454A"/>
    <w:rsid w:val="00334564"/>
    <w:rsid w:val="0033465C"/>
    <w:rsid w:val="00334709"/>
    <w:rsid w:val="003347DB"/>
    <w:rsid w:val="003349FF"/>
    <w:rsid w:val="00335065"/>
    <w:rsid w:val="0033511D"/>
    <w:rsid w:val="00335516"/>
    <w:rsid w:val="00335D6F"/>
    <w:rsid w:val="00335E99"/>
    <w:rsid w:val="003360EE"/>
    <w:rsid w:val="0033630C"/>
    <w:rsid w:val="00336467"/>
    <w:rsid w:val="0033646C"/>
    <w:rsid w:val="00336494"/>
    <w:rsid w:val="00336592"/>
    <w:rsid w:val="003365F2"/>
    <w:rsid w:val="00336889"/>
    <w:rsid w:val="0033692B"/>
    <w:rsid w:val="00336A65"/>
    <w:rsid w:val="00336F5E"/>
    <w:rsid w:val="0033772A"/>
    <w:rsid w:val="00337809"/>
    <w:rsid w:val="00337DA4"/>
    <w:rsid w:val="00340317"/>
    <w:rsid w:val="0034036A"/>
    <w:rsid w:val="003406BC"/>
    <w:rsid w:val="0034075F"/>
    <w:rsid w:val="003407F1"/>
    <w:rsid w:val="003408ED"/>
    <w:rsid w:val="00340C35"/>
    <w:rsid w:val="00340C96"/>
    <w:rsid w:val="00340D63"/>
    <w:rsid w:val="00340E0B"/>
    <w:rsid w:val="003411FE"/>
    <w:rsid w:val="003412B1"/>
    <w:rsid w:val="003413D3"/>
    <w:rsid w:val="00341AEA"/>
    <w:rsid w:val="00342121"/>
    <w:rsid w:val="003424F2"/>
    <w:rsid w:val="0034273B"/>
    <w:rsid w:val="00342A50"/>
    <w:rsid w:val="00342A5C"/>
    <w:rsid w:val="00342D7B"/>
    <w:rsid w:val="00342D8E"/>
    <w:rsid w:val="00342F04"/>
    <w:rsid w:val="003430EA"/>
    <w:rsid w:val="00343151"/>
    <w:rsid w:val="003432D1"/>
    <w:rsid w:val="0034351D"/>
    <w:rsid w:val="00343EF7"/>
    <w:rsid w:val="0034405E"/>
    <w:rsid w:val="00344148"/>
    <w:rsid w:val="003444DE"/>
    <w:rsid w:val="0034461E"/>
    <w:rsid w:val="00344A06"/>
    <w:rsid w:val="00344AF1"/>
    <w:rsid w:val="00344BB2"/>
    <w:rsid w:val="00344D20"/>
    <w:rsid w:val="00345086"/>
    <w:rsid w:val="0034515C"/>
    <w:rsid w:val="00345193"/>
    <w:rsid w:val="00345611"/>
    <w:rsid w:val="00345F54"/>
    <w:rsid w:val="00346602"/>
    <w:rsid w:val="00346619"/>
    <w:rsid w:val="00346A6E"/>
    <w:rsid w:val="00346AF6"/>
    <w:rsid w:val="00346D3C"/>
    <w:rsid w:val="00346EDA"/>
    <w:rsid w:val="0034706A"/>
    <w:rsid w:val="003470BC"/>
    <w:rsid w:val="0034751B"/>
    <w:rsid w:val="003475AD"/>
    <w:rsid w:val="003475DB"/>
    <w:rsid w:val="00347AD3"/>
    <w:rsid w:val="00347BE7"/>
    <w:rsid w:val="00347DA1"/>
    <w:rsid w:val="0035072E"/>
    <w:rsid w:val="00350B7C"/>
    <w:rsid w:val="00350CC1"/>
    <w:rsid w:val="00350FC6"/>
    <w:rsid w:val="0035101F"/>
    <w:rsid w:val="003517CD"/>
    <w:rsid w:val="0035184F"/>
    <w:rsid w:val="003518E0"/>
    <w:rsid w:val="003519BE"/>
    <w:rsid w:val="00351B81"/>
    <w:rsid w:val="00352077"/>
    <w:rsid w:val="00352084"/>
    <w:rsid w:val="00352142"/>
    <w:rsid w:val="003522A7"/>
    <w:rsid w:val="0035230D"/>
    <w:rsid w:val="003524CA"/>
    <w:rsid w:val="00352AB6"/>
    <w:rsid w:val="00353154"/>
    <w:rsid w:val="0035319D"/>
    <w:rsid w:val="00353539"/>
    <w:rsid w:val="003536C6"/>
    <w:rsid w:val="00353918"/>
    <w:rsid w:val="00353B99"/>
    <w:rsid w:val="00353DAD"/>
    <w:rsid w:val="00353ED7"/>
    <w:rsid w:val="00353F1C"/>
    <w:rsid w:val="0035407D"/>
    <w:rsid w:val="003540D0"/>
    <w:rsid w:val="003543DC"/>
    <w:rsid w:val="003546EC"/>
    <w:rsid w:val="0035470F"/>
    <w:rsid w:val="00354A61"/>
    <w:rsid w:val="00354BA3"/>
    <w:rsid w:val="00354C6A"/>
    <w:rsid w:val="00354E4F"/>
    <w:rsid w:val="00354FC7"/>
    <w:rsid w:val="003552EC"/>
    <w:rsid w:val="003557B8"/>
    <w:rsid w:val="003566DA"/>
    <w:rsid w:val="0035699E"/>
    <w:rsid w:val="00356EBF"/>
    <w:rsid w:val="0035706E"/>
    <w:rsid w:val="00357188"/>
    <w:rsid w:val="003573D0"/>
    <w:rsid w:val="00357402"/>
    <w:rsid w:val="00357577"/>
    <w:rsid w:val="0035765E"/>
    <w:rsid w:val="00357819"/>
    <w:rsid w:val="00357B2A"/>
    <w:rsid w:val="0036002F"/>
    <w:rsid w:val="00360056"/>
    <w:rsid w:val="003601BF"/>
    <w:rsid w:val="00360523"/>
    <w:rsid w:val="00360527"/>
    <w:rsid w:val="00360802"/>
    <w:rsid w:val="0036084E"/>
    <w:rsid w:val="003608B8"/>
    <w:rsid w:val="00360DE8"/>
    <w:rsid w:val="00360E95"/>
    <w:rsid w:val="00360EDA"/>
    <w:rsid w:val="0036112E"/>
    <w:rsid w:val="00361373"/>
    <w:rsid w:val="00361AAB"/>
    <w:rsid w:val="00361B15"/>
    <w:rsid w:val="00361B89"/>
    <w:rsid w:val="00361D71"/>
    <w:rsid w:val="00361DD0"/>
    <w:rsid w:val="00361DEA"/>
    <w:rsid w:val="003621D4"/>
    <w:rsid w:val="00362251"/>
    <w:rsid w:val="003623FC"/>
    <w:rsid w:val="00362711"/>
    <w:rsid w:val="00362A2B"/>
    <w:rsid w:val="00362C07"/>
    <w:rsid w:val="00362DEF"/>
    <w:rsid w:val="00363422"/>
    <w:rsid w:val="00363BA8"/>
    <w:rsid w:val="00363D6C"/>
    <w:rsid w:val="00363E0A"/>
    <w:rsid w:val="00364501"/>
    <w:rsid w:val="00364893"/>
    <w:rsid w:val="00364DA3"/>
    <w:rsid w:val="00365029"/>
    <w:rsid w:val="00365154"/>
    <w:rsid w:val="0036538C"/>
    <w:rsid w:val="00365474"/>
    <w:rsid w:val="00365A84"/>
    <w:rsid w:val="00366D97"/>
    <w:rsid w:val="00366F24"/>
    <w:rsid w:val="00366F42"/>
    <w:rsid w:val="00367756"/>
    <w:rsid w:val="003677C8"/>
    <w:rsid w:val="00367CF9"/>
    <w:rsid w:val="00367D66"/>
    <w:rsid w:val="003703C1"/>
    <w:rsid w:val="003705BE"/>
    <w:rsid w:val="003705F6"/>
    <w:rsid w:val="0037071E"/>
    <w:rsid w:val="00370A00"/>
    <w:rsid w:val="00370BF6"/>
    <w:rsid w:val="00370DAB"/>
    <w:rsid w:val="00370F3B"/>
    <w:rsid w:val="003712EC"/>
    <w:rsid w:val="00371596"/>
    <w:rsid w:val="00371AB1"/>
    <w:rsid w:val="00371D33"/>
    <w:rsid w:val="0037224F"/>
    <w:rsid w:val="003723D4"/>
    <w:rsid w:val="0037295E"/>
    <w:rsid w:val="00372A35"/>
    <w:rsid w:val="00372E11"/>
    <w:rsid w:val="00372E1C"/>
    <w:rsid w:val="00373276"/>
    <w:rsid w:val="003734A4"/>
    <w:rsid w:val="003735EC"/>
    <w:rsid w:val="003736E2"/>
    <w:rsid w:val="00373CC1"/>
    <w:rsid w:val="00373CFD"/>
    <w:rsid w:val="00373EDB"/>
    <w:rsid w:val="003740F4"/>
    <w:rsid w:val="003747A0"/>
    <w:rsid w:val="00374800"/>
    <w:rsid w:val="00374D55"/>
    <w:rsid w:val="00375192"/>
    <w:rsid w:val="003754A6"/>
    <w:rsid w:val="00375828"/>
    <w:rsid w:val="00375B39"/>
    <w:rsid w:val="0037618D"/>
    <w:rsid w:val="003763C8"/>
    <w:rsid w:val="00376413"/>
    <w:rsid w:val="003764F3"/>
    <w:rsid w:val="003768C5"/>
    <w:rsid w:val="00376BB9"/>
    <w:rsid w:val="00376DF3"/>
    <w:rsid w:val="00376F2C"/>
    <w:rsid w:val="0037708F"/>
    <w:rsid w:val="00377482"/>
    <w:rsid w:val="003774A4"/>
    <w:rsid w:val="0037751B"/>
    <w:rsid w:val="003775B9"/>
    <w:rsid w:val="00377C04"/>
    <w:rsid w:val="00377C0F"/>
    <w:rsid w:val="00377D03"/>
    <w:rsid w:val="00380367"/>
    <w:rsid w:val="003808AD"/>
    <w:rsid w:val="00380A9D"/>
    <w:rsid w:val="00380AAF"/>
    <w:rsid w:val="00380FDF"/>
    <w:rsid w:val="00380FFC"/>
    <w:rsid w:val="00381225"/>
    <w:rsid w:val="0038127E"/>
    <w:rsid w:val="0038133F"/>
    <w:rsid w:val="00381875"/>
    <w:rsid w:val="00381925"/>
    <w:rsid w:val="00381B08"/>
    <w:rsid w:val="00381C91"/>
    <w:rsid w:val="00381EB5"/>
    <w:rsid w:val="003823F7"/>
    <w:rsid w:val="00382B52"/>
    <w:rsid w:val="00382DB6"/>
    <w:rsid w:val="00382E49"/>
    <w:rsid w:val="00383368"/>
    <w:rsid w:val="00383564"/>
    <w:rsid w:val="0038396A"/>
    <w:rsid w:val="00383EF9"/>
    <w:rsid w:val="00384255"/>
    <w:rsid w:val="003843E0"/>
    <w:rsid w:val="003844B7"/>
    <w:rsid w:val="003845D2"/>
    <w:rsid w:val="003846C8"/>
    <w:rsid w:val="00384A5D"/>
    <w:rsid w:val="00384E49"/>
    <w:rsid w:val="003850B5"/>
    <w:rsid w:val="003851C1"/>
    <w:rsid w:val="00385212"/>
    <w:rsid w:val="00385499"/>
    <w:rsid w:val="00385553"/>
    <w:rsid w:val="0038569F"/>
    <w:rsid w:val="003856C7"/>
    <w:rsid w:val="0038570A"/>
    <w:rsid w:val="003857BC"/>
    <w:rsid w:val="003858BF"/>
    <w:rsid w:val="00385A78"/>
    <w:rsid w:val="00385AE6"/>
    <w:rsid w:val="00385CA0"/>
    <w:rsid w:val="00385D5F"/>
    <w:rsid w:val="00385E2D"/>
    <w:rsid w:val="0038628E"/>
    <w:rsid w:val="00386415"/>
    <w:rsid w:val="00386501"/>
    <w:rsid w:val="003866D9"/>
    <w:rsid w:val="00386761"/>
    <w:rsid w:val="00386793"/>
    <w:rsid w:val="00386BA1"/>
    <w:rsid w:val="00386C26"/>
    <w:rsid w:val="00386CA3"/>
    <w:rsid w:val="00386CB9"/>
    <w:rsid w:val="00386CD9"/>
    <w:rsid w:val="00386EC2"/>
    <w:rsid w:val="0038727A"/>
    <w:rsid w:val="003872F0"/>
    <w:rsid w:val="0038736A"/>
    <w:rsid w:val="00387424"/>
    <w:rsid w:val="00387489"/>
    <w:rsid w:val="003875DA"/>
    <w:rsid w:val="0038779D"/>
    <w:rsid w:val="003878C9"/>
    <w:rsid w:val="00387D25"/>
    <w:rsid w:val="00387FCE"/>
    <w:rsid w:val="00390294"/>
    <w:rsid w:val="003903A4"/>
    <w:rsid w:val="003903C0"/>
    <w:rsid w:val="00390499"/>
    <w:rsid w:val="003906CF"/>
    <w:rsid w:val="00390D4F"/>
    <w:rsid w:val="00390E00"/>
    <w:rsid w:val="00390E55"/>
    <w:rsid w:val="00390E68"/>
    <w:rsid w:val="00390EC0"/>
    <w:rsid w:val="00391050"/>
    <w:rsid w:val="00391185"/>
    <w:rsid w:val="0039159F"/>
    <w:rsid w:val="00391600"/>
    <w:rsid w:val="00391661"/>
    <w:rsid w:val="003917CC"/>
    <w:rsid w:val="00391AF7"/>
    <w:rsid w:val="00391BF9"/>
    <w:rsid w:val="00391FF2"/>
    <w:rsid w:val="003920C8"/>
    <w:rsid w:val="0039214D"/>
    <w:rsid w:val="003923CA"/>
    <w:rsid w:val="0039248F"/>
    <w:rsid w:val="00392BC2"/>
    <w:rsid w:val="00392BDA"/>
    <w:rsid w:val="00392DA7"/>
    <w:rsid w:val="00393175"/>
    <w:rsid w:val="003933C8"/>
    <w:rsid w:val="00393420"/>
    <w:rsid w:val="0039345F"/>
    <w:rsid w:val="00393522"/>
    <w:rsid w:val="0039355C"/>
    <w:rsid w:val="003935F0"/>
    <w:rsid w:val="00393617"/>
    <w:rsid w:val="00393628"/>
    <w:rsid w:val="00393946"/>
    <w:rsid w:val="003939A3"/>
    <w:rsid w:val="00393A3D"/>
    <w:rsid w:val="00393A7C"/>
    <w:rsid w:val="00393AB8"/>
    <w:rsid w:val="00393C2E"/>
    <w:rsid w:val="00393C89"/>
    <w:rsid w:val="00393CC8"/>
    <w:rsid w:val="003940C7"/>
    <w:rsid w:val="0039447F"/>
    <w:rsid w:val="003944F6"/>
    <w:rsid w:val="0039456C"/>
    <w:rsid w:val="00394B19"/>
    <w:rsid w:val="00394C6A"/>
    <w:rsid w:val="00394D61"/>
    <w:rsid w:val="00394D8F"/>
    <w:rsid w:val="00395191"/>
    <w:rsid w:val="003951BE"/>
    <w:rsid w:val="003952CC"/>
    <w:rsid w:val="0039530C"/>
    <w:rsid w:val="00395474"/>
    <w:rsid w:val="00395773"/>
    <w:rsid w:val="00395F48"/>
    <w:rsid w:val="0039673A"/>
    <w:rsid w:val="00396794"/>
    <w:rsid w:val="003969DE"/>
    <w:rsid w:val="00396ABC"/>
    <w:rsid w:val="00397089"/>
    <w:rsid w:val="00397188"/>
    <w:rsid w:val="003973FB"/>
    <w:rsid w:val="00397489"/>
    <w:rsid w:val="00397675"/>
    <w:rsid w:val="00397686"/>
    <w:rsid w:val="00397FA3"/>
    <w:rsid w:val="003A0436"/>
    <w:rsid w:val="003A08BF"/>
    <w:rsid w:val="003A093D"/>
    <w:rsid w:val="003A0A6E"/>
    <w:rsid w:val="003A0A83"/>
    <w:rsid w:val="003A0D87"/>
    <w:rsid w:val="003A109C"/>
    <w:rsid w:val="003A124A"/>
    <w:rsid w:val="003A1278"/>
    <w:rsid w:val="003A1375"/>
    <w:rsid w:val="003A13D5"/>
    <w:rsid w:val="003A1852"/>
    <w:rsid w:val="003A1E4B"/>
    <w:rsid w:val="003A2238"/>
    <w:rsid w:val="003A26D4"/>
    <w:rsid w:val="003A29AA"/>
    <w:rsid w:val="003A2D03"/>
    <w:rsid w:val="003A3239"/>
    <w:rsid w:val="003A3502"/>
    <w:rsid w:val="003A3564"/>
    <w:rsid w:val="003A3AFF"/>
    <w:rsid w:val="003A3E88"/>
    <w:rsid w:val="003A4024"/>
    <w:rsid w:val="003A43A9"/>
    <w:rsid w:val="003A446A"/>
    <w:rsid w:val="003A45ED"/>
    <w:rsid w:val="003A466D"/>
    <w:rsid w:val="003A48E2"/>
    <w:rsid w:val="003A4938"/>
    <w:rsid w:val="003A4985"/>
    <w:rsid w:val="003A4AC1"/>
    <w:rsid w:val="003A4E99"/>
    <w:rsid w:val="003A5003"/>
    <w:rsid w:val="003A50D0"/>
    <w:rsid w:val="003A533C"/>
    <w:rsid w:val="003A54B7"/>
    <w:rsid w:val="003A5B4F"/>
    <w:rsid w:val="003A5C6C"/>
    <w:rsid w:val="003A5E46"/>
    <w:rsid w:val="003A5EAD"/>
    <w:rsid w:val="003A642B"/>
    <w:rsid w:val="003A65F3"/>
    <w:rsid w:val="003A663C"/>
    <w:rsid w:val="003A6A45"/>
    <w:rsid w:val="003A6BAD"/>
    <w:rsid w:val="003A6C7D"/>
    <w:rsid w:val="003A6DC1"/>
    <w:rsid w:val="003A6DD3"/>
    <w:rsid w:val="003A6E94"/>
    <w:rsid w:val="003A72AC"/>
    <w:rsid w:val="003A72EE"/>
    <w:rsid w:val="003A7361"/>
    <w:rsid w:val="003A73CB"/>
    <w:rsid w:val="003A73D6"/>
    <w:rsid w:val="003A74A1"/>
    <w:rsid w:val="003A7AD1"/>
    <w:rsid w:val="003A7B0E"/>
    <w:rsid w:val="003A7DAD"/>
    <w:rsid w:val="003A7F5E"/>
    <w:rsid w:val="003A7FE6"/>
    <w:rsid w:val="003B0158"/>
    <w:rsid w:val="003B0231"/>
    <w:rsid w:val="003B024D"/>
    <w:rsid w:val="003B0402"/>
    <w:rsid w:val="003B0763"/>
    <w:rsid w:val="003B0768"/>
    <w:rsid w:val="003B09A6"/>
    <w:rsid w:val="003B0A5A"/>
    <w:rsid w:val="003B0D7B"/>
    <w:rsid w:val="003B0DDA"/>
    <w:rsid w:val="003B0E08"/>
    <w:rsid w:val="003B0E54"/>
    <w:rsid w:val="003B1017"/>
    <w:rsid w:val="003B10C7"/>
    <w:rsid w:val="003B112C"/>
    <w:rsid w:val="003B1235"/>
    <w:rsid w:val="003B1416"/>
    <w:rsid w:val="003B1B66"/>
    <w:rsid w:val="003B1E23"/>
    <w:rsid w:val="003B2074"/>
    <w:rsid w:val="003B2394"/>
    <w:rsid w:val="003B2656"/>
    <w:rsid w:val="003B2704"/>
    <w:rsid w:val="003B2869"/>
    <w:rsid w:val="003B2DA7"/>
    <w:rsid w:val="003B2F4E"/>
    <w:rsid w:val="003B2F88"/>
    <w:rsid w:val="003B31D9"/>
    <w:rsid w:val="003B3652"/>
    <w:rsid w:val="003B3A46"/>
    <w:rsid w:val="003B3B60"/>
    <w:rsid w:val="003B3B6D"/>
    <w:rsid w:val="003B3F18"/>
    <w:rsid w:val="003B408E"/>
    <w:rsid w:val="003B40B4"/>
    <w:rsid w:val="003B4152"/>
    <w:rsid w:val="003B42D9"/>
    <w:rsid w:val="003B42FD"/>
    <w:rsid w:val="003B4349"/>
    <w:rsid w:val="003B44B8"/>
    <w:rsid w:val="003B4665"/>
    <w:rsid w:val="003B475F"/>
    <w:rsid w:val="003B479F"/>
    <w:rsid w:val="003B4917"/>
    <w:rsid w:val="003B491A"/>
    <w:rsid w:val="003B4961"/>
    <w:rsid w:val="003B49B7"/>
    <w:rsid w:val="003B4C23"/>
    <w:rsid w:val="003B4D78"/>
    <w:rsid w:val="003B4DB5"/>
    <w:rsid w:val="003B4EB2"/>
    <w:rsid w:val="003B5085"/>
    <w:rsid w:val="003B5344"/>
    <w:rsid w:val="003B54B7"/>
    <w:rsid w:val="003B565C"/>
    <w:rsid w:val="003B5A0F"/>
    <w:rsid w:val="003B5AE3"/>
    <w:rsid w:val="003B610A"/>
    <w:rsid w:val="003B624B"/>
    <w:rsid w:val="003B64BE"/>
    <w:rsid w:val="003B663B"/>
    <w:rsid w:val="003B675A"/>
    <w:rsid w:val="003B67F4"/>
    <w:rsid w:val="003B691B"/>
    <w:rsid w:val="003B692F"/>
    <w:rsid w:val="003B6B3E"/>
    <w:rsid w:val="003B6BC9"/>
    <w:rsid w:val="003B6BE0"/>
    <w:rsid w:val="003B6C50"/>
    <w:rsid w:val="003B6C99"/>
    <w:rsid w:val="003B6D35"/>
    <w:rsid w:val="003B6E9F"/>
    <w:rsid w:val="003B713D"/>
    <w:rsid w:val="003B74E0"/>
    <w:rsid w:val="003B7681"/>
    <w:rsid w:val="003B77EB"/>
    <w:rsid w:val="003B78DA"/>
    <w:rsid w:val="003B7B7C"/>
    <w:rsid w:val="003B7C9E"/>
    <w:rsid w:val="003C0072"/>
    <w:rsid w:val="003C0397"/>
    <w:rsid w:val="003C03BF"/>
    <w:rsid w:val="003C071C"/>
    <w:rsid w:val="003C10E9"/>
    <w:rsid w:val="003C1DE5"/>
    <w:rsid w:val="003C1EE3"/>
    <w:rsid w:val="003C2237"/>
    <w:rsid w:val="003C23D7"/>
    <w:rsid w:val="003C2508"/>
    <w:rsid w:val="003C2671"/>
    <w:rsid w:val="003C2675"/>
    <w:rsid w:val="003C2880"/>
    <w:rsid w:val="003C2928"/>
    <w:rsid w:val="003C295B"/>
    <w:rsid w:val="003C2D1E"/>
    <w:rsid w:val="003C2D8B"/>
    <w:rsid w:val="003C2DE7"/>
    <w:rsid w:val="003C32DB"/>
    <w:rsid w:val="003C33A8"/>
    <w:rsid w:val="003C34B8"/>
    <w:rsid w:val="003C37C3"/>
    <w:rsid w:val="003C390C"/>
    <w:rsid w:val="003C39D9"/>
    <w:rsid w:val="003C3F23"/>
    <w:rsid w:val="003C3FED"/>
    <w:rsid w:val="003C4104"/>
    <w:rsid w:val="003C41D1"/>
    <w:rsid w:val="003C42FF"/>
    <w:rsid w:val="003C43D3"/>
    <w:rsid w:val="003C454B"/>
    <w:rsid w:val="003C47C0"/>
    <w:rsid w:val="003C4DB7"/>
    <w:rsid w:val="003C55B5"/>
    <w:rsid w:val="003C5718"/>
    <w:rsid w:val="003C57A5"/>
    <w:rsid w:val="003C58C3"/>
    <w:rsid w:val="003C5A99"/>
    <w:rsid w:val="003C5ACB"/>
    <w:rsid w:val="003C5CEF"/>
    <w:rsid w:val="003C5D5B"/>
    <w:rsid w:val="003C6128"/>
    <w:rsid w:val="003C619D"/>
    <w:rsid w:val="003C71B3"/>
    <w:rsid w:val="003C72C7"/>
    <w:rsid w:val="003C760E"/>
    <w:rsid w:val="003C7626"/>
    <w:rsid w:val="003C76F3"/>
    <w:rsid w:val="003C792B"/>
    <w:rsid w:val="003C7A05"/>
    <w:rsid w:val="003C7BDA"/>
    <w:rsid w:val="003C7ED1"/>
    <w:rsid w:val="003D009E"/>
    <w:rsid w:val="003D082A"/>
    <w:rsid w:val="003D0872"/>
    <w:rsid w:val="003D0873"/>
    <w:rsid w:val="003D0CD5"/>
    <w:rsid w:val="003D1048"/>
    <w:rsid w:val="003D131D"/>
    <w:rsid w:val="003D139E"/>
    <w:rsid w:val="003D192E"/>
    <w:rsid w:val="003D1A24"/>
    <w:rsid w:val="003D1D02"/>
    <w:rsid w:val="003D1D48"/>
    <w:rsid w:val="003D2498"/>
    <w:rsid w:val="003D24D2"/>
    <w:rsid w:val="003D24FD"/>
    <w:rsid w:val="003D2591"/>
    <w:rsid w:val="003D26B9"/>
    <w:rsid w:val="003D2905"/>
    <w:rsid w:val="003D295F"/>
    <w:rsid w:val="003D299B"/>
    <w:rsid w:val="003D32E9"/>
    <w:rsid w:val="003D3616"/>
    <w:rsid w:val="003D372A"/>
    <w:rsid w:val="003D4182"/>
    <w:rsid w:val="003D41A0"/>
    <w:rsid w:val="003D447D"/>
    <w:rsid w:val="003D45F0"/>
    <w:rsid w:val="003D460E"/>
    <w:rsid w:val="003D4763"/>
    <w:rsid w:val="003D4D46"/>
    <w:rsid w:val="003D4E29"/>
    <w:rsid w:val="003D54E8"/>
    <w:rsid w:val="003D54FC"/>
    <w:rsid w:val="003D575A"/>
    <w:rsid w:val="003D621C"/>
    <w:rsid w:val="003D62F4"/>
    <w:rsid w:val="003D63E8"/>
    <w:rsid w:val="003D6579"/>
    <w:rsid w:val="003D6641"/>
    <w:rsid w:val="003D6E27"/>
    <w:rsid w:val="003D6EB0"/>
    <w:rsid w:val="003D73CA"/>
    <w:rsid w:val="003D7524"/>
    <w:rsid w:val="003E006D"/>
    <w:rsid w:val="003E0193"/>
    <w:rsid w:val="003E01B8"/>
    <w:rsid w:val="003E0471"/>
    <w:rsid w:val="003E06B9"/>
    <w:rsid w:val="003E092B"/>
    <w:rsid w:val="003E0C19"/>
    <w:rsid w:val="003E0C45"/>
    <w:rsid w:val="003E0E64"/>
    <w:rsid w:val="003E0F8B"/>
    <w:rsid w:val="003E100A"/>
    <w:rsid w:val="003E1107"/>
    <w:rsid w:val="003E13B4"/>
    <w:rsid w:val="003E1B98"/>
    <w:rsid w:val="003E1D5B"/>
    <w:rsid w:val="003E2056"/>
    <w:rsid w:val="003E2129"/>
    <w:rsid w:val="003E2334"/>
    <w:rsid w:val="003E2D15"/>
    <w:rsid w:val="003E2FD9"/>
    <w:rsid w:val="003E3385"/>
    <w:rsid w:val="003E351A"/>
    <w:rsid w:val="003E361C"/>
    <w:rsid w:val="003E36D0"/>
    <w:rsid w:val="003E37AB"/>
    <w:rsid w:val="003E37E3"/>
    <w:rsid w:val="003E3E15"/>
    <w:rsid w:val="003E400B"/>
    <w:rsid w:val="003E4048"/>
    <w:rsid w:val="003E4374"/>
    <w:rsid w:val="003E46E8"/>
    <w:rsid w:val="003E4815"/>
    <w:rsid w:val="003E4A3C"/>
    <w:rsid w:val="003E4A5C"/>
    <w:rsid w:val="003E4B81"/>
    <w:rsid w:val="003E50A5"/>
    <w:rsid w:val="003E5131"/>
    <w:rsid w:val="003E5470"/>
    <w:rsid w:val="003E581E"/>
    <w:rsid w:val="003E5917"/>
    <w:rsid w:val="003E5950"/>
    <w:rsid w:val="003E5ED4"/>
    <w:rsid w:val="003E5F78"/>
    <w:rsid w:val="003E61C0"/>
    <w:rsid w:val="003E6257"/>
    <w:rsid w:val="003E6291"/>
    <w:rsid w:val="003E64B6"/>
    <w:rsid w:val="003E652F"/>
    <w:rsid w:val="003E677B"/>
    <w:rsid w:val="003E6B85"/>
    <w:rsid w:val="003E6BDB"/>
    <w:rsid w:val="003E7037"/>
    <w:rsid w:val="003E731C"/>
    <w:rsid w:val="003E74D2"/>
    <w:rsid w:val="003E7DF0"/>
    <w:rsid w:val="003E7EFF"/>
    <w:rsid w:val="003E7FA6"/>
    <w:rsid w:val="003F0248"/>
    <w:rsid w:val="003F0292"/>
    <w:rsid w:val="003F03E5"/>
    <w:rsid w:val="003F048A"/>
    <w:rsid w:val="003F0940"/>
    <w:rsid w:val="003F09A6"/>
    <w:rsid w:val="003F0ABE"/>
    <w:rsid w:val="003F11A2"/>
    <w:rsid w:val="003F11C4"/>
    <w:rsid w:val="003F152F"/>
    <w:rsid w:val="003F187F"/>
    <w:rsid w:val="003F1887"/>
    <w:rsid w:val="003F1D07"/>
    <w:rsid w:val="003F1D37"/>
    <w:rsid w:val="003F1E5D"/>
    <w:rsid w:val="003F20BA"/>
    <w:rsid w:val="003F20DB"/>
    <w:rsid w:val="003F2191"/>
    <w:rsid w:val="003F2428"/>
    <w:rsid w:val="003F2478"/>
    <w:rsid w:val="003F24B9"/>
    <w:rsid w:val="003F24E4"/>
    <w:rsid w:val="003F250E"/>
    <w:rsid w:val="003F254E"/>
    <w:rsid w:val="003F2779"/>
    <w:rsid w:val="003F2781"/>
    <w:rsid w:val="003F2BCA"/>
    <w:rsid w:val="003F2DB6"/>
    <w:rsid w:val="003F30BE"/>
    <w:rsid w:val="003F32E9"/>
    <w:rsid w:val="003F33EF"/>
    <w:rsid w:val="003F3586"/>
    <w:rsid w:val="003F3D10"/>
    <w:rsid w:val="003F4531"/>
    <w:rsid w:val="003F4599"/>
    <w:rsid w:val="003F491C"/>
    <w:rsid w:val="003F4B06"/>
    <w:rsid w:val="003F4C8E"/>
    <w:rsid w:val="003F4E40"/>
    <w:rsid w:val="003F4F6C"/>
    <w:rsid w:val="003F577C"/>
    <w:rsid w:val="003F59A7"/>
    <w:rsid w:val="003F5A79"/>
    <w:rsid w:val="003F5C27"/>
    <w:rsid w:val="003F5C96"/>
    <w:rsid w:val="003F5DE1"/>
    <w:rsid w:val="003F61CD"/>
    <w:rsid w:val="003F6250"/>
    <w:rsid w:val="003F62EB"/>
    <w:rsid w:val="003F64F2"/>
    <w:rsid w:val="003F6864"/>
    <w:rsid w:val="003F68D4"/>
    <w:rsid w:val="003F6B6E"/>
    <w:rsid w:val="003F6B7C"/>
    <w:rsid w:val="003F6BCC"/>
    <w:rsid w:val="003F6BF7"/>
    <w:rsid w:val="003F6CF4"/>
    <w:rsid w:val="003F7499"/>
    <w:rsid w:val="003F75DD"/>
    <w:rsid w:val="003F76DF"/>
    <w:rsid w:val="003F778A"/>
    <w:rsid w:val="003F77B9"/>
    <w:rsid w:val="003F7ABD"/>
    <w:rsid w:val="003F7DAE"/>
    <w:rsid w:val="003F7FAA"/>
    <w:rsid w:val="0040026A"/>
    <w:rsid w:val="004003D4"/>
    <w:rsid w:val="004008CE"/>
    <w:rsid w:val="00400CD5"/>
    <w:rsid w:val="00400D71"/>
    <w:rsid w:val="004011D5"/>
    <w:rsid w:val="00401768"/>
    <w:rsid w:val="00401950"/>
    <w:rsid w:val="00401A0F"/>
    <w:rsid w:val="00401DCC"/>
    <w:rsid w:val="00401E73"/>
    <w:rsid w:val="00402582"/>
    <w:rsid w:val="0040268B"/>
    <w:rsid w:val="004029A7"/>
    <w:rsid w:val="00402AAB"/>
    <w:rsid w:val="00402C53"/>
    <w:rsid w:val="00402C7F"/>
    <w:rsid w:val="00402D58"/>
    <w:rsid w:val="00402E38"/>
    <w:rsid w:val="004032E9"/>
    <w:rsid w:val="00403589"/>
    <w:rsid w:val="00403907"/>
    <w:rsid w:val="00403C04"/>
    <w:rsid w:val="00403DEA"/>
    <w:rsid w:val="00403EA5"/>
    <w:rsid w:val="00403F09"/>
    <w:rsid w:val="0040402E"/>
    <w:rsid w:val="0040412A"/>
    <w:rsid w:val="004044C4"/>
    <w:rsid w:val="00404683"/>
    <w:rsid w:val="004046B5"/>
    <w:rsid w:val="00404954"/>
    <w:rsid w:val="00404997"/>
    <w:rsid w:val="00404A08"/>
    <w:rsid w:val="00404DCF"/>
    <w:rsid w:val="0040500F"/>
    <w:rsid w:val="00405060"/>
    <w:rsid w:val="0040546F"/>
    <w:rsid w:val="004057E0"/>
    <w:rsid w:val="00405827"/>
    <w:rsid w:val="00405BA1"/>
    <w:rsid w:val="00405C60"/>
    <w:rsid w:val="00405C8A"/>
    <w:rsid w:val="00405DDC"/>
    <w:rsid w:val="00406317"/>
    <w:rsid w:val="004064D7"/>
    <w:rsid w:val="0040659E"/>
    <w:rsid w:val="004065D8"/>
    <w:rsid w:val="00406769"/>
    <w:rsid w:val="004067FA"/>
    <w:rsid w:val="0040690D"/>
    <w:rsid w:val="0040692F"/>
    <w:rsid w:val="00406D73"/>
    <w:rsid w:val="00406D82"/>
    <w:rsid w:val="00406EC8"/>
    <w:rsid w:val="0041007D"/>
    <w:rsid w:val="004102D4"/>
    <w:rsid w:val="004103A4"/>
    <w:rsid w:val="00410537"/>
    <w:rsid w:val="00410C5C"/>
    <w:rsid w:val="00410D80"/>
    <w:rsid w:val="00410F4B"/>
    <w:rsid w:val="00410F98"/>
    <w:rsid w:val="0041156D"/>
    <w:rsid w:val="004115E3"/>
    <w:rsid w:val="00411824"/>
    <w:rsid w:val="00411829"/>
    <w:rsid w:val="0041193F"/>
    <w:rsid w:val="00411CB4"/>
    <w:rsid w:val="00411CFC"/>
    <w:rsid w:val="00411E7D"/>
    <w:rsid w:val="004120A1"/>
    <w:rsid w:val="004123CA"/>
    <w:rsid w:val="0041273E"/>
    <w:rsid w:val="004127A1"/>
    <w:rsid w:val="004127C7"/>
    <w:rsid w:val="004128DF"/>
    <w:rsid w:val="00412A9C"/>
    <w:rsid w:val="00412F55"/>
    <w:rsid w:val="00413281"/>
    <w:rsid w:val="004133FD"/>
    <w:rsid w:val="00413462"/>
    <w:rsid w:val="004134E1"/>
    <w:rsid w:val="004136B4"/>
    <w:rsid w:val="00413803"/>
    <w:rsid w:val="00413906"/>
    <w:rsid w:val="00413D3D"/>
    <w:rsid w:val="004140AB"/>
    <w:rsid w:val="0041414C"/>
    <w:rsid w:val="0041441B"/>
    <w:rsid w:val="0041465A"/>
    <w:rsid w:val="00414758"/>
    <w:rsid w:val="00414B0A"/>
    <w:rsid w:val="00414C23"/>
    <w:rsid w:val="00415639"/>
    <w:rsid w:val="004156F2"/>
    <w:rsid w:val="004158F7"/>
    <w:rsid w:val="00415A16"/>
    <w:rsid w:val="00415E77"/>
    <w:rsid w:val="004163B6"/>
    <w:rsid w:val="0041645F"/>
    <w:rsid w:val="00416755"/>
    <w:rsid w:val="00416880"/>
    <w:rsid w:val="00416ABD"/>
    <w:rsid w:val="00416BCC"/>
    <w:rsid w:val="00417246"/>
    <w:rsid w:val="0041729C"/>
    <w:rsid w:val="004174DE"/>
    <w:rsid w:val="00417644"/>
    <w:rsid w:val="00417816"/>
    <w:rsid w:val="00417909"/>
    <w:rsid w:val="0041796D"/>
    <w:rsid w:val="00417CF6"/>
    <w:rsid w:val="00417E34"/>
    <w:rsid w:val="00417F49"/>
    <w:rsid w:val="004200F7"/>
    <w:rsid w:val="00420272"/>
    <w:rsid w:val="004203EE"/>
    <w:rsid w:val="0042049C"/>
    <w:rsid w:val="00420556"/>
    <w:rsid w:val="0042061A"/>
    <w:rsid w:val="0042072E"/>
    <w:rsid w:val="0042098D"/>
    <w:rsid w:val="00420AD6"/>
    <w:rsid w:val="004214A9"/>
    <w:rsid w:val="004215CA"/>
    <w:rsid w:val="00421770"/>
    <w:rsid w:val="00421906"/>
    <w:rsid w:val="00421937"/>
    <w:rsid w:val="00421DE1"/>
    <w:rsid w:val="00421F3C"/>
    <w:rsid w:val="00421F85"/>
    <w:rsid w:val="004221A8"/>
    <w:rsid w:val="00422622"/>
    <w:rsid w:val="0042268C"/>
    <w:rsid w:val="00422719"/>
    <w:rsid w:val="00422ACB"/>
    <w:rsid w:val="00422BB3"/>
    <w:rsid w:val="00422C3C"/>
    <w:rsid w:val="00422D2A"/>
    <w:rsid w:val="00422F9E"/>
    <w:rsid w:val="00422FE8"/>
    <w:rsid w:val="004238A8"/>
    <w:rsid w:val="00423EE5"/>
    <w:rsid w:val="004241B6"/>
    <w:rsid w:val="00424342"/>
    <w:rsid w:val="00424357"/>
    <w:rsid w:val="00424ADA"/>
    <w:rsid w:val="00424BE4"/>
    <w:rsid w:val="004251E2"/>
    <w:rsid w:val="00425332"/>
    <w:rsid w:val="004255F8"/>
    <w:rsid w:val="0042578D"/>
    <w:rsid w:val="004257C2"/>
    <w:rsid w:val="00425BCB"/>
    <w:rsid w:val="00425C9F"/>
    <w:rsid w:val="00425CFF"/>
    <w:rsid w:val="00425D68"/>
    <w:rsid w:val="00425E15"/>
    <w:rsid w:val="00425E2E"/>
    <w:rsid w:val="00425E49"/>
    <w:rsid w:val="00426087"/>
    <w:rsid w:val="00426110"/>
    <w:rsid w:val="004261DA"/>
    <w:rsid w:val="0042627D"/>
    <w:rsid w:val="004263B8"/>
    <w:rsid w:val="004266D9"/>
    <w:rsid w:val="00426A33"/>
    <w:rsid w:val="00426A85"/>
    <w:rsid w:val="00426BD4"/>
    <w:rsid w:val="00426C8C"/>
    <w:rsid w:val="00426CD9"/>
    <w:rsid w:val="00426D5F"/>
    <w:rsid w:val="00426F1B"/>
    <w:rsid w:val="00427071"/>
    <w:rsid w:val="0042726F"/>
    <w:rsid w:val="00427BE5"/>
    <w:rsid w:val="00427C9B"/>
    <w:rsid w:val="00427CDA"/>
    <w:rsid w:val="00427F84"/>
    <w:rsid w:val="00430474"/>
    <w:rsid w:val="004305FF"/>
    <w:rsid w:val="00430614"/>
    <w:rsid w:val="00430ED9"/>
    <w:rsid w:val="00431008"/>
    <w:rsid w:val="00431151"/>
    <w:rsid w:val="004314EF"/>
    <w:rsid w:val="004315AC"/>
    <w:rsid w:val="0043164A"/>
    <w:rsid w:val="0043164E"/>
    <w:rsid w:val="00431D6B"/>
    <w:rsid w:val="00431ED2"/>
    <w:rsid w:val="00431FFC"/>
    <w:rsid w:val="0043298B"/>
    <w:rsid w:val="00432CB4"/>
    <w:rsid w:val="00432CE2"/>
    <w:rsid w:val="004332C6"/>
    <w:rsid w:val="00433429"/>
    <w:rsid w:val="00433445"/>
    <w:rsid w:val="00433D9C"/>
    <w:rsid w:val="00433F5F"/>
    <w:rsid w:val="00433F7D"/>
    <w:rsid w:val="004341E9"/>
    <w:rsid w:val="004341F7"/>
    <w:rsid w:val="004343BB"/>
    <w:rsid w:val="00434434"/>
    <w:rsid w:val="00434452"/>
    <w:rsid w:val="004347AA"/>
    <w:rsid w:val="00435109"/>
    <w:rsid w:val="0043544B"/>
    <w:rsid w:val="0043597F"/>
    <w:rsid w:val="00435C78"/>
    <w:rsid w:val="00435D0A"/>
    <w:rsid w:val="00436048"/>
    <w:rsid w:val="00436077"/>
    <w:rsid w:val="0043608A"/>
    <w:rsid w:val="004360E4"/>
    <w:rsid w:val="0043613E"/>
    <w:rsid w:val="004362C5"/>
    <w:rsid w:val="004363D9"/>
    <w:rsid w:val="004363EB"/>
    <w:rsid w:val="004364E1"/>
    <w:rsid w:val="004366F4"/>
    <w:rsid w:val="0043691E"/>
    <w:rsid w:val="00436AEF"/>
    <w:rsid w:val="00436DE8"/>
    <w:rsid w:val="004370A4"/>
    <w:rsid w:val="004370EF"/>
    <w:rsid w:val="004371DC"/>
    <w:rsid w:val="0043726D"/>
    <w:rsid w:val="004374F5"/>
    <w:rsid w:val="0043762B"/>
    <w:rsid w:val="00437CEA"/>
    <w:rsid w:val="00437E10"/>
    <w:rsid w:val="004403A8"/>
    <w:rsid w:val="004403C7"/>
    <w:rsid w:val="0044082E"/>
    <w:rsid w:val="00440937"/>
    <w:rsid w:val="00440C8D"/>
    <w:rsid w:val="00440D2E"/>
    <w:rsid w:val="00440D69"/>
    <w:rsid w:val="00440D6A"/>
    <w:rsid w:val="00440FC0"/>
    <w:rsid w:val="004411F1"/>
    <w:rsid w:val="004418C7"/>
    <w:rsid w:val="00441984"/>
    <w:rsid w:val="00441BF0"/>
    <w:rsid w:val="00441E68"/>
    <w:rsid w:val="0044237A"/>
    <w:rsid w:val="004426E4"/>
    <w:rsid w:val="00442739"/>
    <w:rsid w:val="004429BF"/>
    <w:rsid w:val="00442E81"/>
    <w:rsid w:val="0044313F"/>
    <w:rsid w:val="00443167"/>
    <w:rsid w:val="00443253"/>
    <w:rsid w:val="00443865"/>
    <w:rsid w:val="0044387A"/>
    <w:rsid w:val="00443ADF"/>
    <w:rsid w:val="00443BC5"/>
    <w:rsid w:val="0044402A"/>
    <w:rsid w:val="004440BA"/>
    <w:rsid w:val="004443FA"/>
    <w:rsid w:val="00444933"/>
    <w:rsid w:val="00444AAC"/>
    <w:rsid w:val="00444C13"/>
    <w:rsid w:val="00444D60"/>
    <w:rsid w:val="004451F9"/>
    <w:rsid w:val="00445486"/>
    <w:rsid w:val="00445663"/>
    <w:rsid w:val="0044591E"/>
    <w:rsid w:val="004459A5"/>
    <w:rsid w:val="004459A6"/>
    <w:rsid w:val="004459C0"/>
    <w:rsid w:val="00445A18"/>
    <w:rsid w:val="00445E49"/>
    <w:rsid w:val="00445E89"/>
    <w:rsid w:val="00445F33"/>
    <w:rsid w:val="0044619F"/>
    <w:rsid w:val="004461A4"/>
    <w:rsid w:val="00446328"/>
    <w:rsid w:val="0044649E"/>
    <w:rsid w:val="004465E8"/>
    <w:rsid w:val="00446629"/>
    <w:rsid w:val="004469D0"/>
    <w:rsid w:val="00446A7E"/>
    <w:rsid w:val="00446AF0"/>
    <w:rsid w:val="00446DB3"/>
    <w:rsid w:val="00446F4B"/>
    <w:rsid w:val="004472D9"/>
    <w:rsid w:val="004472F9"/>
    <w:rsid w:val="004473C8"/>
    <w:rsid w:val="00447543"/>
    <w:rsid w:val="0044760B"/>
    <w:rsid w:val="00447813"/>
    <w:rsid w:val="00447876"/>
    <w:rsid w:val="00447D92"/>
    <w:rsid w:val="00447FF8"/>
    <w:rsid w:val="00450223"/>
    <w:rsid w:val="004503FF"/>
    <w:rsid w:val="00450460"/>
    <w:rsid w:val="004507EE"/>
    <w:rsid w:val="004508AC"/>
    <w:rsid w:val="00450AE7"/>
    <w:rsid w:val="00451188"/>
    <w:rsid w:val="00451642"/>
    <w:rsid w:val="00451A71"/>
    <w:rsid w:val="00451A8A"/>
    <w:rsid w:val="004521C3"/>
    <w:rsid w:val="004523C4"/>
    <w:rsid w:val="00452480"/>
    <w:rsid w:val="00452542"/>
    <w:rsid w:val="004528A0"/>
    <w:rsid w:val="00452CE2"/>
    <w:rsid w:val="00452D39"/>
    <w:rsid w:val="00452D86"/>
    <w:rsid w:val="00452DA5"/>
    <w:rsid w:val="00452DC4"/>
    <w:rsid w:val="00452DF7"/>
    <w:rsid w:val="00453531"/>
    <w:rsid w:val="00453590"/>
    <w:rsid w:val="00453628"/>
    <w:rsid w:val="0045370A"/>
    <w:rsid w:val="00453953"/>
    <w:rsid w:val="00454125"/>
    <w:rsid w:val="004541A2"/>
    <w:rsid w:val="004542D7"/>
    <w:rsid w:val="00454540"/>
    <w:rsid w:val="004545D8"/>
    <w:rsid w:val="004546BE"/>
    <w:rsid w:val="00454B2E"/>
    <w:rsid w:val="00454CAF"/>
    <w:rsid w:val="00454D5B"/>
    <w:rsid w:val="00454E9C"/>
    <w:rsid w:val="00454F04"/>
    <w:rsid w:val="004551C9"/>
    <w:rsid w:val="00455605"/>
    <w:rsid w:val="00455614"/>
    <w:rsid w:val="00455D89"/>
    <w:rsid w:val="00455E43"/>
    <w:rsid w:val="004565D3"/>
    <w:rsid w:val="00456720"/>
    <w:rsid w:val="00456768"/>
    <w:rsid w:val="004567C0"/>
    <w:rsid w:val="00456945"/>
    <w:rsid w:val="004569D0"/>
    <w:rsid w:val="004569E6"/>
    <w:rsid w:val="004569EE"/>
    <w:rsid w:val="00456A38"/>
    <w:rsid w:val="00456B20"/>
    <w:rsid w:val="00456C6E"/>
    <w:rsid w:val="00456FE5"/>
    <w:rsid w:val="0045723D"/>
    <w:rsid w:val="00457609"/>
    <w:rsid w:val="004577DB"/>
    <w:rsid w:val="00457E6E"/>
    <w:rsid w:val="00460415"/>
    <w:rsid w:val="00460460"/>
    <w:rsid w:val="004604E6"/>
    <w:rsid w:val="00460ABD"/>
    <w:rsid w:val="0046117B"/>
    <w:rsid w:val="00461286"/>
    <w:rsid w:val="004614D2"/>
    <w:rsid w:val="00461898"/>
    <w:rsid w:val="00461921"/>
    <w:rsid w:val="00461951"/>
    <w:rsid w:val="0046197E"/>
    <w:rsid w:val="004619E6"/>
    <w:rsid w:val="00462097"/>
    <w:rsid w:val="004621F7"/>
    <w:rsid w:val="004622E0"/>
    <w:rsid w:val="004626A2"/>
    <w:rsid w:val="004626BD"/>
    <w:rsid w:val="004627A0"/>
    <w:rsid w:val="00462816"/>
    <w:rsid w:val="00462881"/>
    <w:rsid w:val="00462A4B"/>
    <w:rsid w:val="00462FAE"/>
    <w:rsid w:val="00462FC1"/>
    <w:rsid w:val="00463365"/>
    <w:rsid w:val="00463419"/>
    <w:rsid w:val="00463459"/>
    <w:rsid w:val="004634A5"/>
    <w:rsid w:val="004634B0"/>
    <w:rsid w:val="00463646"/>
    <w:rsid w:val="004636F0"/>
    <w:rsid w:val="00463CA0"/>
    <w:rsid w:val="00463CDC"/>
    <w:rsid w:val="00463EA9"/>
    <w:rsid w:val="00463EFE"/>
    <w:rsid w:val="00463FE2"/>
    <w:rsid w:val="00464017"/>
    <w:rsid w:val="00464253"/>
    <w:rsid w:val="00464275"/>
    <w:rsid w:val="00464331"/>
    <w:rsid w:val="004643A3"/>
    <w:rsid w:val="00464A2F"/>
    <w:rsid w:val="00464A35"/>
    <w:rsid w:val="00464D79"/>
    <w:rsid w:val="00464DED"/>
    <w:rsid w:val="00464E5C"/>
    <w:rsid w:val="00465055"/>
    <w:rsid w:val="0046531D"/>
    <w:rsid w:val="0046566F"/>
    <w:rsid w:val="00465AF8"/>
    <w:rsid w:val="00465BD8"/>
    <w:rsid w:val="00465C64"/>
    <w:rsid w:val="00465D26"/>
    <w:rsid w:val="00465D53"/>
    <w:rsid w:val="00465D68"/>
    <w:rsid w:val="00465E31"/>
    <w:rsid w:val="00466175"/>
    <w:rsid w:val="0046634D"/>
    <w:rsid w:val="00466C32"/>
    <w:rsid w:val="00466DD1"/>
    <w:rsid w:val="00466FB1"/>
    <w:rsid w:val="0046740A"/>
    <w:rsid w:val="0046752A"/>
    <w:rsid w:val="00467625"/>
    <w:rsid w:val="004676BA"/>
    <w:rsid w:val="004678F9"/>
    <w:rsid w:val="00467A53"/>
    <w:rsid w:val="00467E90"/>
    <w:rsid w:val="00470180"/>
    <w:rsid w:val="0047098D"/>
    <w:rsid w:val="00471207"/>
    <w:rsid w:val="00471440"/>
    <w:rsid w:val="004714B2"/>
    <w:rsid w:val="004715F5"/>
    <w:rsid w:val="0047176C"/>
    <w:rsid w:val="004717CF"/>
    <w:rsid w:val="00471C81"/>
    <w:rsid w:val="00471CFF"/>
    <w:rsid w:val="004721DB"/>
    <w:rsid w:val="0047237F"/>
    <w:rsid w:val="00472533"/>
    <w:rsid w:val="00472AEC"/>
    <w:rsid w:val="00472AF2"/>
    <w:rsid w:val="00472CB4"/>
    <w:rsid w:val="00472F2F"/>
    <w:rsid w:val="00472F84"/>
    <w:rsid w:val="00473554"/>
    <w:rsid w:val="004735BE"/>
    <w:rsid w:val="00473805"/>
    <w:rsid w:val="00473834"/>
    <w:rsid w:val="00473945"/>
    <w:rsid w:val="00473FD0"/>
    <w:rsid w:val="004741CC"/>
    <w:rsid w:val="0047420C"/>
    <w:rsid w:val="00474521"/>
    <w:rsid w:val="0047485B"/>
    <w:rsid w:val="0047497E"/>
    <w:rsid w:val="00474A3E"/>
    <w:rsid w:val="00474C3F"/>
    <w:rsid w:val="00474CA4"/>
    <w:rsid w:val="00474EA3"/>
    <w:rsid w:val="00474F6B"/>
    <w:rsid w:val="00474FE0"/>
    <w:rsid w:val="00475065"/>
    <w:rsid w:val="004752A0"/>
    <w:rsid w:val="00475628"/>
    <w:rsid w:val="00475862"/>
    <w:rsid w:val="0047595F"/>
    <w:rsid w:val="00475B57"/>
    <w:rsid w:val="00475B91"/>
    <w:rsid w:val="00475C8F"/>
    <w:rsid w:val="00475D6F"/>
    <w:rsid w:val="004761FF"/>
    <w:rsid w:val="004762CB"/>
    <w:rsid w:val="00476326"/>
    <w:rsid w:val="004763F2"/>
    <w:rsid w:val="00476429"/>
    <w:rsid w:val="004765EF"/>
    <w:rsid w:val="00476B36"/>
    <w:rsid w:val="00476C9C"/>
    <w:rsid w:val="00476DB1"/>
    <w:rsid w:val="00476F27"/>
    <w:rsid w:val="00476F8A"/>
    <w:rsid w:val="004771CE"/>
    <w:rsid w:val="004775CD"/>
    <w:rsid w:val="004778CA"/>
    <w:rsid w:val="00477BF1"/>
    <w:rsid w:val="00477EB4"/>
    <w:rsid w:val="00477F80"/>
    <w:rsid w:val="00477FED"/>
    <w:rsid w:val="00480122"/>
    <w:rsid w:val="00480513"/>
    <w:rsid w:val="004805D0"/>
    <w:rsid w:val="00480987"/>
    <w:rsid w:val="00480AD3"/>
    <w:rsid w:val="00480C76"/>
    <w:rsid w:val="00480FCF"/>
    <w:rsid w:val="00481105"/>
    <w:rsid w:val="00481399"/>
    <w:rsid w:val="004813E7"/>
    <w:rsid w:val="00481AAD"/>
    <w:rsid w:val="00481D1B"/>
    <w:rsid w:val="00481D98"/>
    <w:rsid w:val="00481E3C"/>
    <w:rsid w:val="00482408"/>
    <w:rsid w:val="00482442"/>
    <w:rsid w:val="00482690"/>
    <w:rsid w:val="004827D1"/>
    <w:rsid w:val="0048291F"/>
    <w:rsid w:val="00482A39"/>
    <w:rsid w:val="00482B9D"/>
    <w:rsid w:val="00482C9E"/>
    <w:rsid w:val="00482E90"/>
    <w:rsid w:val="00483533"/>
    <w:rsid w:val="00483616"/>
    <w:rsid w:val="00483671"/>
    <w:rsid w:val="0048367C"/>
    <w:rsid w:val="0048370E"/>
    <w:rsid w:val="00483753"/>
    <w:rsid w:val="004837C3"/>
    <w:rsid w:val="004839C6"/>
    <w:rsid w:val="00483DE1"/>
    <w:rsid w:val="00483FB0"/>
    <w:rsid w:val="00484356"/>
    <w:rsid w:val="004843D5"/>
    <w:rsid w:val="0048443D"/>
    <w:rsid w:val="0048494D"/>
    <w:rsid w:val="00484B98"/>
    <w:rsid w:val="00484CA8"/>
    <w:rsid w:val="00484E77"/>
    <w:rsid w:val="00485199"/>
    <w:rsid w:val="00485248"/>
    <w:rsid w:val="004853B4"/>
    <w:rsid w:val="00485709"/>
    <w:rsid w:val="00485838"/>
    <w:rsid w:val="00486029"/>
    <w:rsid w:val="00486490"/>
    <w:rsid w:val="004868BF"/>
    <w:rsid w:val="00486B5A"/>
    <w:rsid w:val="00486D32"/>
    <w:rsid w:val="00486EEF"/>
    <w:rsid w:val="004879FE"/>
    <w:rsid w:val="00487BD5"/>
    <w:rsid w:val="00487C9C"/>
    <w:rsid w:val="00490004"/>
    <w:rsid w:val="00490331"/>
    <w:rsid w:val="004906EB"/>
    <w:rsid w:val="00490A9A"/>
    <w:rsid w:val="00490AD4"/>
    <w:rsid w:val="00490B18"/>
    <w:rsid w:val="00490BA5"/>
    <w:rsid w:val="00490BC4"/>
    <w:rsid w:val="00490F5C"/>
    <w:rsid w:val="00490F62"/>
    <w:rsid w:val="004910B1"/>
    <w:rsid w:val="0049191A"/>
    <w:rsid w:val="00491A0E"/>
    <w:rsid w:val="00491B0E"/>
    <w:rsid w:val="00491B0F"/>
    <w:rsid w:val="00491E96"/>
    <w:rsid w:val="00491FF3"/>
    <w:rsid w:val="0049208E"/>
    <w:rsid w:val="004921E5"/>
    <w:rsid w:val="004926F5"/>
    <w:rsid w:val="0049274E"/>
    <w:rsid w:val="0049286E"/>
    <w:rsid w:val="00492927"/>
    <w:rsid w:val="00492CD5"/>
    <w:rsid w:val="00492D69"/>
    <w:rsid w:val="00492DC5"/>
    <w:rsid w:val="00493013"/>
    <w:rsid w:val="0049301E"/>
    <w:rsid w:val="00493046"/>
    <w:rsid w:val="00493128"/>
    <w:rsid w:val="00493324"/>
    <w:rsid w:val="004934EA"/>
    <w:rsid w:val="004935F0"/>
    <w:rsid w:val="00493645"/>
    <w:rsid w:val="0049380D"/>
    <w:rsid w:val="00493AC4"/>
    <w:rsid w:val="00493F1E"/>
    <w:rsid w:val="00493FCF"/>
    <w:rsid w:val="004941B6"/>
    <w:rsid w:val="004945AE"/>
    <w:rsid w:val="004945BA"/>
    <w:rsid w:val="00494AC7"/>
    <w:rsid w:val="00494AF2"/>
    <w:rsid w:val="00494B28"/>
    <w:rsid w:val="00494B78"/>
    <w:rsid w:val="00494DA4"/>
    <w:rsid w:val="00494DE0"/>
    <w:rsid w:val="0049518E"/>
    <w:rsid w:val="00495D7C"/>
    <w:rsid w:val="00495D9F"/>
    <w:rsid w:val="00495E24"/>
    <w:rsid w:val="00496F2E"/>
    <w:rsid w:val="00497179"/>
    <w:rsid w:val="004977D0"/>
    <w:rsid w:val="00497B69"/>
    <w:rsid w:val="00497BAC"/>
    <w:rsid w:val="00497E44"/>
    <w:rsid w:val="00497FE9"/>
    <w:rsid w:val="004A025F"/>
    <w:rsid w:val="004A0364"/>
    <w:rsid w:val="004A0385"/>
    <w:rsid w:val="004A0659"/>
    <w:rsid w:val="004A07FB"/>
    <w:rsid w:val="004A0A85"/>
    <w:rsid w:val="004A0B09"/>
    <w:rsid w:val="004A0BA5"/>
    <w:rsid w:val="004A0D58"/>
    <w:rsid w:val="004A0F67"/>
    <w:rsid w:val="004A1066"/>
    <w:rsid w:val="004A16AA"/>
    <w:rsid w:val="004A1BA4"/>
    <w:rsid w:val="004A22AA"/>
    <w:rsid w:val="004A22FF"/>
    <w:rsid w:val="004A245B"/>
    <w:rsid w:val="004A2649"/>
    <w:rsid w:val="004A28D3"/>
    <w:rsid w:val="004A2B47"/>
    <w:rsid w:val="004A2CE9"/>
    <w:rsid w:val="004A3045"/>
    <w:rsid w:val="004A3063"/>
    <w:rsid w:val="004A3257"/>
    <w:rsid w:val="004A32A2"/>
    <w:rsid w:val="004A3488"/>
    <w:rsid w:val="004A39B4"/>
    <w:rsid w:val="004A3BB9"/>
    <w:rsid w:val="004A3C22"/>
    <w:rsid w:val="004A3D40"/>
    <w:rsid w:val="004A4002"/>
    <w:rsid w:val="004A41E3"/>
    <w:rsid w:val="004A4381"/>
    <w:rsid w:val="004A441E"/>
    <w:rsid w:val="004A498C"/>
    <w:rsid w:val="004A4CFE"/>
    <w:rsid w:val="004A4D59"/>
    <w:rsid w:val="004A4D5D"/>
    <w:rsid w:val="004A4FF1"/>
    <w:rsid w:val="004A5025"/>
    <w:rsid w:val="004A5050"/>
    <w:rsid w:val="004A527A"/>
    <w:rsid w:val="004A555C"/>
    <w:rsid w:val="004A55C8"/>
    <w:rsid w:val="004A5670"/>
    <w:rsid w:val="004A568A"/>
    <w:rsid w:val="004A56E2"/>
    <w:rsid w:val="004A5956"/>
    <w:rsid w:val="004A5B53"/>
    <w:rsid w:val="004A5D80"/>
    <w:rsid w:val="004A5EDA"/>
    <w:rsid w:val="004A605F"/>
    <w:rsid w:val="004A623D"/>
    <w:rsid w:val="004A6380"/>
    <w:rsid w:val="004A6722"/>
    <w:rsid w:val="004A673C"/>
    <w:rsid w:val="004A677C"/>
    <w:rsid w:val="004A7026"/>
    <w:rsid w:val="004A7117"/>
    <w:rsid w:val="004A71FB"/>
    <w:rsid w:val="004A736F"/>
    <w:rsid w:val="004A755D"/>
    <w:rsid w:val="004A7654"/>
    <w:rsid w:val="004A79C1"/>
    <w:rsid w:val="004A7A4C"/>
    <w:rsid w:val="004A7B26"/>
    <w:rsid w:val="004A7EEB"/>
    <w:rsid w:val="004A7FE3"/>
    <w:rsid w:val="004B022D"/>
    <w:rsid w:val="004B03AE"/>
    <w:rsid w:val="004B0455"/>
    <w:rsid w:val="004B0531"/>
    <w:rsid w:val="004B053D"/>
    <w:rsid w:val="004B05A2"/>
    <w:rsid w:val="004B067B"/>
    <w:rsid w:val="004B0BA7"/>
    <w:rsid w:val="004B0D95"/>
    <w:rsid w:val="004B0E55"/>
    <w:rsid w:val="004B1434"/>
    <w:rsid w:val="004B14B0"/>
    <w:rsid w:val="004B14F4"/>
    <w:rsid w:val="004B1654"/>
    <w:rsid w:val="004B16DA"/>
    <w:rsid w:val="004B1707"/>
    <w:rsid w:val="004B18EC"/>
    <w:rsid w:val="004B1D86"/>
    <w:rsid w:val="004B2024"/>
    <w:rsid w:val="004B2136"/>
    <w:rsid w:val="004B24D5"/>
    <w:rsid w:val="004B26C2"/>
    <w:rsid w:val="004B26F2"/>
    <w:rsid w:val="004B282A"/>
    <w:rsid w:val="004B2B6A"/>
    <w:rsid w:val="004B2DBC"/>
    <w:rsid w:val="004B2F47"/>
    <w:rsid w:val="004B3025"/>
    <w:rsid w:val="004B304E"/>
    <w:rsid w:val="004B3295"/>
    <w:rsid w:val="004B339D"/>
    <w:rsid w:val="004B34F0"/>
    <w:rsid w:val="004B378A"/>
    <w:rsid w:val="004B3806"/>
    <w:rsid w:val="004B380E"/>
    <w:rsid w:val="004B3886"/>
    <w:rsid w:val="004B3899"/>
    <w:rsid w:val="004B3DD8"/>
    <w:rsid w:val="004B3E38"/>
    <w:rsid w:val="004B3F58"/>
    <w:rsid w:val="004B41BB"/>
    <w:rsid w:val="004B43A3"/>
    <w:rsid w:val="004B4413"/>
    <w:rsid w:val="004B4440"/>
    <w:rsid w:val="004B4478"/>
    <w:rsid w:val="004B4711"/>
    <w:rsid w:val="004B47BE"/>
    <w:rsid w:val="004B49A7"/>
    <w:rsid w:val="004B49D3"/>
    <w:rsid w:val="004B4B5C"/>
    <w:rsid w:val="004B4BF5"/>
    <w:rsid w:val="004B53AD"/>
    <w:rsid w:val="004B5449"/>
    <w:rsid w:val="004B56C1"/>
    <w:rsid w:val="004B5734"/>
    <w:rsid w:val="004B5826"/>
    <w:rsid w:val="004B5985"/>
    <w:rsid w:val="004B5BBC"/>
    <w:rsid w:val="004B5F57"/>
    <w:rsid w:val="004B5FF4"/>
    <w:rsid w:val="004B60D6"/>
    <w:rsid w:val="004B65DC"/>
    <w:rsid w:val="004B6701"/>
    <w:rsid w:val="004B67C2"/>
    <w:rsid w:val="004B69AD"/>
    <w:rsid w:val="004B6C13"/>
    <w:rsid w:val="004B6D53"/>
    <w:rsid w:val="004B6E3C"/>
    <w:rsid w:val="004B7002"/>
    <w:rsid w:val="004B712F"/>
    <w:rsid w:val="004B71F2"/>
    <w:rsid w:val="004B733A"/>
    <w:rsid w:val="004B742B"/>
    <w:rsid w:val="004B7745"/>
    <w:rsid w:val="004B7B64"/>
    <w:rsid w:val="004C0359"/>
    <w:rsid w:val="004C099B"/>
    <w:rsid w:val="004C09DC"/>
    <w:rsid w:val="004C09F6"/>
    <w:rsid w:val="004C0E65"/>
    <w:rsid w:val="004C1100"/>
    <w:rsid w:val="004C167C"/>
    <w:rsid w:val="004C169B"/>
    <w:rsid w:val="004C182D"/>
    <w:rsid w:val="004C183E"/>
    <w:rsid w:val="004C1957"/>
    <w:rsid w:val="004C1D7A"/>
    <w:rsid w:val="004C1FF0"/>
    <w:rsid w:val="004C20A1"/>
    <w:rsid w:val="004C217E"/>
    <w:rsid w:val="004C2209"/>
    <w:rsid w:val="004C2518"/>
    <w:rsid w:val="004C272F"/>
    <w:rsid w:val="004C28B1"/>
    <w:rsid w:val="004C2C32"/>
    <w:rsid w:val="004C2DE7"/>
    <w:rsid w:val="004C2F1D"/>
    <w:rsid w:val="004C3215"/>
    <w:rsid w:val="004C34B3"/>
    <w:rsid w:val="004C356A"/>
    <w:rsid w:val="004C3703"/>
    <w:rsid w:val="004C3D0A"/>
    <w:rsid w:val="004C3DF6"/>
    <w:rsid w:val="004C3EEE"/>
    <w:rsid w:val="004C3F99"/>
    <w:rsid w:val="004C4309"/>
    <w:rsid w:val="004C4390"/>
    <w:rsid w:val="004C46EE"/>
    <w:rsid w:val="004C4B89"/>
    <w:rsid w:val="004C4BD1"/>
    <w:rsid w:val="004C4C03"/>
    <w:rsid w:val="004C4C21"/>
    <w:rsid w:val="004C4F60"/>
    <w:rsid w:val="004C507B"/>
    <w:rsid w:val="004C5166"/>
    <w:rsid w:val="004C517F"/>
    <w:rsid w:val="004C54C0"/>
    <w:rsid w:val="004C5D11"/>
    <w:rsid w:val="004C5F02"/>
    <w:rsid w:val="004C5F35"/>
    <w:rsid w:val="004C614A"/>
    <w:rsid w:val="004C6989"/>
    <w:rsid w:val="004C6A4F"/>
    <w:rsid w:val="004C6DF0"/>
    <w:rsid w:val="004C6F81"/>
    <w:rsid w:val="004C708F"/>
    <w:rsid w:val="004C72FD"/>
    <w:rsid w:val="004C7338"/>
    <w:rsid w:val="004C763A"/>
    <w:rsid w:val="004C7662"/>
    <w:rsid w:val="004C783E"/>
    <w:rsid w:val="004C790C"/>
    <w:rsid w:val="004C7D94"/>
    <w:rsid w:val="004D022A"/>
    <w:rsid w:val="004D02FD"/>
    <w:rsid w:val="004D033A"/>
    <w:rsid w:val="004D03C1"/>
    <w:rsid w:val="004D0495"/>
    <w:rsid w:val="004D08F8"/>
    <w:rsid w:val="004D0AAB"/>
    <w:rsid w:val="004D0C4F"/>
    <w:rsid w:val="004D0E54"/>
    <w:rsid w:val="004D0FF9"/>
    <w:rsid w:val="004D1144"/>
    <w:rsid w:val="004D11A0"/>
    <w:rsid w:val="004D12A4"/>
    <w:rsid w:val="004D147D"/>
    <w:rsid w:val="004D1586"/>
    <w:rsid w:val="004D169B"/>
    <w:rsid w:val="004D17A0"/>
    <w:rsid w:val="004D1BD7"/>
    <w:rsid w:val="004D1C25"/>
    <w:rsid w:val="004D1CA0"/>
    <w:rsid w:val="004D1D1F"/>
    <w:rsid w:val="004D22FE"/>
    <w:rsid w:val="004D25BE"/>
    <w:rsid w:val="004D25FE"/>
    <w:rsid w:val="004D260D"/>
    <w:rsid w:val="004D2706"/>
    <w:rsid w:val="004D271B"/>
    <w:rsid w:val="004D2759"/>
    <w:rsid w:val="004D2761"/>
    <w:rsid w:val="004D2AD4"/>
    <w:rsid w:val="004D2C10"/>
    <w:rsid w:val="004D2CA9"/>
    <w:rsid w:val="004D2F3F"/>
    <w:rsid w:val="004D31C0"/>
    <w:rsid w:val="004D34AF"/>
    <w:rsid w:val="004D3691"/>
    <w:rsid w:val="004D3851"/>
    <w:rsid w:val="004D388E"/>
    <w:rsid w:val="004D38D4"/>
    <w:rsid w:val="004D3999"/>
    <w:rsid w:val="004D3A4D"/>
    <w:rsid w:val="004D3F79"/>
    <w:rsid w:val="004D3F99"/>
    <w:rsid w:val="004D4107"/>
    <w:rsid w:val="004D42D1"/>
    <w:rsid w:val="004D43A2"/>
    <w:rsid w:val="004D489A"/>
    <w:rsid w:val="004D49C5"/>
    <w:rsid w:val="004D4A90"/>
    <w:rsid w:val="004D4B7B"/>
    <w:rsid w:val="004D4B86"/>
    <w:rsid w:val="004D4E9B"/>
    <w:rsid w:val="004D50BC"/>
    <w:rsid w:val="004D511B"/>
    <w:rsid w:val="004D51D0"/>
    <w:rsid w:val="004D51DF"/>
    <w:rsid w:val="004D58A7"/>
    <w:rsid w:val="004D5B48"/>
    <w:rsid w:val="004D5D04"/>
    <w:rsid w:val="004D5FF2"/>
    <w:rsid w:val="004D602C"/>
    <w:rsid w:val="004D6D12"/>
    <w:rsid w:val="004D6DC5"/>
    <w:rsid w:val="004D6DF6"/>
    <w:rsid w:val="004D6F54"/>
    <w:rsid w:val="004D6F96"/>
    <w:rsid w:val="004D7012"/>
    <w:rsid w:val="004D72F6"/>
    <w:rsid w:val="004D7552"/>
    <w:rsid w:val="004D7910"/>
    <w:rsid w:val="004D79F3"/>
    <w:rsid w:val="004D7F4E"/>
    <w:rsid w:val="004E0115"/>
    <w:rsid w:val="004E0121"/>
    <w:rsid w:val="004E0A18"/>
    <w:rsid w:val="004E0E18"/>
    <w:rsid w:val="004E146E"/>
    <w:rsid w:val="004E1A56"/>
    <w:rsid w:val="004E1AED"/>
    <w:rsid w:val="004E1E1A"/>
    <w:rsid w:val="004E2059"/>
    <w:rsid w:val="004E2101"/>
    <w:rsid w:val="004E2BEE"/>
    <w:rsid w:val="004E310A"/>
    <w:rsid w:val="004E3919"/>
    <w:rsid w:val="004E3B59"/>
    <w:rsid w:val="004E3BA7"/>
    <w:rsid w:val="004E3C37"/>
    <w:rsid w:val="004E3D14"/>
    <w:rsid w:val="004E3D70"/>
    <w:rsid w:val="004E4077"/>
    <w:rsid w:val="004E40A0"/>
    <w:rsid w:val="004E41B6"/>
    <w:rsid w:val="004E434B"/>
    <w:rsid w:val="004E43A6"/>
    <w:rsid w:val="004E43DD"/>
    <w:rsid w:val="004E46DC"/>
    <w:rsid w:val="004E4770"/>
    <w:rsid w:val="004E47C2"/>
    <w:rsid w:val="004E4A01"/>
    <w:rsid w:val="004E4D44"/>
    <w:rsid w:val="004E4DDE"/>
    <w:rsid w:val="004E4FC7"/>
    <w:rsid w:val="004E54B7"/>
    <w:rsid w:val="004E5561"/>
    <w:rsid w:val="004E559E"/>
    <w:rsid w:val="004E569A"/>
    <w:rsid w:val="004E5932"/>
    <w:rsid w:val="004E5AD5"/>
    <w:rsid w:val="004E5AEB"/>
    <w:rsid w:val="004E5D98"/>
    <w:rsid w:val="004E5DFF"/>
    <w:rsid w:val="004E5F1F"/>
    <w:rsid w:val="004E67C0"/>
    <w:rsid w:val="004E6C3D"/>
    <w:rsid w:val="004E6F56"/>
    <w:rsid w:val="004E6FDD"/>
    <w:rsid w:val="004E71E6"/>
    <w:rsid w:val="004E726C"/>
    <w:rsid w:val="004E74A2"/>
    <w:rsid w:val="004E752A"/>
    <w:rsid w:val="004E7706"/>
    <w:rsid w:val="004E7821"/>
    <w:rsid w:val="004E78BD"/>
    <w:rsid w:val="004E7A37"/>
    <w:rsid w:val="004E7AE3"/>
    <w:rsid w:val="004E7BB0"/>
    <w:rsid w:val="004E7D50"/>
    <w:rsid w:val="004E7EBD"/>
    <w:rsid w:val="004F0169"/>
    <w:rsid w:val="004F04AB"/>
    <w:rsid w:val="004F0514"/>
    <w:rsid w:val="004F07AC"/>
    <w:rsid w:val="004F0861"/>
    <w:rsid w:val="004F08C9"/>
    <w:rsid w:val="004F0942"/>
    <w:rsid w:val="004F0B9E"/>
    <w:rsid w:val="004F0ECD"/>
    <w:rsid w:val="004F0FAF"/>
    <w:rsid w:val="004F121F"/>
    <w:rsid w:val="004F146C"/>
    <w:rsid w:val="004F14F7"/>
    <w:rsid w:val="004F1507"/>
    <w:rsid w:val="004F1597"/>
    <w:rsid w:val="004F1707"/>
    <w:rsid w:val="004F17DA"/>
    <w:rsid w:val="004F195D"/>
    <w:rsid w:val="004F1BC6"/>
    <w:rsid w:val="004F1BF3"/>
    <w:rsid w:val="004F1CE6"/>
    <w:rsid w:val="004F1D5B"/>
    <w:rsid w:val="004F1D87"/>
    <w:rsid w:val="004F1FFC"/>
    <w:rsid w:val="004F2404"/>
    <w:rsid w:val="004F26C4"/>
    <w:rsid w:val="004F2CBB"/>
    <w:rsid w:val="004F2CD9"/>
    <w:rsid w:val="004F2D00"/>
    <w:rsid w:val="004F2D9C"/>
    <w:rsid w:val="004F31EB"/>
    <w:rsid w:val="004F32E2"/>
    <w:rsid w:val="004F3358"/>
    <w:rsid w:val="004F34D7"/>
    <w:rsid w:val="004F385B"/>
    <w:rsid w:val="004F38F6"/>
    <w:rsid w:val="004F3CBB"/>
    <w:rsid w:val="004F3DA4"/>
    <w:rsid w:val="004F4353"/>
    <w:rsid w:val="004F463B"/>
    <w:rsid w:val="004F47C6"/>
    <w:rsid w:val="004F4826"/>
    <w:rsid w:val="004F4951"/>
    <w:rsid w:val="004F4B07"/>
    <w:rsid w:val="004F4B16"/>
    <w:rsid w:val="004F4FB9"/>
    <w:rsid w:val="004F53DD"/>
    <w:rsid w:val="004F5443"/>
    <w:rsid w:val="004F549F"/>
    <w:rsid w:val="004F550A"/>
    <w:rsid w:val="004F55DE"/>
    <w:rsid w:val="004F59C0"/>
    <w:rsid w:val="004F59C6"/>
    <w:rsid w:val="004F5A2F"/>
    <w:rsid w:val="004F5D1B"/>
    <w:rsid w:val="004F5D44"/>
    <w:rsid w:val="004F5E87"/>
    <w:rsid w:val="004F5F27"/>
    <w:rsid w:val="004F61A1"/>
    <w:rsid w:val="004F6A17"/>
    <w:rsid w:val="004F6AB8"/>
    <w:rsid w:val="004F6E20"/>
    <w:rsid w:val="004F719E"/>
    <w:rsid w:val="004F71E2"/>
    <w:rsid w:val="004F729F"/>
    <w:rsid w:val="004F7497"/>
    <w:rsid w:val="004F7671"/>
    <w:rsid w:val="004F7793"/>
    <w:rsid w:val="004F7799"/>
    <w:rsid w:val="004F7C67"/>
    <w:rsid w:val="00500068"/>
    <w:rsid w:val="00500414"/>
    <w:rsid w:val="00500431"/>
    <w:rsid w:val="005005C1"/>
    <w:rsid w:val="00500817"/>
    <w:rsid w:val="00500A20"/>
    <w:rsid w:val="00500BCF"/>
    <w:rsid w:val="00500EE1"/>
    <w:rsid w:val="00500F41"/>
    <w:rsid w:val="005010B9"/>
    <w:rsid w:val="0050135C"/>
    <w:rsid w:val="005015C1"/>
    <w:rsid w:val="005015D1"/>
    <w:rsid w:val="00501688"/>
    <w:rsid w:val="005016AF"/>
    <w:rsid w:val="005016E1"/>
    <w:rsid w:val="005018A0"/>
    <w:rsid w:val="00501920"/>
    <w:rsid w:val="005019DD"/>
    <w:rsid w:val="00501B79"/>
    <w:rsid w:val="00501E1B"/>
    <w:rsid w:val="00501E2D"/>
    <w:rsid w:val="00501F2A"/>
    <w:rsid w:val="00502711"/>
    <w:rsid w:val="00502A5F"/>
    <w:rsid w:val="00502B68"/>
    <w:rsid w:val="00502C15"/>
    <w:rsid w:val="00502D08"/>
    <w:rsid w:val="00502E48"/>
    <w:rsid w:val="00502E78"/>
    <w:rsid w:val="00502FCF"/>
    <w:rsid w:val="005030C1"/>
    <w:rsid w:val="00503292"/>
    <w:rsid w:val="005032A8"/>
    <w:rsid w:val="005033E6"/>
    <w:rsid w:val="00503838"/>
    <w:rsid w:val="00503911"/>
    <w:rsid w:val="00503AC3"/>
    <w:rsid w:val="00503AF5"/>
    <w:rsid w:val="00503C1D"/>
    <w:rsid w:val="00503C6A"/>
    <w:rsid w:val="00503CD3"/>
    <w:rsid w:val="00503F67"/>
    <w:rsid w:val="00504207"/>
    <w:rsid w:val="0050432D"/>
    <w:rsid w:val="00504600"/>
    <w:rsid w:val="0050461A"/>
    <w:rsid w:val="00504846"/>
    <w:rsid w:val="00504860"/>
    <w:rsid w:val="00504C79"/>
    <w:rsid w:val="00504D96"/>
    <w:rsid w:val="00504EEB"/>
    <w:rsid w:val="005057A7"/>
    <w:rsid w:val="00505946"/>
    <w:rsid w:val="00505A82"/>
    <w:rsid w:val="00505B27"/>
    <w:rsid w:val="00505C95"/>
    <w:rsid w:val="00505D22"/>
    <w:rsid w:val="00505D64"/>
    <w:rsid w:val="005060AD"/>
    <w:rsid w:val="005064F6"/>
    <w:rsid w:val="005068BD"/>
    <w:rsid w:val="005068D5"/>
    <w:rsid w:val="005069B6"/>
    <w:rsid w:val="00506D98"/>
    <w:rsid w:val="00506DB2"/>
    <w:rsid w:val="00506E0C"/>
    <w:rsid w:val="005070A2"/>
    <w:rsid w:val="005071A3"/>
    <w:rsid w:val="005074A6"/>
    <w:rsid w:val="005074D5"/>
    <w:rsid w:val="0050754E"/>
    <w:rsid w:val="00507603"/>
    <w:rsid w:val="00507C5F"/>
    <w:rsid w:val="00510098"/>
    <w:rsid w:val="0051015A"/>
    <w:rsid w:val="00510327"/>
    <w:rsid w:val="00510367"/>
    <w:rsid w:val="005104D1"/>
    <w:rsid w:val="00510660"/>
    <w:rsid w:val="00511441"/>
    <w:rsid w:val="00511442"/>
    <w:rsid w:val="0051199D"/>
    <w:rsid w:val="005119C0"/>
    <w:rsid w:val="00511A74"/>
    <w:rsid w:val="00511ABD"/>
    <w:rsid w:val="00511C93"/>
    <w:rsid w:val="00511CF4"/>
    <w:rsid w:val="00511CF6"/>
    <w:rsid w:val="00511E95"/>
    <w:rsid w:val="0051281B"/>
    <w:rsid w:val="00512928"/>
    <w:rsid w:val="00512A46"/>
    <w:rsid w:val="00512ABF"/>
    <w:rsid w:val="00512BFB"/>
    <w:rsid w:val="00512C33"/>
    <w:rsid w:val="00512C3A"/>
    <w:rsid w:val="00512C51"/>
    <w:rsid w:val="00512CFC"/>
    <w:rsid w:val="00512EB0"/>
    <w:rsid w:val="00512FB4"/>
    <w:rsid w:val="00513040"/>
    <w:rsid w:val="00513485"/>
    <w:rsid w:val="0051364C"/>
    <w:rsid w:val="00513676"/>
    <w:rsid w:val="005137CC"/>
    <w:rsid w:val="00513F51"/>
    <w:rsid w:val="00513F87"/>
    <w:rsid w:val="0051403F"/>
    <w:rsid w:val="00514220"/>
    <w:rsid w:val="005142C4"/>
    <w:rsid w:val="0051467B"/>
    <w:rsid w:val="005147CF"/>
    <w:rsid w:val="00514877"/>
    <w:rsid w:val="005149F2"/>
    <w:rsid w:val="00514CB7"/>
    <w:rsid w:val="00514CC8"/>
    <w:rsid w:val="00514CD8"/>
    <w:rsid w:val="00514DA9"/>
    <w:rsid w:val="00514DE3"/>
    <w:rsid w:val="00514F68"/>
    <w:rsid w:val="0051587B"/>
    <w:rsid w:val="00516630"/>
    <w:rsid w:val="00516900"/>
    <w:rsid w:val="00516BFC"/>
    <w:rsid w:val="00517154"/>
    <w:rsid w:val="00517321"/>
    <w:rsid w:val="0051753D"/>
    <w:rsid w:val="0051786A"/>
    <w:rsid w:val="00517B1C"/>
    <w:rsid w:val="00517CE3"/>
    <w:rsid w:val="00517EF9"/>
    <w:rsid w:val="005202CB"/>
    <w:rsid w:val="005203F6"/>
    <w:rsid w:val="005206FA"/>
    <w:rsid w:val="005208A9"/>
    <w:rsid w:val="00520953"/>
    <w:rsid w:val="00520CAE"/>
    <w:rsid w:val="00520D5E"/>
    <w:rsid w:val="005210D9"/>
    <w:rsid w:val="00521174"/>
    <w:rsid w:val="00521754"/>
    <w:rsid w:val="00521792"/>
    <w:rsid w:val="005217DC"/>
    <w:rsid w:val="00521939"/>
    <w:rsid w:val="00521A6E"/>
    <w:rsid w:val="00521C64"/>
    <w:rsid w:val="00521CDB"/>
    <w:rsid w:val="00521D5E"/>
    <w:rsid w:val="00522122"/>
    <w:rsid w:val="005224B5"/>
    <w:rsid w:val="00522532"/>
    <w:rsid w:val="00522675"/>
    <w:rsid w:val="00522ADD"/>
    <w:rsid w:val="00522CB0"/>
    <w:rsid w:val="00523036"/>
    <w:rsid w:val="005230F4"/>
    <w:rsid w:val="00523306"/>
    <w:rsid w:val="00523353"/>
    <w:rsid w:val="00523468"/>
    <w:rsid w:val="005237CD"/>
    <w:rsid w:val="00523C0C"/>
    <w:rsid w:val="0052400C"/>
    <w:rsid w:val="005240FB"/>
    <w:rsid w:val="00524277"/>
    <w:rsid w:val="00524580"/>
    <w:rsid w:val="005246D6"/>
    <w:rsid w:val="0052481F"/>
    <w:rsid w:val="00524B9C"/>
    <w:rsid w:val="00524D58"/>
    <w:rsid w:val="00524DEB"/>
    <w:rsid w:val="00524EAB"/>
    <w:rsid w:val="00524FE2"/>
    <w:rsid w:val="00525549"/>
    <w:rsid w:val="005259AF"/>
    <w:rsid w:val="00525A0C"/>
    <w:rsid w:val="00525DF3"/>
    <w:rsid w:val="00525EDE"/>
    <w:rsid w:val="0052603A"/>
    <w:rsid w:val="0052616E"/>
    <w:rsid w:val="00526285"/>
    <w:rsid w:val="005264A3"/>
    <w:rsid w:val="00526614"/>
    <w:rsid w:val="0052668F"/>
    <w:rsid w:val="00526807"/>
    <w:rsid w:val="0052699A"/>
    <w:rsid w:val="005269CD"/>
    <w:rsid w:val="00526C88"/>
    <w:rsid w:val="00526DC7"/>
    <w:rsid w:val="00526E9D"/>
    <w:rsid w:val="00526F59"/>
    <w:rsid w:val="0052710F"/>
    <w:rsid w:val="005271B1"/>
    <w:rsid w:val="0052733F"/>
    <w:rsid w:val="00527360"/>
    <w:rsid w:val="00527413"/>
    <w:rsid w:val="00527422"/>
    <w:rsid w:val="005275B6"/>
    <w:rsid w:val="005276C5"/>
    <w:rsid w:val="0052778E"/>
    <w:rsid w:val="005277E1"/>
    <w:rsid w:val="00527948"/>
    <w:rsid w:val="005279E8"/>
    <w:rsid w:val="00527AD2"/>
    <w:rsid w:val="00527EBB"/>
    <w:rsid w:val="00530158"/>
    <w:rsid w:val="00530308"/>
    <w:rsid w:val="005303F8"/>
    <w:rsid w:val="005305BF"/>
    <w:rsid w:val="0053069C"/>
    <w:rsid w:val="005306E1"/>
    <w:rsid w:val="0053077A"/>
    <w:rsid w:val="0053077E"/>
    <w:rsid w:val="00530AD8"/>
    <w:rsid w:val="00530B50"/>
    <w:rsid w:val="00530D42"/>
    <w:rsid w:val="00530FBC"/>
    <w:rsid w:val="005310B4"/>
    <w:rsid w:val="0053117D"/>
    <w:rsid w:val="005315D8"/>
    <w:rsid w:val="005315E0"/>
    <w:rsid w:val="0053179A"/>
    <w:rsid w:val="005317E4"/>
    <w:rsid w:val="00531893"/>
    <w:rsid w:val="005319FB"/>
    <w:rsid w:val="00531E67"/>
    <w:rsid w:val="0053202A"/>
    <w:rsid w:val="00532129"/>
    <w:rsid w:val="005322DF"/>
    <w:rsid w:val="005330B7"/>
    <w:rsid w:val="005330D4"/>
    <w:rsid w:val="005332EF"/>
    <w:rsid w:val="0053335A"/>
    <w:rsid w:val="0053342D"/>
    <w:rsid w:val="00533498"/>
    <w:rsid w:val="0053350B"/>
    <w:rsid w:val="0053350D"/>
    <w:rsid w:val="0053391F"/>
    <w:rsid w:val="00533AA5"/>
    <w:rsid w:val="00533BEA"/>
    <w:rsid w:val="00533D28"/>
    <w:rsid w:val="00533F05"/>
    <w:rsid w:val="005344D2"/>
    <w:rsid w:val="00534751"/>
    <w:rsid w:val="00534A4B"/>
    <w:rsid w:val="00534E97"/>
    <w:rsid w:val="00535042"/>
    <w:rsid w:val="00535155"/>
    <w:rsid w:val="0053524B"/>
    <w:rsid w:val="00535522"/>
    <w:rsid w:val="00535570"/>
    <w:rsid w:val="005355C2"/>
    <w:rsid w:val="005356CE"/>
    <w:rsid w:val="00535904"/>
    <w:rsid w:val="00535CE6"/>
    <w:rsid w:val="00535E4F"/>
    <w:rsid w:val="00535F68"/>
    <w:rsid w:val="005360A9"/>
    <w:rsid w:val="0053636C"/>
    <w:rsid w:val="00536A3A"/>
    <w:rsid w:val="00536C15"/>
    <w:rsid w:val="00536D05"/>
    <w:rsid w:val="0053703F"/>
    <w:rsid w:val="005372AB"/>
    <w:rsid w:val="0053762F"/>
    <w:rsid w:val="00537703"/>
    <w:rsid w:val="00537712"/>
    <w:rsid w:val="0053778C"/>
    <w:rsid w:val="00537A63"/>
    <w:rsid w:val="00537BA1"/>
    <w:rsid w:val="00540346"/>
    <w:rsid w:val="00540778"/>
    <w:rsid w:val="005407EF"/>
    <w:rsid w:val="00540A3F"/>
    <w:rsid w:val="00540B01"/>
    <w:rsid w:val="00540BA6"/>
    <w:rsid w:val="00540D36"/>
    <w:rsid w:val="00540D49"/>
    <w:rsid w:val="00540DB4"/>
    <w:rsid w:val="00541144"/>
    <w:rsid w:val="005416A7"/>
    <w:rsid w:val="0054173E"/>
    <w:rsid w:val="00541817"/>
    <w:rsid w:val="0054183D"/>
    <w:rsid w:val="00541938"/>
    <w:rsid w:val="00541A14"/>
    <w:rsid w:val="00541A9A"/>
    <w:rsid w:val="00541C13"/>
    <w:rsid w:val="00541FBB"/>
    <w:rsid w:val="00541FD1"/>
    <w:rsid w:val="0054209A"/>
    <w:rsid w:val="005422F1"/>
    <w:rsid w:val="00542325"/>
    <w:rsid w:val="0054239A"/>
    <w:rsid w:val="0054278F"/>
    <w:rsid w:val="0054280D"/>
    <w:rsid w:val="00542B20"/>
    <w:rsid w:val="00542BC5"/>
    <w:rsid w:val="00542EF3"/>
    <w:rsid w:val="00542FD8"/>
    <w:rsid w:val="00543407"/>
    <w:rsid w:val="005437CE"/>
    <w:rsid w:val="005439B2"/>
    <w:rsid w:val="005439CF"/>
    <w:rsid w:val="00543B7B"/>
    <w:rsid w:val="00543BE1"/>
    <w:rsid w:val="00543C9E"/>
    <w:rsid w:val="00543D90"/>
    <w:rsid w:val="005441D2"/>
    <w:rsid w:val="00544374"/>
    <w:rsid w:val="005446B1"/>
    <w:rsid w:val="00544C16"/>
    <w:rsid w:val="00544F17"/>
    <w:rsid w:val="0054527B"/>
    <w:rsid w:val="0054536C"/>
    <w:rsid w:val="005453BE"/>
    <w:rsid w:val="0054544F"/>
    <w:rsid w:val="0054557C"/>
    <w:rsid w:val="005456DD"/>
    <w:rsid w:val="00545740"/>
    <w:rsid w:val="00545892"/>
    <w:rsid w:val="005458F6"/>
    <w:rsid w:val="00545C1D"/>
    <w:rsid w:val="00546183"/>
    <w:rsid w:val="005461CD"/>
    <w:rsid w:val="0054624A"/>
    <w:rsid w:val="005463CC"/>
    <w:rsid w:val="005464A7"/>
    <w:rsid w:val="0054698D"/>
    <w:rsid w:val="00546BB6"/>
    <w:rsid w:val="005472B1"/>
    <w:rsid w:val="00547414"/>
    <w:rsid w:val="005474A1"/>
    <w:rsid w:val="00547641"/>
    <w:rsid w:val="00547A1F"/>
    <w:rsid w:val="00547A99"/>
    <w:rsid w:val="00547ADC"/>
    <w:rsid w:val="00547C29"/>
    <w:rsid w:val="00547E0D"/>
    <w:rsid w:val="00550187"/>
    <w:rsid w:val="005501EC"/>
    <w:rsid w:val="005502CE"/>
    <w:rsid w:val="005505E7"/>
    <w:rsid w:val="00550938"/>
    <w:rsid w:val="00550A19"/>
    <w:rsid w:val="00550C13"/>
    <w:rsid w:val="00550CD3"/>
    <w:rsid w:val="00551154"/>
    <w:rsid w:val="0055139C"/>
    <w:rsid w:val="005513DD"/>
    <w:rsid w:val="005513FC"/>
    <w:rsid w:val="005514A5"/>
    <w:rsid w:val="005514B6"/>
    <w:rsid w:val="00551AAB"/>
    <w:rsid w:val="00551AE1"/>
    <w:rsid w:val="00551C23"/>
    <w:rsid w:val="00552110"/>
    <w:rsid w:val="00552280"/>
    <w:rsid w:val="00552778"/>
    <w:rsid w:val="005529C9"/>
    <w:rsid w:val="00552BC9"/>
    <w:rsid w:val="00552C05"/>
    <w:rsid w:val="00552E85"/>
    <w:rsid w:val="0055317A"/>
    <w:rsid w:val="0055345C"/>
    <w:rsid w:val="00553574"/>
    <w:rsid w:val="005535A8"/>
    <w:rsid w:val="00553B02"/>
    <w:rsid w:val="00553CE9"/>
    <w:rsid w:val="00553FF5"/>
    <w:rsid w:val="00554151"/>
    <w:rsid w:val="005541CF"/>
    <w:rsid w:val="005542A0"/>
    <w:rsid w:val="005543F2"/>
    <w:rsid w:val="005544F7"/>
    <w:rsid w:val="00554500"/>
    <w:rsid w:val="005545C8"/>
    <w:rsid w:val="005546BE"/>
    <w:rsid w:val="00554785"/>
    <w:rsid w:val="005547C8"/>
    <w:rsid w:val="005547D4"/>
    <w:rsid w:val="00554C6F"/>
    <w:rsid w:val="0055545D"/>
    <w:rsid w:val="005554C6"/>
    <w:rsid w:val="00555734"/>
    <w:rsid w:val="0055582C"/>
    <w:rsid w:val="0055591B"/>
    <w:rsid w:val="00555A8E"/>
    <w:rsid w:val="00555B51"/>
    <w:rsid w:val="00555C53"/>
    <w:rsid w:val="00555DBC"/>
    <w:rsid w:val="00555E70"/>
    <w:rsid w:val="00555E76"/>
    <w:rsid w:val="00556254"/>
    <w:rsid w:val="005563D0"/>
    <w:rsid w:val="00556870"/>
    <w:rsid w:val="00556BD7"/>
    <w:rsid w:val="00556D03"/>
    <w:rsid w:val="00556FC4"/>
    <w:rsid w:val="00557071"/>
    <w:rsid w:val="00557419"/>
    <w:rsid w:val="0055741E"/>
    <w:rsid w:val="00557A34"/>
    <w:rsid w:val="005601A0"/>
    <w:rsid w:val="0056029D"/>
    <w:rsid w:val="00560318"/>
    <w:rsid w:val="005603DF"/>
    <w:rsid w:val="005607C6"/>
    <w:rsid w:val="00560971"/>
    <w:rsid w:val="00560979"/>
    <w:rsid w:val="00560A0B"/>
    <w:rsid w:val="00560AA3"/>
    <w:rsid w:val="00560B39"/>
    <w:rsid w:val="00560D5F"/>
    <w:rsid w:val="00561220"/>
    <w:rsid w:val="00561737"/>
    <w:rsid w:val="005618B8"/>
    <w:rsid w:val="005619D2"/>
    <w:rsid w:val="00561AED"/>
    <w:rsid w:val="00561D94"/>
    <w:rsid w:val="00561EBA"/>
    <w:rsid w:val="00561EE8"/>
    <w:rsid w:val="00561F68"/>
    <w:rsid w:val="00562052"/>
    <w:rsid w:val="00562113"/>
    <w:rsid w:val="00562332"/>
    <w:rsid w:val="0056243F"/>
    <w:rsid w:val="0056250F"/>
    <w:rsid w:val="00562A94"/>
    <w:rsid w:val="00562CCD"/>
    <w:rsid w:val="00562CEF"/>
    <w:rsid w:val="00562F7D"/>
    <w:rsid w:val="0056301E"/>
    <w:rsid w:val="005630DD"/>
    <w:rsid w:val="005631E5"/>
    <w:rsid w:val="00563619"/>
    <w:rsid w:val="00563756"/>
    <w:rsid w:val="00563DE4"/>
    <w:rsid w:val="00563FEA"/>
    <w:rsid w:val="00564562"/>
    <w:rsid w:val="005646B0"/>
    <w:rsid w:val="0056497D"/>
    <w:rsid w:val="005649B2"/>
    <w:rsid w:val="005649D4"/>
    <w:rsid w:val="00564A10"/>
    <w:rsid w:val="00564B09"/>
    <w:rsid w:val="00564C7F"/>
    <w:rsid w:val="00564CF9"/>
    <w:rsid w:val="0056537D"/>
    <w:rsid w:val="00565430"/>
    <w:rsid w:val="0056557E"/>
    <w:rsid w:val="00565656"/>
    <w:rsid w:val="00565CA0"/>
    <w:rsid w:val="00565DAF"/>
    <w:rsid w:val="00565E47"/>
    <w:rsid w:val="00565F65"/>
    <w:rsid w:val="00565FD3"/>
    <w:rsid w:val="00566041"/>
    <w:rsid w:val="00566055"/>
    <w:rsid w:val="00566154"/>
    <w:rsid w:val="005664C0"/>
    <w:rsid w:val="005664FA"/>
    <w:rsid w:val="005667C1"/>
    <w:rsid w:val="00566D74"/>
    <w:rsid w:val="00566EAF"/>
    <w:rsid w:val="00566EFD"/>
    <w:rsid w:val="00566FE3"/>
    <w:rsid w:val="0056719D"/>
    <w:rsid w:val="00567212"/>
    <w:rsid w:val="00567456"/>
    <w:rsid w:val="0056763F"/>
    <w:rsid w:val="005677AF"/>
    <w:rsid w:val="005679B0"/>
    <w:rsid w:val="00567C08"/>
    <w:rsid w:val="00570138"/>
    <w:rsid w:val="005701A4"/>
    <w:rsid w:val="00570326"/>
    <w:rsid w:val="00570440"/>
    <w:rsid w:val="005708A4"/>
    <w:rsid w:val="005708CB"/>
    <w:rsid w:val="00570A75"/>
    <w:rsid w:val="00570FDD"/>
    <w:rsid w:val="00571003"/>
    <w:rsid w:val="005711B3"/>
    <w:rsid w:val="005711B6"/>
    <w:rsid w:val="0057130D"/>
    <w:rsid w:val="00571334"/>
    <w:rsid w:val="005713F7"/>
    <w:rsid w:val="005719FC"/>
    <w:rsid w:val="00571CCA"/>
    <w:rsid w:val="00571D9E"/>
    <w:rsid w:val="005721E7"/>
    <w:rsid w:val="005724CB"/>
    <w:rsid w:val="00572686"/>
    <w:rsid w:val="005726A2"/>
    <w:rsid w:val="00572785"/>
    <w:rsid w:val="00572795"/>
    <w:rsid w:val="005727F3"/>
    <w:rsid w:val="00572B7A"/>
    <w:rsid w:val="00572CC2"/>
    <w:rsid w:val="00572D74"/>
    <w:rsid w:val="00572E1B"/>
    <w:rsid w:val="00572F22"/>
    <w:rsid w:val="0057341A"/>
    <w:rsid w:val="00573453"/>
    <w:rsid w:val="0057354C"/>
    <w:rsid w:val="0057381F"/>
    <w:rsid w:val="00573C4E"/>
    <w:rsid w:val="00573DDE"/>
    <w:rsid w:val="00573E3F"/>
    <w:rsid w:val="00573E82"/>
    <w:rsid w:val="005747FE"/>
    <w:rsid w:val="00574809"/>
    <w:rsid w:val="005749B2"/>
    <w:rsid w:val="005749BE"/>
    <w:rsid w:val="00574A54"/>
    <w:rsid w:val="00574F97"/>
    <w:rsid w:val="00575235"/>
    <w:rsid w:val="005754E2"/>
    <w:rsid w:val="0057559D"/>
    <w:rsid w:val="0057583C"/>
    <w:rsid w:val="00575875"/>
    <w:rsid w:val="00575AE9"/>
    <w:rsid w:val="00575D2D"/>
    <w:rsid w:val="005760B8"/>
    <w:rsid w:val="005764B2"/>
    <w:rsid w:val="0057653A"/>
    <w:rsid w:val="00576731"/>
    <w:rsid w:val="00576AB5"/>
    <w:rsid w:val="00576C64"/>
    <w:rsid w:val="00576D46"/>
    <w:rsid w:val="00576FC3"/>
    <w:rsid w:val="005770A6"/>
    <w:rsid w:val="00577253"/>
    <w:rsid w:val="005773F1"/>
    <w:rsid w:val="00577571"/>
    <w:rsid w:val="005777F8"/>
    <w:rsid w:val="005778F9"/>
    <w:rsid w:val="00577916"/>
    <w:rsid w:val="00577A63"/>
    <w:rsid w:val="005801B4"/>
    <w:rsid w:val="00580295"/>
    <w:rsid w:val="005803CE"/>
    <w:rsid w:val="005806E0"/>
    <w:rsid w:val="00580FE4"/>
    <w:rsid w:val="0058104D"/>
    <w:rsid w:val="00581440"/>
    <w:rsid w:val="00581538"/>
    <w:rsid w:val="005816D4"/>
    <w:rsid w:val="00581812"/>
    <w:rsid w:val="00581CC9"/>
    <w:rsid w:val="00581D32"/>
    <w:rsid w:val="00581EB1"/>
    <w:rsid w:val="00581F3F"/>
    <w:rsid w:val="0058228F"/>
    <w:rsid w:val="00582788"/>
    <w:rsid w:val="00582E68"/>
    <w:rsid w:val="00582E7F"/>
    <w:rsid w:val="00583276"/>
    <w:rsid w:val="0058341F"/>
    <w:rsid w:val="0058348C"/>
    <w:rsid w:val="00583523"/>
    <w:rsid w:val="00583529"/>
    <w:rsid w:val="005836A3"/>
    <w:rsid w:val="005836A5"/>
    <w:rsid w:val="005836EE"/>
    <w:rsid w:val="00583D11"/>
    <w:rsid w:val="005842CC"/>
    <w:rsid w:val="00584756"/>
    <w:rsid w:val="005849D0"/>
    <w:rsid w:val="00584A1A"/>
    <w:rsid w:val="00584A48"/>
    <w:rsid w:val="00584A4E"/>
    <w:rsid w:val="00585087"/>
    <w:rsid w:val="00585153"/>
    <w:rsid w:val="00585BB1"/>
    <w:rsid w:val="00585D87"/>
    <w:rsid w:val="00585E26"/>
    <w:rsid w:val="00585E74"/>
    <w:rsid w:val="00586270"/>
    <w:rsid w:val="0058660A"/>
    <w:rsid w:val="0058685A"/>
    <w:rsid w:val="00586B06"/>
    <w:rsid w:val="00586BD2"/>
    <w:rsid w:val="00587420"/>
    <w:rsid w:val="00587988"/>
    <w:rsid w:val="00587AE1"/>
    <w:rsid w:val="00587EB5"/>
    <w:rsid w:val="00587F85"/>
    <w:rsid w:val="005900C4"/>
    <w:rsid w:val="00590107"/>
    <w:rsid w:val="00590600"/>
    <w:rsid w:val="00590775"/>
    <w:rsid w:val="00590794"/>
    <w:rsid w:val="00590999"/>
    <w:rsid w:val="00591055"/>
    <w:rsid w:val="00591322"/>
    <w:rsid w:val="0059186E"/>
    <w:rsid w:val="005918AF"/>
    <w:rsid w:val="005918B6"/>
    <w:rsid w:val="00591ACB"/>
    <w:rsid w:val="00591B27"/>
    <w:rsid w:val="00591F15"/>
    <w:rsid w:val="00591FA0"/>
    <w:rsid w:val="00591FA9"/>
    <w:rsid w:val="00592039"/>
    <w:rsid w:val="0059214E"/>
    <w:rsid w:val="00592227"/>
    <w:rsid w:val="005925E2"/>
    <w:rsid w:val="00592B49"/>
    <w:rsid w:val="00592B79"/>
    <w:rsid w:val="00592C96"/>
    <w:rsid w:val="00592E56"/>
    <w:rsid w:val="005931EF"/>
    <w:rsid w:val="005932BF"/>
    <w:rsid w:val="005934BE"/>
    <w:rsid w:val="00593564"/>
    <w:rsid w:val="005936D5"/>
    <w:rsid w:val="00593979"/>
    <w:rsid w:val="00593B5C"/>
    <w:rsid w:val="005943E6"/>
    <w:rsid w:val="00594653"/>
    <w:rsid w:val="00594A27"/>
    <w:rsid w:val="0059516A"/>
    <w:rsid w:val="00595221"/>
    <w:rsid w:val="005955D0"/>
    <w:rsid w:val="0059598D"/>
    <w:rsid w:val="005959F8"/>
    <w:rsid w:val="00595B99"/>
    <w:rsid w:val="00595C17"/>
    <w:rsid w:val="00596049"/>
    <w:rsid w:val="00596111"/>
    <w:rsid w:val="005961A6"/>
    <w:rsid w:val="00596213"/>
    <w:rsid w:val="005966E9"/>
    <w:rsid w:val="0059692A"/>
    <w:rsid w:val="005969A4"/>
    <w:rsid w:val="00596B77"/>
    <w:rsid w:val="00596C52"/>
    <w:rsid w:val="00596C67"/>
    <w:rsid w:val="00596D39"/>
    <w:rsid w:val="00596F6A"/>
    <w:rsid w:val="005971B0"/>
    <w:rsid w:val="0059777A"/>
    <w:rsid w:val="00597967"/>
    <w:rsid w:val="005979DD"/>
    <w:rsid w:val="00597F25"/>
    <w:rsid w:val="00597F35"/>
    <w:rsid w:val="005A048E"/>
    <w:rsid w:val="005A0B80"/>
    <w:rsid w:val="005A10D3"/>
    <w:rsid w:val="005A12B8"/>
    <w:rsid w:val="005A1398"/>
    <w:rsid w:val="005A13B2"/>
    <w:rsid w:val="005A153F"/>
    <w:rsid w:val="005A161B"/>
    <w:rsid w:val="005A1847"/>
    <w:rsid w:val="005A18E4"/>
    <w:rsid w:val="005A19C2"/>
    <w:rsid w:val="005A1E03"/>
    <w:rsid w:val="005A20D2"/>
    <w:rsid w:val="005A21A5"/>
    <w:rsid w:val="005A2501"/>
    <w:rsid w:val="005A276F"/>
    <w:rsid w:val="005A2945"/>
    <w:rsid w:val="005A2AE2"/>
    <w:rsid w:val="005A2B5E"/>
    <w:rsid w:val="005A2BE9"/>
    <w:rsid w:val="005A2BF8"/>
    <w:rsid w:val="005A2DAD"/>
    <w:rsid w:val="005A310F"/>
    <w:rsid w:val="005A3477"/>
    <w:rsid w:val="005A360A"/>
    <w:rsid w:val="005A3661"/>
    <w:rsid w:val="005A3BAA"/>
    <w:rsid w:val="005A3CFE"/>
    <w:rsid w:val="005A3E25"/>
    <w:rsid w:val="005A3F39"/>
    <w:rsid w:val="005A4176"/>
    <w:rsid w:val="005A41F7"/>
    <w:rsid w:val="005A4654"/>
    <w:rsid w:val="005A46BC"/>
    <w:rsid w:val="005A47A3"/>
    <w:rsid w:val="005A48B6"/>
    <w:rsid w:val="005A4AFB"/>
    <w:rsid w:val="005A4B21"/>
    <w:rsid w:val="005A4E98"/>
    <w:rsid w:val="005A4FAC"/>
    <w:rsid w:val="005A560C"/>
    <w:rsid w:val="005A5A07"/>
    <w:rsid w:val="005A5BDB"/>
    <w:rsid w:val="005A5DA7"/>
    <w:rsid w:val="005A6213"/>
    <w:rsid w:val="005A62A5"/>
    <w:rsid w:val="005A6516"/>
    <w:rsid w:val="005A6C0F"/>
    <w:rsid w:val="005A6CC8"/>
    <w:rsid w:val="005A6D75"/>
    <w:rsid w:val="005A6ED4"/>
    <w:rsid w:val="005A705B"/>
    <w:rsid w:val="005A7171"/>
    <w:rsid w:val="005A71B3"/>
    <w:rsid w:val="005A71BC"/>
    <w:rsid w:val="005A7307"/>
    <w:rsid w:val="005A75F0"/>
    <w:rsid w:val="005A7824"/>
    <w:rsid w:val="005A7C04"/>
    <w:rsid w:val="005A7C67"/>
    <w:rsid w:val="005A7CA0"/>
    <w:rsid w:val="005A7D5F"/>
    <w:rsid w:val="005A7E5C"/>
    <w:rsid w:val="005A7F47"/>
    <w:rsid w:val="005B00BB"/>
    <w:rsid w:val="005B00D4"/>
    <w:rsid w:val="005B00FD"/>
    <w:rsid w:val="005B0364"/>
    <w:rsid w:val="005B03AE"/>
    <w:rsid w:val="005B07CB"/>
    <w:rsid w:val="005B0CDF"/>
    <w:rsid w:val="005B0F98"/>
    <w:rsid w:val="005B1196"/>
    <w:rsid w:val="005B11A7"/>
    <w:rsid w:val="005B16C9"/>
    <w:rsid w:val="005B1967"/>
    <w:rsid w:val="005B1ADA"/>
    <w:rsid w:val="005B204C"/>
    <w:rsid w:val="005B20D0"/>
    <w:rsid w:val="005B23FB"/>
    <w:rsid w:val="005B2419"/>
    <w:rsid w:val="005B261A"/>
    <w:rsid w:val="005B26DA"/>
    <w:rsid w:val="005B2948"/>
    <w:rsid w:val="005B2FBF"/>
    <w:rsid w:val="005B34D4"/>
    <w:rsid w:val="005B3935"/>
    <w:rsid w:val="005B3D0B"/>
    <w:rsid w:val="005B3E4D"/>
    <w:rsid w:val="005B416B"/>
    <w:rsid w:val="005B4387"/>
    <w:rsid w:val="005B44F0"/>
    <w:rsid w:val="005B4B94"/>
    <w:rsid w:val="005B4D54"/>
    <w:rsid w:val="005B4DB8"/>
    <w:rsid w:val="005B4E14"/>
    <w:rsid w:val="005B4E74"/>
    <w:rsid w:val="005B4EC5"/>
    <w:rsid w:val="005B4F35"/>
    <w:rsid w:val="005B50B8"/>
    <w:rsid w:val="005B50BD"/>
    <w:rsid w:val="005B52F7"/>
    <w:rsid w:val="005B58FA"/>
    <w:rsid w:val="005B59BD"/>
    <w:rsid w:val="005B5B1B"/>
    <w:rsid w:val="005B5F77"/>
    <w:rsid w:val="005B606F"/>
    <w:rsid w:val="005B6139"/>
    <w:rsid w:val="005B624C"/>
    <w:rsid w:val="005B6314"/>
    <w:rsid w:val="005B660B"/>
    <w:rsid w:val="005B6739"/>
    <w:rsid w:val="005B69ED"/>
    <w:rsid w:val="005B6AF0"/>
    <w:rsid w:val="005B6B04"/>
    <w:rsid w:val="005B6BDF"/>
    <w:rsid w:val="005B6D03"/>
    <w:rsid w:val="005B72E8"/>
    <w:rsid w:val="005B731B"/>
    <w:rsid w:val="005B78B1"/>
    <w:rsid w:val="005B7B57"/>
    <w:rsid w:val="005B7C6C"/>
    <w:rsid w:val="005B7F46"/>
    <w:rsid w:val="005C01C8"/>
    <w:rsid w:val="005C01CE"/>
    <w:rsid w:val="005C0424"/>
    <w:rsid w:val="005C04B6"/>
    <w:rsid w:val="005C0717"/>
    <w:rsid w:val="005C0BB3"/>
    <w:rsid w:val="005C0E1E"/>
    <w:rsid w:val="005C0E3F"/>
    <w:rsid w:val="005C0E9A"/>
    <w:rsid w:val="005C0F00"/>
    <w:rsid w:val="005C1148"/>
    <w:rsid w:val="005C1625"/>
    <w:rsid w:val="005C16FD"/>
    <w:rsid w:val="005C1843"/>
    <w:rsid w:val="005C187F"/>
    <w:rsid w:val="005C1B81"/>
    <w:rsid w:val="005C1CDD"/>
    <w:rsid w:val="005C1E63"/>
    <w:rsid w:val="005C2017"/>
    <w:rsid w:val="005C2074"/>
    <w:rsid w:val="005C2112"/>
    <w:rsid w:val="005C21DA"/>
    <w:rsid w:val="005C266B"/>
    <w:rsid w:val="005C2761"/>
    <w:rsid w:val="005C27AC"/>
    <w:rsid w:val="005C298B"/>
    <w:rsid w:val="005C2A96"/>
    <w:rsid w:val="005C2D5C"/>
    <w:rsid w:val="005C2FB7"/>
    <w:rsid w:val="005C3710"/>
    <w:rsid w:val="005C381F"/>
    <w:rsid w:val="005C39AC"/>
    <w:rsid w:val="005C3B23"/>
    <w:rsid w:val="005C3C05"/>
    <w:rsid w:val="005C3D7A"/>
    <w:rsid w:val="005C3E89"/>
    <w:rsid w:val="005C43E4"/>
    <w:rsid w:val="005C4586"/>
    <w:rsid w:val="005C47A4"/>
    <w:rsid w:val="005C4971"/>
    <w:rsid w:val="005C4BE6"/>
    <w:rsid w:val="005C4C85"/>
    <w:rsid w:val="005C4D9A"/>
    <w:rsid w:val="005C507D"/>
    <w:rsid w:val="005C50B9"/>
    <w:rsid w:val="005C530E"/>
    <w:rsid w:val="005C59EC"/>
    <w:rsid w:val="005C5BA2"/>
    <w:rsid w:val="005C5CF4"/>
    <w:rsid w:val="005C5D65"/>
    <w:rsid w:val="005C6057"/>
    <w:rsid w:val="005C6181"/>
    <w:rsid w:val="005C6191"/>
    <w:rsid w:val="005C62B7"/>
    <w:rsid w:val="005C63D4"/>
    <w:rsid w:val="005C6661"/>
    <w:rsid w:val="005C6737"/>
    <w:rsid w:val="005C69CC"/>
    <w:rsid w:val="005C6B0C"/>
    <w:rsid w:val="005C73F6"/>
    <w:rsid w:val="005C7675"/>
    <w:rsid w:val="005C78D4"/>
    <w:rsid w:val="005C7970"/>
    <w:rsid w:val="005C7D7D"/>
    <w:rsid w:val="005C7E08"/>
    <w:rsid w:val="005C7F45"/>
    <w:rsid w:val="005C7FC1"/>
    <w:rsid w:val="005D02DD"/>
    <w:rsid w:val="005D04B5"/>
    <w:rsid w:val="005D05F8"/>
    <w:rsid w:val="005D076C"/>
    <w:rsid w:val="005D0C92"/>
    <w:rsid w:val="005D0D17"/>
    <w:rsid w:val="005D1239"/>
    <w:rsid w:val="005D13FA"/>
    <w:rsid w:val="005D1571"/>
    <w:rsid w:val="005D181A"/>
    <w:rsid w:val="005D18EB"/>
    <w:rsid w:val="005D1911"/>
    <w:rsid w:val="005D1BE1"/>
    <w:rsid w:val="005D1CB4"/>
    <w:rsid w:val="005D1FC5"/>
    <w:rsid w:val="005D2023"/>
    <w:rsid w:val="005D216B"/>
    <w:rsid w:val="005D21D2"/>
    <w:rsid w:val="005D22F7"/>
    <w:rsid w:val="005D25EF"/>
    <w:rsid w:val="005D275B"/>
    <w:rsid w:val="005D276C"/>
    <w:rsid w:val="005D29AC"/>
    <w:rsid w:val="005D2C3B"/>
    <w:rsid w:val="005D2C8C"/>
    <w:rsid w:val="005D2D58"/>
    <w:rsid w:val="005D2F57"/>
    <w:rsid w:val="005D3039"/>
    <w:rsid w:val="005D3145"/>
    <w:rsid w:val="005D3271"/>
    <w:rsid w:val="005D329E"/>
    <w:rsid w:val="005D32A3"/>
    <w:rsid w:val="005D3568"/>
    <w:rsid w:val="005D35C2"/>
    <w:rsid w:val="005D383F"/>
    <w:rsid w:val="005D3AE9"/>
    <w:rsid w:val="005D4715"/>
    <w:rsid w:val="005D47BE"/>
    <w:rsid w:val="005D481F"/>
    <w:rsid w:val="005D48D2"/>
    <w:rsid w:val="005D4AF7"/>
    <w:rsid w:val="005D4E69"/>
    <w:rsid w:val="005D54B1"/>
    <w:rsid w:val="005D5713"/>
    <w:rsid w:val="005D590A"/>
    <w:rsid w:val="005D5BA6"/>
    <w:rsid w:val="005D5C8A"/>
    <w:rsid w:val="005D5D5B"/>
    <w:rsid w:val="005D5E86"/>
    <w:rsid w:val="005D5F94"/>
    <w:rsid w:val="005D5FED"/>
    <w:rsid w:val="005D6171"/>
    <w:rsid w:val="005D618B"/>
    <w:rsid w:val="005D61BE"/>
    <w:rsid w:val="005D673C"/>
    <w:rsid w:val="005D6D83"/>
    <w:rsid w:val="005D728C"/>
    <w:rsid w:val="005D772D"/>
    <w:rsid w:val="005D78B7"/>
    <w:rsid w:val="005D7B3E"/>
    <w:rsid w:val="005D7CA2"/>
    <w:rsid w:val="005D7E9F"/>
    <w:rsid w:val="005D7F8B"/>
    <w:rsid w:val="005E0051"/>
    <w:rsid w:val="005E016F"/>
    <w:rsid w:val="005E030F"/>
    <w:rsid w:val="005E045C"/>
    <w:rsid w:val="005E0580"/>
    <w:rsid w:val="005E0602"/>
    <w:rsid w:val="005E0778"/>
    <w:rsid w:val="005E091A"/>
    <w:rsid w:val="005E097F"/>
    <w:rsid w:val="005E09AB"/>
    <w:rsid w:val="005E09B0"/>
    <w:rsid w:val="005E0EDD"/>
    <w:rsid w:val="005E0FC4"/>
    <w:rsid w:val="005E10C0"/>
    <w:rsid w:val="005E12A8"/>
    <w:rsid w:val="005E1553"/>
    <w:rsid w:val="005E166B"/>
    <w:rsid w:val="005E16BA"/>
    <w:rsid w:val="005E1830"/>
    <w:rsid w:val="005E19B3"/>
    <w:rsid w:val="005E1C13"/>
    <w:rsid w:val="005E1F2B"/>
    <w:rsid w:val="005E1F44"/>
    <w:rsid w:val="005E2203"/>
    <w:rsid w:val="005E2278"/>
    <w:rsid w:val="005E22B7"/>
    <w:rsid w:val="005E2727"/>
    <w:rsid w:val="005E272E"/>
    <w:rsid w:val="005E29A4"/>
    <w:rsid w:val="005E2A15"/>
    <w:rsid w:val="005E2A1A"/>
    <w:rsid w:val="005E2F47"/>
    <w:rsid w:val="005E31A3"/>
    <w:rsid w:val="005E32B4"/>
    <w:rsid w:val="005E348A"/>
    <w:rsid w:val="005E3641"/>
    <w:rsid w:val="005E3C0D"/>
    <w:rsid w:val="005E3CA6"/>
    <w:rsid w:val="005E426E"/>
    <w:rsid w:val="005E433B"/>
    <w:rsid w:val="005E46E4"/>
    <w:rsid w:val="005E471E"/>
    <w:rsid w:val="005E4979"/>
    <w:rsid w:val="005E49BD"/>
    <w:rsid w:val="005E4BD6"/>
    <w:rsid w:val="005E4E25"/>
    <w:rsid w:val="005E5300"/>
    <w:rsid w:val="005E547D"/>
    <w:rsid w:val="005E574A"/>
    <w:rsid w:val="005E5775"/>
    <w:rsid w:val="005E57CD"/>
    <w:rsid w:val="005E58D0"/>
    <w:rsid w:val="005E5B58"/>
    <w:rsid w:val="005E5E15"/>
    <w:rsid w:val="005E5FF7"/>
    <w:rsid w:val="005E6084"/>
    <w:rsid w:val="005E6292"/>
    <w:rsid w:val="005E6388"/>
    <w:rsid w:val="005E65A1"/>
    <w:rsid w:val="005E68CA"/>
    <w:rsid w:val="005E69A0"/>
    <w:rsid w:val="005E6D29"/>
    <w:rsid w:val="005E7207"/>
    <w:rsid w:val="005E747C"/>
    <w:rsid w:val="005E75FD"/>
    <w:rsid w:val="005E784C"/>
    <w:rsid w:val="005E7B8A"/>
    <w:rsid w:val="005E7C64"/>
    <w:rsid w:val="005E7E30"/>
    <w:rsid w:val="005F02BB"/>
    <w:rsid w:val="005F04F2"/>
    <w:rsid w:val="005F0759"/>
    <w:rsid w:val="005F0A03"/>
    <w:rsid w:val="005F0BBC"/>
    <w:rsid w:val="005F0D67"/>
    <w:rsid w:val="005F0F4F"/>
    <w:rsid w:val="005F1079"/>
    <w:rsid w:val="005F148A"/>
    <w:rsid w:val="005F14F9"/>
    <w:rsid w:val="005F15CE"/>
    <w:rsid w:val="005F189B"/>
    <w:rsid w:val="005F18B4"/>
    <w:rsid w:val="005F1A13"/>
    <w:rsid w:val="005F1E54"/>
    <w:rsid w:val="005F1E70"/>
    <w:rsid w:val="005F1ED9"/>
    <w:rsid w:val="005F25B7"/>
    <w:rsid w:val="005F2C18"/>
    <w:rsid w:val="005F30F9"/>
    <w:rsid w:val="005F33BC"/>
    <w:rsid w:val="005F3433"/>
    <w:rsid w:val="005F35C4"/>
    <w:rsid w:val="005F35D6"/>
    <w:rsid w:val="005F381C"/>
    <w:rsid w:val="005F3950"/>
    <w:rsid w:val="005F4029"/>
    <w:rsid w:val="005F403E"/>
    <w:rsid w:val="005F40CF"/>
    <w:rsid w:val="005F4131"/>
    <w:rsid w:val="005F42B3"/>
    <w:rsid w:val="005F43C7"/>
    <w:rsid w:val="005F45D0"/>
    <w:rsid w:val="005F460E"/>
    <w:rsid w:val="005F4A14"/>
    <w:rsid w:val="005F4A76"/>
    <w:rsid w:val="005F4C23"/>
    <w:rsid w:val="005F4CD7"/>
    <w:rsid w:val="005F4D05"/>
    <w:rsid w:val="005F4DF4"/>
    <w:rsid w:val="005F513E"/>
    <w:rsid w:val="005F5181"/>
    <w:rsid w:val="005F5275"/>
    <w:rsid w:val="005F54F8"/>
    <w:rsid w:val="005F55FF"/>
    <w:rsid w:val="005F577F"/>
    <w:rsid w:val="005F5B5E"/>
    <w:rsid w:val="005F5BC2"/>
    <w:rsid w:val="005F5EB8"/>
    <w:rsid w:val="005F6109"/>
    <w:rsid w:val="005F65BE"/>
    <w:rsid w:val="005F66A6"/>
    <w:rsid w:val="005F678E"/>
    <w:rsid w:val="005F68EC"/>
    <w:rsid w:val="005F6B25"/>
    <w:rsid w:val="005F6B71"/>
    <w:rsid w:val="005F6CB4"/>
    <w:rsid w:val="005F6D14"/>
    <w:rsid w:val="005F72B9"/>
    <w:rsid w:val="005F7743"/>
    <w:rsid w:val="005F78FD"/>
    <w:rsid w:val="005F7940"/>
    <w:rsid w:val="005F7BF0"/>
    <w:rsid w:val="005F7D30"/>
    <w:rsid w:val="005F7DB3"/>
    <w:rsid w:val="005F7E73"/>
    <w:rsid w:val="00600306"/>
    <w:rsid w:val="00600855"/>
    <w:rsid w:val="0060085F"/>
    <w:rsid w:val="006008A8"/>
    <w:rsid w:val="006013AD"/>
    <w:rsid w:val="006014E0"/>
    <w:rsid w:val="00601667"/>
    <w:rsid w:val="006016C4"/>
    <w:rsid w:val="006018FD"/>
    <w:rsid w:val="00601992"/>
    <w:rsid w:val="00601D74"/>
    <w:rsid w:val="00601E56"/>
    <w:rsid w:val="00602038"/>
    <w:rsid w:val="00602174"/>
    <w:rsid w:val="0060224A"/>
    <w:rsid w:val="00602401"/>
    <w:rsid w:val="00602500"/>
    <w:rsid w:val="00602AB4"/>
    <w:rsid w:val="00602BBE"/>
    <w:rsid w:val="00602CA5"/>
    <w:rsid w:val="00602CCE"/>
    <w:rsid w:val="0060301B"/>
    <w:rsid w:val="00603028"/>
    <w:rsid w:val="006033B6"/>
    <w:rsid w:val="006034DF"/>
    <w:rsid w:val="00603C09"/>
    <w:rsid w:val="00603C9D"/>
    <w:rsid w:val="006043EE"/>
    <w:rsid w:val="006046B1"/>
    <w:rsid w:val="0060474A"/>
    <w:rsid w:val="00604A69"/>
    <w:rsid w:val="00604C73"/>
    <w:rsid w:val="00604E8C"/>
    <w:rsid w:val="00605014"/>
    <w:rsid w:val="0060504B"/>
    <w:rsid w:val="00605198"/>
    <w:rsid w:val="0060523F"/>
    <w:rsid w:val="00605645"/>
    <w:rsid w:val="006059E0"/>
    <w:rsid w:val="00605A00"/>
    <w:rsid w:val="00605CC0"/>
    <w:rsid w:val="00605E17"/>
    <w:rsid w:val="00606041"/>
    <w:rsid w:val="00606245"/>
    <w:rsid w:val="006063F4"/>
    <w:rsid w:val="0060671E"/>
    <w:rsid w:val="00606A06"/>
    <w:rsid w:val="00606DD5"/>
    <w:rsid w:val="00606E37"/>
    <w:rsid w:val="0060715B"/>
    <w:rsid w:val="00607414"/>
    <w:rsid w:val="00607B7B"/>
    <w:rsid w:val="00607BD8"/>
    <w:rsid w:val="00607C0B"/>
    <w:rsid w:val="00607F79"/>
    <w:rsid w:val="00610378"/>
    <w:rsid w:val="006104DA"/>
    <w:rsid w:val="00610933"/>
    <w:rsid w:val="00610A30"/>
    <w:rsid w:val="00610C59"/>
    <w:rsid w:val="00610C65"/>
    <w:rsid w:val="00610E78"/>
    <w:rsid w:val="00610EFD"/>
    <w:rsid w:val="00610FCA"/>
    <w:rsid w:val="0061190C"/>
    <w:rsid w:val="00611A15"/>
    <w:rsid w:val="00611DBF"/>
    <w:rsid w:val="006121B6"/>
    <w:rsid w:val="006122F8"/>
    <w:rsid w:val="00612457"/>
    <w:rsid w:val="006126F6"/>
    <w:rsid w:val="006127F9"/>
    <w:rsid w:val="0061285E"/>
    <w:rsid w:val="0061294A"/>
    <w:rsid w:val="00612A59"/>
    <w:rsid w:val="00612C5B"/>
    <w:rsid w:val="00612E27"/>
    <w:rsid w:val="00612E85"/>
    <w:rsid w:val="00613202"/>
    <w:rsid w:val="00613299"/>
    <w:rsid w:val="006132E3"/>
    <w:rsid w:val="006139F9"/>
    <w:rsid w:val="00613AC8"/>
    <w:rsid w:val="00613C94"/>
    <w:rsid w:val="00613EF4"/>
    <w:rsid w:val="00614588"/>
    <w:rsid w:val="006145C7"/>
    <w:rsid w:val="0061475B"/>
    <w:rsid w:val="006149C3"/>
    <w:rsid w:val="00614D28"/>
    <w:rsid w:val="00614D52"/>
    <w:rsid w:val="00614FCD"/>
    <w:rsid w:val="0061507A"/>
    <w:rsid w:val="0061524B"/>
    <w:rsid w:val="006153FC"/>
    <w:rsid w:val="006155D8"/>
    <w:rsid w:val="00615681"/>
    <w:rsid w:val="0061598E"/>
    <w:rsid w:val="00615DFD"/>
    <w:rsid w:val="00615E92"/>
    <w:rsid w:val="0061606D"/>
    <w:rsid w:val="00616127"/>
    <w:rsid w:val="00616212"/>
    <w:rsid w:val="00616781"/>
    <w:rsid w:val="006167E2"/>
    <w:rsid w:val="0061692C"/>
    <w:rsid w:val="006169DD"/>
    <w:rsid w:val="00616A43"/>
    <w:rsid w:val="00616B53"/>
    <w:rsid w:val="00616CBD"/>
    <w:rsid w:val="00616EC7"/>
    <w:rsid w:val="00616F5D"/>
    <w:rsid w:val="006171CE"/>
    <w:rsid w:val="00617243"/>
    <w:rsid w:val="006173A7"/>
    <w:rsid w:val="006176C8"/>
    <w:rsid w:val="006179B6"/>
    <w:rsid w:val="00617A72"/>
    <w:rsid w:val="00617B23"/>
    <w:rsid w:val="00617C53"/>
    <w:rsid w:val="00617FD0"/>
    <w:rsid w:val="006203DC"/>
    <w:rsid w:val="00620501"/>
    <w:rsid w:val="006205BD"/>
    <w:rsid w:val="00621107"/>
    <w:rsid w:val="006212C8"/>
    <w:rsid w:val="0062138F"/>
    <w:rsid w:val="0062152B"/>
    <w:rsid w:val="00621681"/>
    <w:rsid w:val="006217D7"/>
    <w:rsid w:val="0062197D"/>
    <w:rsid w:val="00621A97"/>
    <w:rsid w:val="00621B33"/>
    <w:rsid w:val="00621C41"/>
    <w:rsid w:val="00621C66"/>
    <w:rsid w:val="00621FD1"/>
    <w:rsid w:val="006221F8"/>
    <w:rsid w:val="006223D4"/>
    <w:rsid w:val="006224DB"/>
    <w:rsid w:val="00622641"/>
    <w:rsid w:val="0062283C"/>
    <w:rsid w:val="00622949"/>
    <w:rsid w:val="006229A7"/>
    <w:rsid w:val="00622A6B"/>
    <w:rsid w:val="00622A9E"/>
    <w:rsid w:val="00622E5E"/>
    <w:rsid w:val="00622EDA"/>
    <w:rsid w:val="00622F64"/>
    <w:rsid w:val="006231BC"/>
    <w:rsid w:val="0062332A"/>
    <w:rsid w:val="006234FD"/>
    <w:rsid w:val="00623584"/>
    <w:rsid w:val="006235B9"/>
    <w:rsid w:val="00623AE8"/>
    <w:rsid w:val="00623CFE"/>
    <w:rsid w:val="00623E1A"/>
    <w:rsid w:val="006243A3"/>
    <w:rsid w:val="006245E9"/>
    <w:rsid w:val="00624604"/>
    <w:rsid w:val="00624668"/>
    <w:rsid w:val="006247C1"/>
    <w:rsid w:val="00624890"/>
    <w:rsid w:val="006248C8"/>
    <w:rsid w:val="0062492E"/>
    <w:rsid w:val="006249E3"/>
    <w:rsid w:val="00624A28"/>
    <w:rsid w:val="00624A65"/>
    <w:rsid w:val="00624DC0"/>
    <w:rsid w:val="0062513C"/>
    <w:rsid w:val="00625350"/>
    <w:rsid w:val="00625A27"/>
    <w:rsid w:val="00625AA9"/>
    <w:rsid w:val="00625C79"/>
    <w:rsid w:val="00625EB8"/>
    <w:rsid w:val="00625EEE"/>
    <w:rsid w:val="00626010"/>
    <w:rsid w:val="00626317"/>
    <w:rsid w:val="006265C9"/>
    <w:rsid w:val="006266DB"/>
    <w:rsid w:val="00626757"/>
    <w:rsid w:val="006267A3"/>
    <w:rsid w:val="00626940"/>
    <w:rsid w:val="00626D07"/>
    <w:rsid w:val="00626D1C"/>
    <w:rsid w:val="0062706A"/>
    <w:rsid w:val="00627507"/>
    <w:rsid w:val="0062787D"/>
    <w:rsid w:val="00627B38"/>
    <w:rsid w:val="00627B74"/>
    <w:rsid w:val="00627EEE"/>
    <w:rsid w:val="0063034F"/>
    <w:rsid w:val="006303D2"/>
    <w:rsid w:val="0063053A"/>
    <w:rsid w:val="00630554"/>
    <w:rsid w:val="006306CD"/>
    <w:rsid w:val="00630C57"/>
    <w:rsid w:val="00630C9D"/>
    <w:rsid w:val="00630D09"/>
    <w:rsid w:val="00630E1E"/>
    <w:rsid w:val="00630E5E"/>
    <w:rsid w:val="006313CD"/>
    <w:rsid w:val="006317E0"/>
    <w:rsid w:val="00631D2A"/>
    <w:rsid w:val="00631DFB"/>
    <w:rsid w:val="006323B5"/>
    <w:rsid w:val="00632539"/>
    <w:rsid w:val="00632568"/>
    <w:rsid w:val="006334A7"/>
    <w:rsid w:val="006335A4"/>
    <w:rsid w:val="0063362C"/>
    <w:rsid w:val="006337E1"/>
    <w:rsid w:val="00633B2B"/>
    <w:rsid w:val="00633B3B"/>
    <w:rsid w:val="00633B85"/>
    <w:rsid w:val="00633CEE"/>
    <w:rsid w:val="00634031"/>
    <w:rsid w:val="006340E3"/>
    <w:rsid w:val="00634124"/>
    <w:rsid w:val="00634143"/>
    <w:rsid w:val="006343FA"/>
    <w:rsid w:val="006345DC"/>
    <w:rsid w:val="00634623"/>
    <w:rsid w:val="00634648"/>
    <w:rsid w:val="00634AFD"/>
    <w:rsid w:val="00634B96"/>
    <w:rsid w:val="00634CA9"/>
    <w:rsid w:val="006350E4"/>
    <w:rsid w:val="006351A2"/>
    <w:rsid w:val="0063542C"/>
    <w:rsid w:val="00635531"/>
    <w:rsid w:val="006357BE"/>
    <w:rsid w:val="00635A69"/>
    <w:rsid w:val="00635BCE"/>
    <w:rsid w:val="00636517"/>
    <w:rsid w:val="006365A5"/>
    <w:rsid w:val="0063690E"/>
    <w:rsid w:val="00636E69"/>
    <w:rsid w:val="00636F85"/>
    <w:rsid w:val="006370D6"/>
    <w:rsid w:val="006371F5"/>
    <w:rsid w:val="0063753A"/>
    <w:rsid w:val="006375B5"/>
    <w:rsid w:val="006376E3"/>
    <w:rsid w:val="00637790"/>
    <w:rsid w:val="0063780A"/>
    <w:rsid w:val="006379BD"/>
    <w:rsid w:val="00637F08"/>
    <w:rsid w:val="00640110"/>
    <w:rsid w:val="006401B6"/>
    <w:rsid w:val="0064092E"/>
    <w:rsid w:val="006409FC"/>
    <w:rsid w:val="00640AA4"/>
    <w:rsid w:val="00640B29"/>
    <w:rsid w:val="00640C87"/>
    <w:rsid w:val="00640D67"/>
    <w:rsid w:val="00640D6E"/>
    <w:rsid w:val="00640F63"/>
    <w:rsid w:val="00640FFC"/>
    <w:rsid w:val="006411D5"/>
    <w:rsid w:val="0064121B"/>
    <w:rsid w:val="00641599"/>
    <w:rsid w:val="00641968"/>
    <w:rsid w:val="0064197B"/>
    <w:rsid w:val="00641ABF"/>
    <w:rsid w:val="00641CCC"/>
    <w:rsid w:val="00641EC7"/>
    <w:rsid w:val="00641F5B"/>
    <w:rsid w:val="0064203B"/>
    <w:rsid w:val="0064206B"/>
    <w:rsid w:val="0064234E"/>
    <w:rsid w:val="006424FC"/>
    <w:rsid w:val="00642845"/>
    <w:rsid w:val="006428B5"/>
    <w:rsid w:val="00642A67"/>
    <w:rsid w:val="00642C86"/>
    <w:rsid w:val="00642DAE"/>
    <w:rsid w:val="00642E8B"/>
    <w:rsid w:val="0064312B"/>
    <w:rsid w:val="0064313E"/>
    <w:rsid w:val="00643236"/>
    <w:rsid w:val="006433E3"/>
    <w:rsid w:val="006439A8"/>
    <w:rsid w:val="00643D2F"/>
    <w:rsid w:val="006440B6"/>
    <w:rsid w:val="00644359"/>
    <w:rsid w:val="00644482"/>
    <w:rsid w:val="00644507"/>
    <w:rsid w:val="006446DB"/>
    <w:rsid w:val="00644AAD"/>
    <w:rsid w:val="00644E70"/>
    <w:rsid w:val="00644FCA"/>
    <w:rsid w:val="00644FE7"/>
    <w:rsid w:val="00644FEA"/>
    <w:rsid w:val="006451A3"/>
    <w:rsid w:val="00645240"/>
    <w:rsid w:val="006453EC"/>
    <w:rsid w:val="00645473"/>
    <w:rsid w:val="006459C8"/>
    <w:rsid w:val="006459FE"/>
    <w:rsid w:val="00645ABD"/>
    <w:rsid w:val="00645BF4"/>
    <w:rsid w:val="0064618A"/>
    <w:rsid w:val="0064622C"/>
    <w:rsid w:val="0064639B"/>
    <w:rsid w:val="006464D6"/>
    <w:rsid w:val="00646630"/>
    <w:rsid w:val="00646643"/>
    <w:rsid w:val="006469FC"/>
    <w:rsid w:val="00646B78"/>
    <w:rsid w:val="00646C35"/>
    <w:rsid w:val="00646D6E"/>
    <w:rsid w:val="0064702F"/>
    <w:rsid w:val="006471A8"/>
    <w:rsid w:val="00647226"/>
    <w:rsid w:val="00647582"/>
    <w:rsid w:val="0064780B"/>
    <w:rsid w:val="006479EE"/>
    <w:rsid w:val="00647B1C"/>
    <w:rsid w:val="00647C52"/>
    <w:rsid w:val="00647CC7"/>
    <w:rsid w:val="00647FFE"/>
    <w:rsid w:val="00650087"/>
    <w:rsid w:val="006504A7"/>
    <w:rsid w:val="00650505"/>
    <w:rsid w:val="006505BA"/>
    <w:rsid w:val="0065064F"/>
    <w:rsid w:val="0065065E"/>
    <w:rsid w:val="00650CFF"/>
    <w:rsid w:val="00650EA0"/>
    <w:rsid w:val="0065114D"/>
    <w:rsid w:val="0065156C"/>
    <w:rsid w:val="00651630"/>
    <w:rsid w:val="00651BA6"/>
    <w:rsid w:val="00651D27"/>
    <w:rsid w:val="00651FA8"/>
    <w:rsid w:val="006520EA"/>
    <w:rsid w:val="006520F8"/>
    <w:rsid w:val="006522D0"/>
    <w:rsid w:val="006523F5"/>
    <w:rsid w:val="006524E8"/>
    <w:rsid w:val="006525D2"/>
    <w:rsid w:val="006527F6"/>
    <w:rsid w:val="006529F0"/>
    <w:rsid w:val="00652B2B"/>
    <w:rsid w:val="00652E26"/>
    <w:rsid w:val="00652F8D"/>
    <w:rsid w:val="00652FDC"/>
    <w:rsid w:val="00653012"/>
    <w:rsid w:val="0065326F"/>
    <w:rsid w:val="00653365"/>
    <w:rsid w:val="00653456"/>
    <w:rsid w:val="006535AD"/>
    <w:rsid w:val="006535B2"/>
    <w:rsid w:val="006535B4"/>
    <w:rsid w:val="0065389D"/>
    <w:rsid w:val="00653B93"/>
    <w:rsid w:val="00653C99"/>
    <w:rsid w:val="00653CEC"/>
    <w:rsid w:val="00653EF1"/>
    <w:rsid w:val="00653F1E"/>
    <w:rsid w:val="00654697"/>
    <w:rsid w:val="00654810"/>
    <w:rsid w:val="006548D2"/>
    <w:rsid w:val="0065492E"/>
    <w:rsid w:val="00654AAD"/>
    <w:rsid w:val="00654C9F"/>
    <w:rsid w:val="006551CC"/>
    <w:rsid w:val="006552A5"/>
    <w:rsid w:val="006555A6"/>
    <w:rsid w:val="00655A6D"/>
    <w:rsid w:val="00655CB5"/>
    <w:rsid w:val="00655EC5"/>
    <w:rsid w:val="00655F62"/>
    <w:rsid w:val="00655F68"/>
    <w:rsid w:val="00656117"/>
    <w:rsid w:val="00656169"/>
    <w:rsid w:val="006561AD"/>
    <w:rsid w:val="0065656C"/>
    <w:rsid w:val="006567B8"/>
    <w:rsid w:val="00656C3C"/>
    <w:rsid w:val="00656C62"/>
    <w:rsid w:val="00656DF1"/>
    <w:rsid w:val="00656F35"/>
    <w:rsid w:val="006574EB"/>
    <w:rsid w:val="0065769A"/>
    <w:rsid w:val="00657AC5"/>
    <w:rsid w:val="00657C94"/>
    <w:rsid w:val="00657CE3"/>
    <w:rsid w:val="00657D34"/>
    <w:rsid w:val="00657DAA"/>
    <w:rsid w:val="00657E7A"/>
    <w:rsid w:val="00660294"/>
    <w:rsid w:val="00660A35"/>
    <w:rsid w:val="00660A44"/>
    <w:rsid w:val="00660D75"/>
    <w:rsid w:val="00660D77"/>
    <w:rsid w:val="00661122"/>
    <w:rsid w:val="00661312"/>
    <w:rsid w:val="00661491"/>
    <w:rsid w:val="0066186D"/>
    <w:rsid w:val="00661A0A"/>
    <w:rsid w:val="00661A7F"/>
    <w:rsid w:val="00661CE6"/>
    <w:rsid w:val="006622D7"/>
    <w:rsid w:val="0066247C"/>
    <w:rsid w:val="006626DC"/>
    <w:rsid w:val="0066287C"/>
    <w:rsid w:val="00662B61"/>
    <w:rsid w:val="00662C3F"/>
    <w:rsid w:val="00662DDB"/>
    <w:rsid w:val="00662F86"/>
    <w:rsid w:val="00663437"/>
    <w:rsid w:val="006634A3"/>
    <w:rsid w:val="006636EF"/>
    <w:rsid w:val="0066385D"/>
    <w:rsid w:val="00663951"/>
    <w:rsid w:val="00663B33"/>
    <w:rsid w:val="00663B5A"/>
    <w:rsid w:val="00663BF6"/>
    <w:rsid w:val="006643BA"/>
    <w:rsid w:val="0066462E"/>
    <w:rsid w:val="00664668"/>
    <w:rsid w:val="00664D82"/>
    <w:rsid w:val="00664F8E"/>
    <w:rsid w:val="00665434"/>
    <w:rsid w:val="006654D4"/>
    <w:rsid w:val="00665CDF"/>
    <w:rsid w:val="00666035"/>
    <w:rsid w:val="006661C4"/>
    <w:rsid w:val="00666361"/>
    <w:rsid w:val="0066638A"/>
    <w:rsid w:val="006664F7"/>
    <w:rsid w:val="00666699"/>
    <w:rsid w:val="0066697D"/>
    <w:rsid w:val="0066698B"/>
    <w:rsid w:val="00666A33"/>
    <w:rsid w:val="00666FE0"/>
    <w:rsid w:val="006672CE"/>
    <w:rsid w:val="006672EF"/>
    <w:rsid w:val="006673F2"/>
    <w:rsid w:val="00667A0D"/>
    <w:rsid w:val="00670303"/>
    <w:rsid w:val="006707FF"/>
    <w:rsid w:val="00670883"/>
    <w:rsid w:val="006709F4"/>
    <w:rsid w:val="00670B75"/>
    <w:rsid w:val="00670CD9"/>
    <w:rsid w:val="006711E4"/>
    <w:rsid w:val="0067133D"/>
    <w:rsid w:val="00671717"/>
    <w:rsid w:val="00671D5D"/>
    <w:rsid w:val="00671FE0"/>
    <w:rsid w:val="006720AB"/>
    <w:rsid w:val="0067221C"/>
    <w:rsid w:val="0067331D"/>
    <w:rsid w:val="0067334E"/>
    <w:rsid w:val="00673696"/>
    <w:rsid w:val="006737FD"/>
    <w:rsid w:val="00673A5C"/>
    <w:rsid w:val="00673C09"/>
    <w:rsid w:val="00673C98"/>
    <w:rsid w:val="00673D10"/>
    <w:rsid w:val="006745E6"/>
    <w:rsid w:val="006747E5"/>
    <w:rsid w:val="0067482A"/>
    <w:rsid w:val="006748B5"/>
    <w:rsid w:val="00674942"/>
    <w:rsid w:val="00674DAD"/>
    <w:rsid w:val="00674FDA"/>
    <w:rsid w:val="006750DA"/>
    <w:rsid w:val="00675290"/>
    <w:rsid w:val="00675791"/>
    <w:rsid w:val="00675918"/>
    <w:rsid w:val="00675E4E"/>
    <w:rsid w:val="00675FD7"/>
    <w:rsid w:val="006763A6"/>
    <w:rsid w:val="006768F9"/>
    <w:rsid w:val="00676921"/>
    <w:rsid w:val="00676A13"/>
    <w:rsid w:val="00676C88"/>
    <w:rsid w:val="00676D5D"/>
    <w:rsid w:val="00676FBF"/>
    <w:rsid w:val="00677119"/>
    <w:rsid w:val="00677332"/>
    <w:rsid w:val="00677434"/>
    <w:rsid w:val="006774E1"/>
    <w:rsid w:val="006777D1"/>
    <w:rsid w:val="00677862"/>
    <w:rsid w:val="00677AC8"/>
    <w:rsid w:val="00677AD2"/>
    <w:rsid w:val="00677CD4"/>
    <w:rsid w:val="00677D53"/>
    <w:rsid w:val="00677DB2"/>
    <w:rsid w:val="00680041"/>
    <w:rsid w:val="006801F3"/>
    <w:rsid w:val="0068022B"/>
    <w:rsid w:val="00680248"/>
    <w:rsid w:val="00680A5A"/>
    <w:rsid w:val="00680DC9"/>
    <w:rsid w:val="00680F3C"/>
    <w:rsid w:val="00681060"/>
    <w:rsid w:val="0068127A"/>
    <w:rsid w:val="006816B4"/>
    <w:rsid w:val="00681826"/>
    <w:rsid w:val="00681F1E"/>
    <w:rsid w:val="00681F9C"/>
    <w:rsid w:val="00682021"/>
    <w:rsid w:val="0068237D"/>
    <w:rsid w:val="0068238A"/>
    <w:rsid w:val="00682976"/>
    <w:rsid w:val="00682ACB"/>
    <w:rsid w:val="00682B7A"/>
    <w:rsid w:val="00682C09"/>
    <w:rsid w:val="00682DEC"/>
    <w:rsid w:val="00682E6E"/>
    <w:rsid w:val="0068309C"/>
    <w:rsid w:val="00683176"/>
    <w:rsid w:val="00683259"/>
    <w:rsid w:val="0068326C"/>
    <w:rsid w:val="006833A7"/>
    <w:rsid w:val="006834F4"/>
    <w:rsid w:val="006835E9"/>
    <w:rsid w:val="00683743"/>
    <w:rsid w:val="0068380A"/>
    <w:rsid w:val="0068394F"/>
    <w:rsid w:val="00683B81"/>
    <w:rsid w:val="0068418B"/>
    <w:rsid w:val="00684231"/>
    <w:rsid w:val="00684505"/>
    <w:rsid w:val="00684598"/>
    <w:rsid w:val="00684B2D"/>
    <w:rsid w:val="00684B4E"/>
    <w:rsid w:val="00684FA0"/>
    <w:rsid w:val="00684FEC"/>
    <w:rsid w:val="0068501E"/>
    <w:rsid w:val="00685145"/>
    <w:rsid w:val="00685289"/>
    <w:rsid w:val="0068562C"/>
    <w:rsid w:val="00685A3E"/>
    <w:rsid w:val="00685B54"/>
    <w:rsid w:val="00685BF8"/>
    <w:rsid w:val="00685C16"/>
    <w:rsid w:val="0068632E"/>
    <w:rsid w:val="00686519"/>
    <w:rsid w:val="00686880"/>
    <w:rsid w:val="006868E0"/>
    <w:rsid w:val="00686A59"/>
    <w:rsid w:val="00686A9B"/>
    <w:rsid w:val="00686B8A"/>
    <w:rsid w:val="00686F4B"/>
    <w:rsid w:val="006873B5"/>
    <w:rsid w:val="0068758C"/>
    <w:rsid w:val="006876F9"/>
    <w:rsid w:val="00687A96"/>
    <w:rsid w:val="00687AB0"/>
    <w:rsid w:val="00687AB6"/>
    <w:rsid w:val="00687B19"/>
    <w:rsid w:val="00687C12"/>
    <w:rsid w:val="00687CD0"/>
    <w:rsid w:val="00687EA5"/>
    <w:rsid w:val="0069010B"/>
    <w:rsid w:val="00690316"/>
    <w:rsid w:val="0069070D"/>
    <w:rsid w:val="00690745"/>
    <w:rsid w:val="0069084E"/>
    <w:rsid w:val="00690892"/>
    <w:rsid w:val="006908F4"/>
    <w:rsid w:val="006908F6"/>
    <w:rsid w:val="00690976"/>
    <w:rsid w:val="006909AE"/>
    <w:rsid w:val="00690B47"/>
    <w:rsid w:val="0069107A"/>
    <w:rsid w:val="00691084"/>
    <w:rsid w:val="0069109E"/>
    <w:rsid w:val="0069121C"/>
    <w:rsid w:val="00691258"/>
    <w:rsid w:val="00691536"/>
    <w:rsid w:val="006915A8"/>
    <w:rsid w:val="0069193D"/>
    <w:rsid w:val="00692253"/>
    <w:rsid w:val="006923AD"/>
    <w:rsid w:val="00692452"/>
    <w:rsid w:val="0069286C"/>
    <w:rsid w:val="00692F49"/>
    <w:rsid w:val="006932FE"/>
    <w:rsid w:val="006939C2"/>
    <w:rsid w:val="00693CFA"/>
    <w:rsid w:val="00693EC2"/>
    <w:rsid w:val="00694969"/>
    <w:rsid w:val="00694CCF"/>
    <w:rsid w:val="00694D56"/>
    <w:rsid w:val="00694D63"/>
    <w:rsid w:val="00694E02"/>
    <w:rsid w:val="00694F09"/>
    <w:rsid w:val="006952E9"/>
    <w:rsid w:val="0069540D"/>
    <w:rsid w:val="00695517"/>
    <w:rsid w:val="006956D7"/>
    <w:rsid w:val="006958F9"/>
    <w:rsid w:val="00696296"/>
    <w:rsid w:val="00696567"/>
    <w:rsid w:val="006965F5"/>
    <w:rsid w:val="0069662D"/>
    <w:rsid w:val="00696694"/>
    <w:rsid w:val="006967E5"/>
    <w:rsid w:val="00696F10"/>
    <w:rsid w:val="00696FB8"/>
    <w:rsid w:val="0069714D"/>
    <w:rsid w:val="006972A8"/>
    <w:rsid w:val="00697442"/>
    <w:rsid w:val="00697477"/>
    <w:rsid w:val="006975CA"/>
    <w:rsid w:val="00697A33"/>
    <w:rsid w:val="00697A37"/>
    <w:rsid w:val="00697A7F"/>
    <w:rsid w:val="00697D99"/>
    <w:rsid w:val="00697E2D"/>
    <w:rsid w:val="00697F9D"/>
    <w:rsid w:val="00697FC2"/>
    <w:rsid w:val="006A0047"/>
    <w:rsid w:val="006A0099"/>
    <w:rsid w:val="006A00AA"/>
    <w:rsid w:val="006A010C"/>
    <w:rsid w:val="006A0466"/>
    <w:rsid w:val="006A0560"/>
    <w:rsid w:val="006A067A"/>
    <w:rsid w:val="006A067C"/>
    <w:rsid w:val="006A069B"/>
    <w:rsid w:val="006A06EC"/>
    <w:rsid w:val="006A077A"/>
    <w:rsid w:val="006A0963"/>
    <w:rsid w:val="006A0A0E"/>
    <w:rsid w:val="006A0A66"/>
    <w:rsid w:val="006A0B1C"/>
    <w:rsid w:val="006A0DD1"/>
    <w:rsid w:val="006A0EDB"/>
    <w:rsid w:val="006A108B"/>
    <w:rsid w:val="006A120F"/>
    <w:rsid w:val="006A12AF"/>
    <w:rsid w:val="006A194F"/>
    <w:rsid w:val="006A1AC7"/>
    <w:rsid w:val="006A1D69"/>
    <w:rsid w:val="006A20C6"/>
    <w:rsid w:val="006A2115"/>
    <w:rsid w:val="006A235A"/>
    <w:rsid w:val="006A257C"/>
    <w:rsid w:val="006A265D"/>
    <w:rsid w:val="006A2880"/>
    <w:rsid w:val="006A29A6"/>
    <w:rsid w:val="006A2A38"/>
    <w:rsid w:val="006A2F23"/>
    <w:rsid w:val="006A2F29"/>
    <w:rsid w:val="006A3030"/>
    <w:rsid w:val="006A3163"/>
    <w:rsid w:val="006A37B7"/>
    <w:rsid w:val="006A38D4"/>
    <w:rsid w:val="006A38E0"/>
    <w:rsid w:val="006A3BA4"/>
    <w:rsid w:val="006A3CBA"/>
    <w:rsid w:val="006A3F0A"/>
    <w:rsid w:val="006A439E"/>
    <w:rsid w:val="006A4515"/>
    <w:rsid w:val="006A476A"/>
    <w:rsid w:val="006A4E16"/>
    <w:rsid w:val="006A53D0"/>
    <w:rsid w:val="006A5526"/>
    <w:rsid w:val="006A567B"/>
    <w:rsid w:val="006A5705"/>
    <w:rsid w:val="006A57AD"/>
    <w:rsid w:val="006A583A"/>
    <w:rsid w:val="006A5985"/>
    <w:rsid w:val="006A5B6B"/>
    <w:rsid w:val="006A5C4F"/>
    <w:rsid w:val="006A5EC7"/>
    <w:rsid w:val="006A6155"/>
    <w:rsid w:val="006A636F"/>
    <w:rsid w:val="006A64A7"/>
    <w:rsid w:val="006A6951"/>
    <w:rsid w:val="006A6BC1"/>
    <w:rsid w:val="006A6D0A"/>
    <w:rsid w:val="006A6F96"/>
    <w:rsid w:val="006A71AF"/>
    <w:rsid w:val="006A72DF"/>
    <w:rsid w:val="006A72EC"/>
    <w:rsid w:val="006A7378"/>
    <w:rsid w:val="006A74AC"/>
    <w:rsid w:val="006A77FD"/>
    <w:rsid w:val="006A797C"/>
    <w:rsid w:val="006A7A6E"/>
    <w:rsid w:val="006A7F77"/>
    <w:rsid w:val="006B0177"/>
    <w:rsid w:val="006B0618"/>
    <w:rsid w:val="006B07EC"/>
    <w:rsid w:val="006B07EF"/>
    <w:rsid w:val="006B0837"/>
    <w:rsid w:val="006B08A1"/>
    <w:rsid w:val="006B0DA9"/>
    <w:rsid w:val="006B133C"/>
    <w:rsid w:val="006B13D2"/>
    <w:rsid w:val="006B1847"/>
    <w:rsid w:val="006B1D42"/>
    <w:rsid w:val="006B1F8A"/>
    <w:rsid w:val="006B22E2"/>
    <w:rsid w:val="006B232C"/>
    <w:rsid w:val="006B257A"/>
    <w:rsid w:val="006B2967"/>
    <w:rsid w:val="006B2994"/>
    <w:rsid w:val="006B2A6C"/>
    <w:rsid w:val="006B3205"/>
    <w:rsid w:val="006B33A3"/>
    <w:rsid w:val="006B33C2"/>
    <w:rsid w:val="006B33D5"/>
    <w:rsid w:val="006B3484"/>
    <w:rsid w:val="006B34BE"/>
    <w:rsid w:val="006B35C0"/>
    <w:rsid w:val="006B374C"/>
    <w:rsid w:val="006B39C1"/>
    <w:rsid w:val="006B3C4E"/>
    <w:rsid w:val="006B4707"/>
    <w:rsid w:val="006B4865"/>
    <w:rsid w:val="006B4C6C"/>
    <w:rsid w:val="006B4D29"/>
    <w:rsid w:val="006B4E95"/>
    <w:rsid w:val="006B4EC0"/>
    <w:rsid w:val="006B4F4C"/>
    <w:rsid w:val="006B5545"/>
    <w:rsid w:val="006B55F2"/>
    <w:rsid w:val="006B5A08"/>
    <w:rsid w:val="006B62D8"/>
    <w:rsid w:val="006B633B"/>
    <w:rsid w:val="006B655C"/>
    <w:rsid w:val="006B692B"/>
    <w:rsid w:val="006B6AB9"/>
    <w:rsid w:val="006B6E94"/>
    <w:rsid w:val="006B73D8"/>
    <w:rsid w:val="006B75F7"/>
    <w:rsid w:val="006B768F"/>
    <w:rsid w:val="006B788C"/>
    <w:rsid w:val="006B7A90"/>
    <w:rsid w:val="006B7ADA"/>
    <w:rsid w:val="006B7BBA"/>
    <w:rsid w:val="006B7C75"/>
    <w:rsid w:val="006B7C91"/>
    <w:rsid w:val="006B7DC5"/>
    <w:rsid w:val="006B7F90"/>
    <w:rsid w:val="006B7FFE"/>
    <w:rsid w:val="006C0075"/>
    <w:rsid w:val="006C02FE"/>
    <w:rsid w:val="006C05B1"/>
    <w:rsid w:val="006C0721"/>
    <w:rsid w:val="006C079C"/>
    <w:rsid w:val="006C09B4"/>
    <w:rsid w:val="006C0AED"/>
    <w:rsid w:val="006C0BB2"/>
    <w:rsid w:val="006C0E46"/>
    <w:rsid w:val="006C0FE0"/>
    <w:rsid w:val="006C0FFA"/>
    <w:rsid w:val="006C123A"/>
    <w:rsid w:val="006C14D5"/>
    <w:rsid w:val="006C1536"/>
    <w:rsid w:val="006C191B"/>
    <w:rsid w:val="006C1B34"/>
    <w:rsid w:val="006C1D57"/>
    <w:rsid w:val="006C1F69"/>
    <w:rsid w:val="006C27E9"/>
    <w:rsid w:val="006C2C2C"/>
    <w:rsid w:val="006C2D7D"/>
    <w:rsid w:val="006C2F18"/>
    <w:rsid w:val="006C2F4F"/>
    <w:rsid w:val="006C34BC"/>
    <w:rsid w:val="006C34CE"/>
    <w:rsid w:val="006C36FA"/>
    <w:rsid w:val="006C391A"/>
    <w:rsid w:val="006C3AA2"/>
    <w:rsid w:val="006C3CA6"/>
    <w:rsid w:val="006C3D6B"/>
    <w:rsid w:val="006C3F61"/>
    <w:rsid w:val="006C406B"/>
    <w:rsid w:val="006C43F3"/>
    <w:rsid w:val="006C45CB"/>
    <w:rsid w:val="006C480C"/>
    <w:rsid w:val="006C4829"/>
    <w:rsid w:val="006C49DA"/>
    <w:rsid w:val="006C4B7E"/>
    <w:rsid w:val="006C4C46"/>
    <w:rsid w:val="006C4D6F"/>
    <w:rsid w:val="006C4D8F"/>
    <w:rsid w:val="006C4E99"/>
    <w:rsid w:val="006C5226"/>
    <w:rsid w:val="006C5238"/>
    <w:rsid w:val="006C52A1"/>
    <w:rsid w:val="006C54D8"/>
    <w:rsid w:val="006C55E4"/>
    <w:rsid w:val="006C5810"/>
    <w:rsid w:val="006C58B2"/>
    <w:rsid w:val="006C59DC"/>
    <w:rsid w:val="006C63F3"/>
    <w:rsid w:val="006C64D7"/>
    <w:rsid w:val="006C659D"/>
    <w:rsid w:val="006C6954"/>
    <w:rsid w:val="006C6BD7"/>
    <w:rsid w:val="006C6C7E"/>
    <w:rsid w:val="006C6CA8"/>
    <w:rsid w:val="006C6E8C"/>
    <w:rsid w:val="006C7285"/>
    <w:rsid w:val="006C733A"/>
    <w:rsid w:val="006C749D"/>
    <w:rsid w:val="006C761E"/>
    <w:rsid w:val="006C7BB2"/>
    <w:rsid w:val="006C7E5A"/>
    <w:rsid w:val="006C7E66"/>
    <w:rsid w:val="006C7F24"/>
    <w:rsid w:val="006D059E"/>
    <w:rsid w:val="006D0A69"/>
    <w:rsid w:val="006D0C16"/>
    <w:rsid w:val="006D0CA7"/>
    <w:rsid w:val="006D0D52"/>
    <w:rsid w:val="006D0E4C"/>
    <w:rsid w:val="006D0E57"/>
    <w:rsid w:val="006D1003"/>
    <w:rsid w:val="006D1033"/>
    <w:rsid w:val="006D11DB"/>
    <w:rsid w:val="006D1327"/>
    <w:rsid w:val="006D1709"/>
    <w:rsid w:val="006D1815"/>
    <w:rsid w:val="006D1A93"/>
    <w:rsid w:val="006D1AEB"/>
    <w:rsid w:val="006D1B98"/>
    <w:rsid w:val="006D1BD9"/>
    <w:rsid w:val="006D1C64"/>
    <w:rsid w:val="006D1D92"/>
    <w:rsid w:val="006D20AC"/>
    <w:rsid w:val="006D2159"/>
    <w:rsid w:val="006D26B1"/>
    <w:rsid w:val="006D28A0"/>
    <w:rsid w:val="006D29BD"/>
    <w:rsid w:val="006D29E9"/>
    <w:rsid w:val="006D2D0E"/>
    <w:rsid w:val="006D2FD1"/>
    <w:rsid w:val="006D3744"/>
    <w:rsid w:val="006D3838"/>
    <w:rsid w:val="006D3E7C"/>
    <w:rsid w:val="006D3FF9"/>
    <w:rsid w:val="006D4007"/>
    <w:rsid w:val="006D416D"/>
    <w:rsid w:val="006D4187"/>
    <w:rsid w:val="006D425C"/>
    <w:rsid w:val="006D42D1"/>
    <w:rsid w:val="006D4576"/>
    <w:rsid w:val="006D5067"/>
    <w:rsid w:val="006D55F6"/>
    <w:rsid w:val="006D5821"/>
    <w:rsid w:val="006D597E"/>
    <w:rsid w:val="006D59E0"/>
    <w:rsid w:val="006D5ABB"/>
    <w:rsid w:val="006D5AC9"/>
    <w:rsid w:val="006D5C64"/>
    <w:rsid w:val="006D5CC7"/>
    <w:rsid w:val="006D5D4E"/>
    <w:rsid w:val="006D5E47"/>
    <w:rsid w:val="006D615E"/>
    <w:rsid w:val="006D66F8"/>
    <w:rsid w:val="006D68D8"/>
    <w:rsid w:val="006D6FDD"/>
    <w:rsid w:val="006D702E"/>
    <w:rsid w:val="006D7188"/>
    <w:rsid w:val="006D72C0"/>
    <w:rsid w:val="006D7389"/>
    <w:rsid w:val="006D77A9"/>
    <w:rsid w:val="006E0004"/>
    <w:rsid w:val="006E02EE"/>
    <w:rsid w:val="006E0510"/>
    <w:rsid w:val="006E0698"/>
    <w:rsid w:val="006E08A1"/>
    <w:rsid w:val="006E0B64"/>
    <w:rsid w:val="006E0BE1"/>
    <w:rsid w:val="006E0DAF"/>
    <w:rsid w:val="006E0E64"/>
    <w:rsid w:val="006E0FC0"/>
    <w:rsid w:val="006E0FFB"/>
    <w:rsid w:val="006E1453"/>
    <w:rsid w:val="006E166D"/>
    <w:rsid w:val="006E16CF"/>
    <w:rsid w:val="006E18A9"/>
    <w:rsid w:val="006E1957"/>
    <w:rsid w:val="006E1B56"/>
    <w:rsid w:val="006E1BA8"/>
    <w:rsid w:val="006E1E1B"/>
    <w:rsid w:val="006E1F66"/>
    <w:rsid w:val="006E1FF0"/>
    <w:rsid w:val="006E2218"/>
    <w:rsid w:val="006E224F"/>
    <w:rsid w:val="006E227C"/>
    <w:rsid w:val="006E29BE"/>
    <w:rsid w:val="006E2EB7"/>
    <w:rsid w:val="006E3012"/>
    <w:rsid w:val="006E3061"/>
    <w:rsid w:val="006E323D"/>
    <w:rsid w:val="006E34C4"/>
    <w:rsid w:val="006E371D"/>
    <w:rsid w:val="006E3B64"/>
    <w:rsid w:val="006E3D6D"/>
    <w:rsid w:val="006E3F09"/>
    <w:rsid w:val="006E4735"/>
    <w:rsid w:val="006E482E"/>
    <w:rsid w:val="006E4848"/>
    <w:rsid w:val="006E49BC"/>
    <w:rsid w:val="006E4A97"/>
    <w:rsid w:val="006E4ACA"/>
    <w:rsid w:val="006E4B4A"/>
    <w:rsid w:val="006E4CE1"/>
    <w:rsid w:val="006E4D78"/>
    <w:rsid w:val="006E519F"/>
    <w:rsid w:val="006E5359"/>
    <w:rsid w:val="006E576E"/>
    <w:rsid w:val="006E5798"/>
    <w:rsid w:val="006E5C16"/>
    <w:rsid w:val="006E5D6B"/>
    <w:rsid w:val="006E5DC9"/>
    <w:rsid w:val="006E5EE9"/>
    <w:rsid w:val="006E6112"/>
    <w:rsid w:val="006E61E8"/>
    <w:rsid w:val="006E622C"/>
    <w:rsid w:val="006E645D"/>
    <w:rsid w:val="006E647F"/>
    <w:rsid w:val="006E68DE"/>
    <w:rsid w:val="006E6B8B"/>
    <w:rsid w:val="006E6F93"/>
    <w:rsid w:val="006E6F9E"/>
    <w:rsid w:val="006E7097"/>
    <w:rsid w:val="006E72B8"/>
    <w:rsid w:val="006E72C0"/>
    <w:rsid w:val="006E7357"/>
    <w:rsid w:val="006E7369"/>
    <w:rsid w:val="006E7438"/>
    <w:rsid w:val="006E74F7"/>
    <w:rsid w:val="006E7949"/>
    <w:rsid w:val="006E7C8B"/>
    <w:rsid w:val="006E7CA4"/>
    <w:rsid w:val="006F00C1"/>
    <w:rsid w:val="006F01C6"/>
    <w:rsid w:val="006F0449"/>
    <w:rsid w:val="006F0789"/>
    <w:rsid w:val="006F0C5B"/>
    <w:rsid w:val="006F12D6"/>
    <w:rsid w:val="006F1895"/>
    <w:rsid w:val="006F18A0"/>
    <w:rsid w:val="006F1B96"/>
    <w:rsid w:val="006F1CE8"/>
    <w:rsid w:val="006F2072"/>
    <w:rsid w:val="006F23C4"/>
    <w:rsid w:val="006F2408"/>
    <w:rsid w:val="006F25A3"/>
    <w:rsid w:val="006F2AA4"/>
    <w:rsid w:val="006F2B5B"/>
    <w:rsid w:val="006F34D1"/>
    <w:rsid w:val="006F359D"/>
    <w:rsid w:val="006F3B7E"/>
    <w:rsid w:val="006F4341"/>
    <w:rsid w:val="006F483B"/>
    <w:rsid w:val="006F4864"/>
    <w:rsid w:val="006F4C3D"/>
    <w:rsid w:val="006F4DC8"/>
    <w:rsid w:val="006F4E5A"/>
    <w:rsid w:val="006F5018"/>
    <w:rsid w:val="006F5104"/>
    <w:rsid w:val="006F52BC"/>
    <w:rsid w:val="006F52C5"/>
    <w:rsid w:val="006F535F"/>
    <w:rsid w:val="006F53E5"/>
    <w:rsid w:val="006F5573"/>
    <w:rsid w:val="006F561E"/>
    <w:rsid w:val="006F5D6C"/>
    <w:rsid w:val="006F5EE8"/>
    <w:rsid w:val="006F5FA1"/>
    <w:rsid w:val="006F64A1"/>
    <w:rsid w:val="006F64DF"/>
    <w:rsid w:val="006F6AE1"/>
    <w:rsid w:val="006F6C6C"/>
    <w:rsid w:val="006F6D39"/>
    <w:rsid w:val="006F6E75"/>
    <w:rsid w:val="006F758C"/>
    <w:rsid w:val="006F7716"/>
    <w:rsid w:val="006F793B"/>
    <w:rsid w:val="006F7AC7"/>
    <w:rsid w:val="006F7B5A"/>
    <w:rsid w:val="006F7B78"/>
    <w:rsid w:val="006F7DDB"/>
    <w:rsid w:val="00700486"/>
    <w:rsid w:val="0070048E"/>
    <w:rsid w:val="00700A3F"/>
    <w:rsid w:val="00700AC7"/>
    <w:rsid w:val="00700C6C"/>
    <w:rsid w:val="00700DB2"/>
    <w:rsid w:val="00700FB7"/>
    <w:rsid w:val="00701132"/>
    <w:rsid w:val="007014AA"/>
    <w:rsid w:val="00701644"/>
    <w:rsid w:val="00701837"/>
    <w:rsid w:val="0070196C"/>
    <w:rsid w:val="00701A8D"/>
    <w:rsid w:val="00701D8C"/>
    <w:rsid w:val="00701EBC"/>
    <w:rsid w:val="00701EC0"/>
    <w:rsid w:val="00701F5E"/>
    <w:rsid w:val="0070239B"/>
    <w:rsid w:val="007024E9"/>
    <w:rsid w:val="0070268A"/>
    <w:rsid w:val="0070281A"/>
    <w:rsid w:val="00702A56"/>
    <w:rsid w:val="00702EDE"/>
    <w:rsid w:val="00702F26"/>
    <w:rsid w:val="00703051"/>
    <w:rsid w:val="0070334C"/>
    <w:rsid w:val="007033CA"/>
    <w:rsid w:val="007033DF"/>
    <w:rsid w:val="00703783"/>
    <w:rsid w:val="0070379F"/>
    <w:rsid w:val="00703AA3"/>
    <w:rsid w:val="00703C46"/>
    <w:rsid w:val="00703CC6"/>
    <w:rsid w:val="00703E7A"/>
    <w:rsid w:val="00703F39"/>
    <w:rsid w:val="00704513"/>
    <w:rsid w:val="0070451C"/>
    <w:rsid w:val="0070467D"/>
    <w:rsid w:val="00704759"/>
    <w:rsid w:val="0070478E"/>
    <w:rsid w:val="00704D72"/>
    <w:rsid w:val="00704F8E"/>
    <w:rsid w:val="00705115"/>
    <w:rsid w:val="0070511C"/>
    <w:rsid w:val="00705405"/>
    <w:rsid w:val="00705576"/>
    <w:rsid w:val="00705628"/>
    <w:rsid w:val="00705662"/>
    <w:rsid w:val="00705A6F"/>
    <w:rsid w:val="00705EDC"/>
    <w:rsid w:val="0070608C"/>
    <w:rsid w:val="00706189"/>
    <w:rsid w:val="00706630"/>
    <w:rsid w:val="007066FC"/>
    <w:rsid w:val="00706B02"/>
    <w:rsid w:val="00706B61"/>
    <w:rsid w:val="00706C2D"/>
    <w:rsid w:val="00706EE8"/>
    <w:rsid w:val="00707618"/>
    <w:rsid w:val="00707754"/>
    <w:rsid w:val="00707798"/>
    <w:rsid w:val="00707923"/>
    <w:rsid w:val="007079D0"/>
    <w:rsid w:val="00707B74"/>
    <w:rsid w:val="00707B78"/>
    <w:rsid w:val="00707BC6"/>
    <w:rsid w:val="00710674"/>
    <w:rsid w:val="007106DA"/>
    <w:rsid w:val="00710917"/>
    <w:rsid w:val="00710A25"/>
    <w:rsid w:val="00710C09"/>
    <w:rsid w:val="00711041"/>
    <w:rsid w:val="00711257"/>
    <w:rsid w:val="007113BB"/>
    <w:rsid w:val="00711BD5"/>
    <w:rsid w:val="00712319"/>
    <w:rsid w:val="0071248F"/>
    <w:rsid w:val="007124A0"/>
    <w:rsid w:val="0071253F"/>
    <w:rsid w:val="00712571"/>
    <w:rsid w:val="00712A2A"/>
    <w:rsid w:val="00712A7E"/>
    <w:rsid w:val="00712D4E"/>
    <w:rsid w:val="00712FF3"/>
    <w:rsid w:val="007131B8"/>
    <w:rsid w:val="0071358E"/>
    <w:rsid w:val="007142BD"/>
    <w:rsid w:val="007142D1"/>
    <w:rsid w:val="007144F9"/>
    <w:rsid w:val="00714588"/>
    <w:rsid w:val="0071507E"/>
    <w:rsid w:val="00715123"/>
    <w:rsid w:val="00715512"/>
    <w:rsid w:val="0071578B"/>
    <w:rsid w:val="007157C4"/>
    <w:rsid w:val="00715913"/>
    <w:rsid w:val="00715940"/>
    <w:rsid w:val="0071595A"/>
    <w:rsid w:val="00715A40"/>
    <w:rsid w:val="00715D37"/>
    <w:rsid w:val="00715EC4"/>
    <w:rsid w:val="007168D8"/>
    <w:rsid w:val="00716A39"/>
    <w:rsid w:val="00716CC6"/>
    <w:rsid w:val="00716F62"/>
    <w:rsid w:val="00717016"/>
    <w:rsid w:val="00717084"/>
    <w:rsid w:val="00717310"/>
    <w:rsid w:val="0071740B"/>
    <w:rsid w:val="0071742C"/>
    <w:rsid w:val="00720133"/>
    <w:rsid w:val="0072044C"/>
    <w:rsid w:val="0072050C"/>
    <w:rsid w:val="0072066A"/>
    <w:rsid w:val="00720694"/>
    <w:rsid w:val="00720697"/>
    <w:rsid w:val="007206AB"/>
    <w:rsid w:val="00720936"/>
    <w:rsid w:val="00720FC1"/>
    <w:rsid w:val="0072133C"/>
    <w:rsid w:val="007218AE"/>
    <w:rsid w:val="00721982"/>
    <w:rsid w:val="00721F33"/>
    <w:rsid w:val="007222FA"/>
    <w:rsid w:val="00722562"/>
    <w:rsid w:val="00722809"/>
    <w:rsid w:val="0072280B"/>
    <w:rsid w:val="00722E9D"/>
    <w:rsid w:val="00722EFA"/>
    <w:rsid w:val="007230B6"/>
    <w:rsid w:val="007232F1"/>
    <w:rsid w:val="0072344D"/>
    <w:rsid w:val="00723DC5"/>
    <w:rsid w:val="007241A6"/>
    <w:rsid w:val="007246AC"/>
    <w:rsid w:val="007246CE"/>
    <w:rsid w:val="007247B2"/>
    <w:rsid w:val="007247FB"/>
    <w:rsid w:val="00724A2F"/>
    <w:rsid w:val="00724AF5"/>
    <w:rsid w:val="00724B28"/>
    <w:rsid w:val="00724E8E"/>
    <w:rsid w:val="00725169"/>
    <w:rsid w:val="0072525A"/>
    <w:rsid w:val="00725335"/>
    <w:rsid w:val="0072550A"/>
    <w:rsid w:val="00725C57"/>
    <w:rsid w:val="00725D24"/>
    <w:rsid w:val="00725E01"/>
    <w:rsid w:val="00725E1F"/>
    <w:rsid w:val="00725E45"/>
    <w:rsid w:val="00725F14"/>
    <w:rsid w:val="00726087"/>
    <w:rsid w:val="0072614D"/>
    <w:rsid w:val="00726260"/>
    <w:rsid w:val="007262C2"/>
    <w:rsid w:val="00726442"/>
    <w:rsid w:val="007266DC"/>
    <w:rsid w:val="00726824"/>
    <w:rsid w:val="00726B2A"/>
    <w:rsid w:val="00726C59"/>
    <w:rsid w:val="00726D78"/>
    <w:rsid w:val="00726ED8"/>
    <w:rsid w:val="007271B1"/>
    <w:rsid w:val="0072742F"/>
    <w:rsid w:val="007279CA"/>
    <w:rsid w:val="00727B88"/>
    <w:rsid w:val="00727C7A"/>
    <w:rsid w:val="00727FA7"/>
    <w:rsid w:val="007302B0"/>
    <w:rsid w:val="00730347"/>
    <w:rsid w:val="0073040D"/>
    <w:rsid w:val="0073067F"/>
    <w:rsid w:val="0073089A"/>
    <w:rsid w:val="00730F77"/>
    <w:rsid w:val="00730F85"/>
    <w:rsid w:val="0073107E"/>
    <w:rsid w:val="00731274"/>
    <w:rsid w:val="00731349"/>
    <w:rsid w:val="007315AB"/>
    <w:rsid w:val="007316D5"/>
    <w:rsid w:val="00732A09"/>
    <w:rsid w:val="00732CC4"/>
    <w:rsid w:val="00732CD8"/>
    <w:rsid w:val="00732E74"/>
    <w:rsid w:val="00732EE7"/>
    <w:rsid w:val="00732F1B"/>
    <w:rsid w:val="007330A4"/>
    <w:rsid w:val="00733132"/>
    <w:rsid w:val="007331D3"/>
    <w:rsid w:val="0073342F"/>
    <w:rsid w:val="0073357E"/>
    <w:rsid w:val="007337C9"/>
    <w:rsid w:val="007338A6"/>
    <w:rsid w:val="00733CC8"/>
    <w:rsid w:val="00733E67"/>
    <w:rsid w:val="00734367"/>
    <w:rsid w:val="007345A4"/>
    <w:rsid w:val="007348AB"/>
    <w:rsid w:val="00734DB7"/>
    <w:rsid w:val="00734E8F"/>
    <w:rsid w:val="0073532F"/>
    <w:rsid w:val="00735469"/>
    <w:rsid w:val="00735AC9"/>
    <w:rsid w:val="00735EBC"/>
    <w:rsid w:val="00735F28"/>
    <w:rsid w:val="00736176"/>
    <w:rsid w:val="007361B0"/>
    <w:rsid w:val="0073654C"/>
    <w:rsid w:val="007366C8"/>
    <w:rsid w:val="00736A0F"/>
    <w:rsid w:val="00736BAC"/>
    <w:rsid w:val="00736CD1"/>
    <w:rsid w:val="00736EA6"/>
    <w:rsid w:val="00737394"/>
    <w:rsid w:val="007379F5"/>
    <w:rsid w:val="007379FB"/>
    <w:rsid w:val="00737A21"/>
    <w:rsid w:val="00737A97"/>
    <w:rsid w:val="00737A9D"/>
    <w:rsid w:val="00737E1F"/>
    <w:rsid w:val="00740053"/>
    <w:rsid w:val="007402FD"/>
    <w:rsid w:val="00740C99"/>
    <w:rsid w:val="007413C2"/>
    <w:rsid w:val="00741572"/>
    <w:rsid w:val="007417C8"/>
    <w:rsid w:val="00741B84"/>
    <w:rsid w:val="00741F99"/>
    <w:rsid w:val="00742143"/>
    <w:rsid w:val="007422B1"/>
    <w:rsid w:val="00742402"/>
    <w:rsid w:val="0074246A"/>
    <w:rsid w:val="007427F4"/>
    <w:rsid w:val="00742BE5"/>
    <w:rsid w:val="00742C17"/>
    <w:rsid w:val="00743039"/>
    <w:rsid w:val="00743077"/>
    <w:rsid w:val="007430F0"/>
    <w:rsid w:val="00743129"/>
    <w:rsid w:val="0074346C"/>
    <w:rsid w:val="0074349F"/>
    <w:rsid w:val="00743A19"/>
    <w:rsid w:val="00743BE6"/>
    <w:rsid w:val="0074426F"/>
    <w:rsid w:val="0074475B"/>
    <w:rsid w:val="007447B1"/>
    <w:rsid w:val="00744911"/>
    <w:rsid w:val="00744A8F"/>
    <w:rsid w:val="00744AE7"/>
    <w:rsid w:val="00744D37"/>
    <w:rsid w:val="00744E0E"/>
    <w:rsid w:val="0074510E"/>
    <w:rsid w:val="00745123"/>
    <w:rsid w:val="00745434"/>
    <w:rsid w:val="0074551D"/>
    <w:rsid w:val="0074565E"/>
    <w:rsid w:val="00745A63"/>
    <w:rsid w:val="00745B38"/>
    <w:rsid w:val="00745B9D"/>
    <w:rsid w:val="00745C8B"/>
    <w:rsid w:val="00745E43"/>
    <w:rsid w:val="00745EED"/>
    <w:rsid w:val="00745F00"/>
    <w:rsid w:val="00746181"/>
    <w:rsid w:val="00746215"/>
    <w:rsid w:val="007464D9"/>
    <w:rsid w:val="0074660B"/>
    <w:rsid w:val="00746ACB"/>
    <w:rsid w:val="0074704A"/>
    <w:rsid w:val="007470FD"/>
    <w:rsid w:val="00747401"/>
    <w:rsid w:val="0074755C"/>
    <w:rsid w:val="00747A12"/>
    <w:rsid w:val="00747B04"/>
    <w:rsid w:val="00747BBE"/>
    <w:rsid w:val="00747E9E"/>
    <w:rsid w:val="007500A6"/>
    <w:rsid w:val="00750211"/>
    <w:rsid w:val="007502B8"/>
    <w:rsid w:val="007504D1"/>
    <w:rsid w:val="007508A1"/>
    <w:rsid w:val="007508AE"/>
    <w:rsid w:val="00750B4D"/>
    <w:rsid w:val="00750BF5"/>
    <w:rsid w:val="00750E1F"/>
    <w:rsid w:val="00750E92"/>
    <w:rsid w:val="00751276"/>
    <w:rsid w:val="007515A8"/>
    <w:rsid w:val="00751956"/>
    <w:rsid w:val="007519C0"/>
    <w:rsid w:val="00751A8F"/>
    <w:rsid w:val="00751BA9"/>
    <w:rsid w:val="007527B0"/>
    <w:rsid w:val="00752BA8"/>
    <w:rsid w:val="00753019"/>
    <w:rsid w:val="0075362B"/>
    <w:rsid w:val="00753655"/>
    <w:rsid w:val="0075386F"/>
    <w:rsid w:val="00753E2D"/>
    <w:rsid w:val="00753EBB"/>
    <w:rsid w:val="00754435"/>
    <w:rsid w:val="0075443C"/>
    <w:rsid w:val="00754458"/>
    <w:rsid w:val="00754522"/>
    <w:rsid w:val="00754694"/>
    <w:rsid w:val="007546AA"/>
    <w:rsid w:val="00754BD5"/>
    <w:rsid w:val="00754C9E"/>
    <w:rsid w:val="00754FEC"/>
    <w:rsid w:val="00755009"/>
    <w:rsid w:val="007550DE"/>
    <w:rsid w:val="0075540A"/>
    <w:rsid w:val="00755473"/>
    <w:rsid w:val="007556D6"/>
    <w:rsid w:val="00755916"/>
    <w:rsid w:val="00755925"/>
    <w:rsid w:val="00755A46"/>
    <w:rsid w:val="00755C36"/>
    <w:rsid w:val="00755D42"/>
    <w:rsid w:val="00755E49"/>
    <w:rsid w:val="00755F24"/>
    <w:rsid w:val="007561ED"/>
    <w:rsid w:val="00756293"/>
    <w:rsid w:val="007565A6"/>
    <w:rsid w:val="007566C6"/>
    <w:rsid w:val="00756BBF"/>
    <w:rsid w:val="00756BD6"/>
    <w:rsid w:val="00756C88"/>
    <w:rsid w:val="007570F2"/>
    <w:rsid w:val="00757145"/>
    <w:rsid w:val="007572EE"/>
    <w:rsid w:val="0075746D"/>
    <w:rsid w:val="00757638"/>
    <w:rsid w:val="00757738"/>
    <w:rsid w:val="007577DA"/>
    <w:rsid w:val="00757A05"/>
    <w:rsid w:val="00757A89"/>
    <w:rsid w:val="00757B04"/>
    <w:rsid w:val="00757D1C"/>
    <w:rsid w:val="00757FDB"/>
    <w:rsid w:val="007601A1"/>
    <w:rsid w:val="007604F2"/>
    <w:rsid w:val="0076093B"/>
    <w:rsid w:val="00760AFD"/>
    <w:rsid w:val="00760C3E"/>
    <w:rsid w:val="00760C6C"/>
    <w:rsid w:val="00760CEF"/>
    <w:rsid w:val="00760DD8"/>
    <w:rsid w:val="00760DE6"/>
    <w:rsid w:val="0076125D"/>
    <w:rsid w:val="00761294"/>
    <w:rsid w:val="007615B2"/>
    <w:rsid w:val="007616BF"/>
    <w:rsid w:val="0076173F"/>
    <w:rsid w:val="0076177E"/>
    <w:rsid w:val="0076180D"/>
    <w:rsid w:val="00761DE5"/>
    <w:rsid w:val="00761EBA"/>
    <w:rsid w:val="007620DB"/>
    <w:rsid w:val="007625BA"/>
    <w:rsid w:val="00762847"/>
    <w:rsid w:val="00762A26"/>
    <w:rsid w:val="00762A32"/>
    <w:rsid w:val="00762ACE"/>
    <w:rsid w:val="00762C81"/>
    <w:rsid w:val="00762E06"/>
    <w:rsid w:val="007630A1"/>
    <w:rsid w:val="007631E7"/>
    <w:rsid w:val="007637DF"/>
    <w:rsid w:val="00763898"/>
    <w:rsid w:val="00763A09"/>
    <w:rsid w:val="00763A83"/>
    <w:rsid w:val="00763C3B"/>
    <w:rsid w:val="00763DFC"/>
    <w:rsid w:val="00763FF1"/>
    <w:rsid w:val="00764174"/>
    <w:rsid w:val="007644B9"/>
    <w:rsid w:val="00764588"/>
    <w:rsid w:val="007646C5"/>
    <w:rsid w:val="007647E0"/>
    <w:rsid w:val="007649A0"/>
    <w:rsid w:val="00764A08"/>
    <w:rsid w:val="00764E0F"/>
    <w:rsid w:val="0076504B"/>
    <w:rsid w:val="00765273"/>
    <w:rsid w:val="00765464"/>
    <w:rsid w:val="00765538"/>
    <w:rsid w:val="00765572"/>
    <w:rsid w:val="0076586A"/>
    <w:rsid w:val="007659BB"/>
    <w:rsid w:val="00765A2E"/>
    <w:rsid w:val="00765AE7"/>
    <w:rsid w:val="00765E13"/>
    <w:rsid w:val="00766074"/>
    <w:rsid w:val="007661EF"/>
    <w:rsid w:val="007662B3"/>
    <w:rsid w:val="00766364"/>
    <w:rsid w:val="0076638C"/>
    <w:rsid w:val="00766743"/>
    <w:rsid w:val="00766B7F"/>
    <w:rsid w:val="00766C64"/>
    <w:rsid w:val="00766CD3"/>
    <w:rsid w:val="00766DF3"/>
    <w:rsid w:val="00767049"/>
    <w:rsid w:val="0076721E"/>
    <w:rsid w:val="00767527"/>
    <w:rsid w:val="00767578"/>
    <w:rsid w:val="00767B7A"/>
    <w:rsid w:val="007702C7"/>
    <w:rsid w:val="0077039B"/>
    <w:rsid w:val="007707AD"/>
    <w:rsid w:val="007708B1"/>
    <w:rsid w:val="00770D67"/>
    <w:rsid w:val="00771193"/>
    <w:rsid w:val="007712B6"/>
    <w:rsid w:val="00771360"/>
    <w:rsid w:val="0077155E"/>
    <w:rsid w:val="00771701"/>
    <w:rsid w:val="007717B8"/>
    <w:rsid w:val="00771E78"/>
    <w:rsid w:val="007720BB"/>
    <w:rsid w:val="00772143"/>
    <w:rsid w:val="0077248B"/>
    <w:rsid w:val="0077257F"/>
    <w:rsid w:val="00772A3A"/>
    <w:rsid w:val="00772A43"/>
    <w:rsid w:val="00772D06"/>
    <w:rsid w:val="00772D64"/>
    <w:rsid w:val="00772D7E"/>
    <w:rsid w:val="00772E82"/>
    <w:rsid w:val="00772F32"/>
    <w:rsid w:val="007730E9"/>
    <w:rsid w:val="007732FA"/>
    <w:rsid w:val="0077353C"/>
    <w:rsid w:val="00773733"/>
    <w:rsid w:val="007739A2"/>
    <w:rsid w:val="00773B13"/>
    <w:rsid w:val="00773CC7"/>
    <w:rsid w:val="00773E21"/>
    <w:rsid w:val="00773E93"/>
    <w:rsid w:val="00773FE7"/>
    <w:rsid w:val="00774643"/>
    <w:rsid w:val="00774668"/>
    <w:rsid w:val="00774A19"/>
    <w:rsid w:val="00774CD2"/>
    <w:rsid w:val="00774E1B"/>
    <w:rsid w:val="00775006"/>
    <w:rsid w:val="0077506D"/>
    <w:rsid w:val="00775165"/>
    <w:rsid w:val="00775461"/>
    <w:rsid w:val="007756FC"/>
    <w:rsid w:val="0077571C"/>
    <w:rsid w:val="007758C3"/>
    <w:rsid w:val="00775E58"/>
    <w:rsid w:val="00775E60"/>
    <w:rsid w:val="007761F3"/>
    <w:rsid w:val="0077671F"/>
    <w:rsid w:val="00776D91"/>
    <w:rsid w:val="00776DD5"/>
    <w:rsid w:val="00776E53"/>
    <w:rsid w:val="00777051"/>
    <w:rsid w:val="007770D1"/>
    <w:rsid w:val="00777315"/>
    <w:rsid w:val="007774BA"/>
    <w:rsid w:val="00777957"/>
    <w:rsid w:val="00777C94"/>
    <w:rsid w:val="00780D7B"/>
    <w:rsid w:val="00780DC2"/>
    <w:rsid w:val="0078107C"/>
    <w:rsid w:val="0078117A"/>
    <w:rsid w:val="007812EA"/>
    <w:rsid w:val="007813BA"/>
    <w:rsid w:val="0078142F"/>
    <w:rsid w:val="00781817"/>
    <w:rsid w:val="00781B6E"/>
    <w:rsid w:val="00782092"/>
    <w:rsid w:val="007821A7"/>
    <w:rsid w:val="00782319"/>
    <w:rsid w:val="00782351"/>
    <w:rsid w:val="00782356"/>
    <w:rsid w:val="00782710"/>
    <w:rsid w:val="007827D3"/>
    <w:rsid w:val="00782BCB"/>
    <w:rsid w:val="00782BF3"/>
    <w:rsid w:val="00782C33"/>
    <w:rsid w:val="00782C41"/>
    <w:rsid w:val="007833F6"/>
    <w:rsid w:val="00783410"/>
    <w:rsid w:val="00783492"/>
    <w:rsid w:val="00783812"/>
    <w:rsid w:val="007839AF"/>
    <w:rsid w:val="00783A35"/>
    <w:rsid w:val="00783B42"/>
    <w:rsid w:val="00783E48"/>
    <w:rsid w:val="00784315"/>
    <w:rsid w:val="00784569"/>
    <w:rsid w:val="007845A9"/>
    <w:rsid w:val="00784771"/>
    <w:rsid w:val="0078485A"/>
    <w:rsid w:val="00784A18"/>
    <w:rsid w:val="00784A4C"/>
    <w:rsid w:val="00784AA2"/>
    <w:rsid w:val="00784B65"/>
    <w:rsid w:val="00784C44"/>
    <w:rsid w:val="00784D83"/>
    <w:rsid w:val="00785048"/>
    <w:rsid w:val="00785074"/>
    <w:rsid w:val="0078532B"/>
    <w:rsid w:val="00785517"/>
    <w:rsid w:val="0078557F"/>
    <w:rsid w:val="007857E7"/>
    <w:rsid w:val="00785847"/>
    <w:rsid w:val="0078634C"/>
    <w:rsid w:val="00786452"/>
    <w:rsid w:val="00786495"/>
    <w:rsid w:val="00786730"/>
    <w:rsid w:val="00786754"/>
    <w:rsid w:val="0078677D"/>
    <w:rsid w:val="007868BC"/>
    <w:rsid w:val="00786A48"/>
    <w:rsid w:val="00786B7C"/>
    <w:rsid w:val="00786D29"/>
    <w:rsid w:val="00786EBF"/>
    <w:rsid w:val="00786FA0"/>
    <w:rsid w:val="0078717C"/>
    <w:rsid w:val="007871E4"/>
    <w:rsid w:val="007876D2"/>
    <w:rsid w:val="0078777B"/>
    <w:rsid w:val="00787943"/>
    <w:rsid w:val="00787C8A"/>
    <w:rsid w:val="00787D14"/>
    <w:rsid w:val="00787D54"/>
    <w:rsid w:val="00790029"/>
    <w:rsid w:val="00790735"/>
    <w:rsid w:val="00790746"/>
    <w:rsid w:val="00790C1B"/>
    <w:rsid w:val="00790E2E"/>
    <w:rsid w:val="00790ED6"/>
    <w:rsid w:val="007910B4"/>
    <w:rsid w:val="00791251"/>
    <w:rsid w:val="00791290"/>
    <w:rsid w:val="00791317"/>
    <w:rsid w:val="0079185F"/>
    <w:rsid w:val="00791B68"/>
    <w:rsid w:val="00791C33"/>
    <w:rsid w:val="00791C77"/>
    <w:rsid w:val="00791E89"/>
    <w:rsid w:val="007923AA"/>
    <w:rsid w:val="007926AA"/>
    <w:rsid w:val="00792790"/>
    <w:rsid w:val="00792E7E"/>
    <w:rsid w:val="00792F64"/>
    <w:rsid w:val="00792F67"/>
    <w:rsid w:val="00793030"/>
    <w:rsid w:val="007930F5"/>
    <w:rsid w:val="007942E9"/>
    <w:rsid w:val="00794530"/>
    <w:rsid w:val="00794AF4"/>
    <w:rsid w:val="00794DA9"/>
    <w:rsid w:val="00794FD7"/>
    <w:rsid w:val="0079520A"/>
    <w:rsid w:val="00795344"/>
    <w:rsid w:val="00795883"/>
    <w:rsid w:val="00795CFD"/>
    <w:rsid w:val="00795E6C"/>
    <w:rsid w:val="0079617A"/>
    <w:rsid w:val="0079635F"/>
    <w:rsid w:val="0079648D"/>
    <w:rsid w:val="00796717"/>
    <w:rsid w:val="007967CA"/>
    <w:rsid w:val="00796A9F"/>
    <w:rsid w:val="00796AB5"/>
    <w:rsid w:val="00796B73"/>
    <w:rsid w:val="00796BAB"/>
    <w:rsid w:val="0079702F"/>
    <w:rsid w:val="0079719B"/>
    <w:rsid w:val="00797250"/>
    <w:rsid w:val="007975BB"/>
    <w:rsid w:val="0079782E"/>
    <w:rsid w:val="00797A11"/>
    <w:rsid w:val="00797A87"/>
    <w:rsid w:val="007A0106"/>
    <w:rsid w:val="007A0188"/>
    <w:rsid w:val="007A0AC8"/>
    <w:rsid w:val="007A0C04"/>
    <w:rsid w:val="007A0F00"/>
    <w:rsid w:val="007A1085"/>
    <w:rsid w:val="007A11D2"/>
    <w:rsid w:val="007A144E"/>
    <w:rsid w:val="007A14BA"/>
    <w:rsid w:val="007A1634"/>
    <w:rsid w:val="007A170E"/>
    <w:rsid w:val="007A171C"/>
    <w:rsid w:val="007A1BB0"/>
    <w:rsid w:val="007A1E6C"/>
    <w:rsid w:val="007A20ED"/>
    <w:rsid w:val="007A24AE"/>
    <w:rsid w:val="007A24AF"/>
    <w:rsid w:val="007A2683"/>
    <w:rsid w:val="007A2785"/>
    <w:rsid w:val="007A28F2"/>
    <w:rsid w:val="007A2BC2"/>
    <w:rsid w:val="007A2E67"/>
    <w:rsid w:val="007A2F53"/>
    <w:rsid w:val="007A300A"/>
    <w:rsid w:val="007A3718"/>
    <w:rsid w:val="007A3B16"/>
    <w:rsid w:val="007A42B4"/>
    <w:rsid w:val="007A4377"/>
    <w:rsid w:val="007A4380"/>
    <w:rsid w:val="007A46F6"/>
    <w:rsid w:val="007A4885"/>
    <w:rsid w:val="007A4B76"/>
    <w:rsid w:val="007A4D41"/>
    <w:rsid w:val="007A520D"/>
    <w:rsid w:val="007A5216"/>
    <w:rsid w:val="007A575B"/>
    <w:rsid w:val="007A588D"/>
    <w:rsid w:val="007A5BE4"/>
    <w:rsid w:val="007A5D9F"/>
    <w:rsid w:val="007A5E18"/>
    <w:rsid w:val="007A5EE8"/>
    <w:rsid w:val="007A603A"/>
    <w:rsid w:val="007A61EE"/>
    <w:rsid w:val="007A63A6"/>
    <w:rsid w:val="007A63FD"/>
    <w:rsid w:val="007A66A6"/>
    <w:rsid w:val="007A752A"/>
    <w:rsid w:val="007A756C"/>
    <w:rsid w:val="007A7739"/>
    <w:rsid w:val="007A784C"/>
    <w:rsid w:val="007A78CF"/>
    <w:rsid w:val="007A7B87"/>
    <w:rsid w:val="007A7C6A"/>
    <w:rsid w:val="007A7DB0"/>
    <w:rsid w:val="007B01EA"/>
    <w:rsid w:val="007B046C"/>
    <w:rsid w:val="007B07BA"/>
    <w:rsid w:val="007B07FA"/>
    <w:rsid w:val="007B0B32"/>
    <w:rsid w:val="007B0C07"/>
    <w:rsid w:val="007B0F68"/>
    <w:rsid w:val="007B104A"/>
    <w:rsid w:val="007B13A8"/>
    <w:rsid w:val="007B14B7"/>
    <w:rsid w:val="007B150F"/>
    <w:rsid w:val="007B16A4"/>
    <w:rsid w:val="007B1FCF"/>
    <w:rsid w:val="007B203C"/>
    <w:rsid w:val="007B2065"/>
    <w:rsid w:val="007B25BC"/>
    <w:rsid w:val="007B2902"/>
    <w:rsid w:val="007B2B14"/>
    <w:rsid w:val="007B2B80"/>
    <w:rsid w:val="007B2EA0"/>
    <w:rsid w:val="007B3197"/>
    <w:rsid w:val="007B31BA"/>
    <w:rsid w:val="007B32CC"/>
    <w:rsid w:val="007B367A"/>
    <w:rsid w:val="007B36CC"/>
    <w:rsid w:val="007B39B2"/>
    <w:rsid w:val="007B40E1"/>
    <w:rsid w:val="007B424F"/>
    <w:rsid w:val="007B43EF"/>
    <w:rsid w:val="007B483E"/>
    <w:rsid w:val="007B4914"/>
    <w:rsid w:val="007B4BE3"/>
    <w:rsid w:val="007B4F7F"/>
    <w:rsid w:val="007B4F9E"/>
    <w:rsid w:val="007B50A1"/>
    <w:rsid w:val="007B54A3"/>
    <w:rsid w:val="007B5546"/>
    <w:rsid w:val="007B55AC"/>
    <w:rsid w:val="007B560E"/>
    <w:rsid w:val="007B5617"/>
    <w:rsid w:val="007B5856"/>
    <w:rsid w:val="007B586C"/>
    <w:rsid w:val="007B58C0"/>
    <w:rsid w:val="007B659F"/>
    <w:rsid w:val="007B6CE2"/>
    <w:rsid w:val="007B6E25"/>
    <w:rsid w:val="007B6E32"/>
    <w:rsid w:val="007B71FD"/>
    <w:rsid w:val="007B727F"/>
    <w:rsid w:val="007B7289"/>
    <w:rsid w:val="007B72E2"/>
    <w:rsid w:val="007B782F"/>
    <w:rsid w:val="007B7AB5"/>
    <w:rsid w:val="007C01E0"/>
    <w:rsid w:val="007C0403"/>
    <w:rsid w:val="007C0801"/>
    <w:rsid w:val="007C0A6D"/>
    <w:rsid w:val="007C0C2A"/>
    <w:rsid w:val="007C0DF4"/>
    <w:rsid w:val="007C0EE1"/>
    <w:rsid w:val="007C1008"/>
    <w:rsid w:val="007C12F1"/>
    <w:rsid w:val="007C17D0"/>
    <w:rsid w:val="007C1ADB"/>
    <w:rsid w:val="007C1ADD"/>
    <w:rsid w:val="007C1BFB"/>
    <w:rsid w:val="007C218D"/>
    <w:rsid w:val="007C2314"/>
    <w:rsid w:val="007C271F"/>
    <w:rsid w:val="007C27C7"/>
    <w:rsid w:val="007C2D2C"/>
    <w:rsid w:val="007C2D72"/>
    <w:rsid w:val="007C2E3F"/>
    <w:rsid w:val="007C3243"/>
    <w:rsid w:val="007C3679"/>
    <w:rsid w:val="007C3721"/>
    <w:rsid w:val="007C3784"/>
    <w:rsid w:val="007C3B3F"/>
    <w:rsid w:val="007C465D"/>
    <w:rsid w:val="007C465E"/>
    <w:rsid w:val="007C4A71"/>
    <w:rsid w:val="007C4B5B"/>
    <w:rsid w:val="007C4B8B"/>
    <w:rsid w:val="007C4D8C"/>
    <w:rsid w:val="007C5040"/>
    <w:rsid w:val="007C504D"/>
    <w:rsid w:val="007C5168"/>
    <w:rsid w:val="007C5829"/>
    <w:rsid w:val="007C5CC3"/>
    <w:rsid w:val="007C5E12"/>
    <w:rsid w:val="007C5EC3"/>
    <w:rsid w:val="007C5F12"/>
    <w:rsid w:val="007C5F96"/>
    <w:rsid w:val="007C6223"/>
    <w:rsid w:val="007C62C1"/>
    <w:rsid w:val="007C62F2"/>
    <w:rsid w:val="007C6465"/>
    <w:rsid w:val="007C6C23"/>
    <w:rsid w:val="007C6D2D"/>
    <w:rsid w:val="007C6DFB"/>
    <w:rsid w:val="007C6FC6"/>
    <w:rsid w:val="007C7472"/>
    <w:rsid w:val="007C7B1C"/>
    <w:rsid w:val="007C7C54"/>
    <w:rsid w:val="007C7E81"/>
    <w:rsid w:val="007D0030"/>
    <w:rsid w:val="007D0439"/>
    <w:rsid w:val="007D0515"/>
    <w:rsid w:val="007D076B"/>
    <w:rsid w:val="007D07C9"/>
    <w:rsid w:val="007D0B03"/>
    <w:rsid w:val="007D0BE4"/>
    <w:rsid w:val="007D0CA6"/>
    <w:rsid w:val="007D0CD2"/>
    <w:rsid w:val="007D109A"/>
    <w:rsid w:val="007D1139"/>
    <w:rsid w:val="007D1510"/>
    <w:rsid w:val="007D1685"/>
    <w:rsid w:val="007D17DB"/>
    <w:rsid w:val="007D1C0D"/>
    <w:rsid w:val="007D1FC7"/>
    <w:rsid w:val="007D2396"/>
    <w:rsid w:val="007D24B7"/>
    <w:rsid w:val="007D24B9"/>
    <w:rsid w:val="007D2526"/>
    <w:rsid w:val="007D2675"/>
    <w:rsid w:val="007D2783"/>
    <w:rsid w:val="007D27C8"/>
    <w:rsid w:val="007D2B3D"/>
    <w:rsid w:val="007D2CBC"/>
    <w:rsid w:val="007D2E77"/>
    <w:rsid w:val="007D2F88"/>
    <w:rsid w:val="007D3285"/>
    <w:rsid w:val="007D32A5"/>
    <w:rsid w:val="007D342E"/>
    <w:rsid w:val="007D34F3"/>
    <w:rsid w:val="007D3550"/>
    <w:rsid w:val="007D3686"/>
    <w:rsid w:val="007D36CB"/>
    <w:rsid w:val="007D3BD9"/>
    <w:rsid w:val="007D4096"/>
    <w:rsid w:val="007D45EC"/>
    <w:rsid w:val="007D46C9"/>
    <w:rsid w:val="007D488A"/>
    <w:rsid w:val="007D4C54"/>
    <w:rsid w:val="007D4DDF"/>
    <w:rsid w:val="007D5087"/>
    <w:rsid w:val="007D5135"/>
    <w:rsid w:val="007D544F"/>
    <w:rsid w:val="007D5570"/>
    <w:rsid w:val="007D582C"/>
    <w:rsid w:val="007D5BEE"/>
    <w:rsid w:val="007D5E68"/>
    <w:rsid w:val="007D61B3"/>
    <w:rsid w:val="007D63C7"/>
    <w:rsid w:val="007D697A"/>
    <w:rsid w:val="007D6A48"/>
    <w:rsid w:val="007D6CCF"/>
    <w:rsid w:val="007D6D1F"/>
    <w:rsid w:val="007D703F"/>
    <w:rsid w:val="007D7158"/>
    <w:rsid w:val="007D7C6B"/>
    <w:rsid w:val="007D7C7B"/>
    <w:rsid w:val="007D7D03"/>
    <w:rsid w:val="007D7E48"/>
    <w:rsid w:val="007E03A6"/>
    <w:rsid w:val="007E0614"/>
    <w:rsid w:val="007E068C"/>
    <w:rsid w:val="007E0980"/>
    <w:rsid w:val="007E0BA7"/>
    <w:rsid w:val="007E0DCE"/>
    <w:rsid w:val="007E0F32"/>
    <w:rsid w:val="007E0F6F"/>
    <w:rsid w:val="007E11CE"/>
    <w:rsid w:val="007E13FE"/>
    <w:rsid w:val="007E15D2"/>
    <w:rsid w:val="007E1646"/>
    <w:rsid w:val="007E1F0F"/>
    <w:rsid w:val="007E21F7"/>
    <w:rsid w:val="007E257E"/>
    <w:rsid w:val="007E267A"/>
    <w:rsid w:val="007E2D81"/>
    <w:rsid w:val="007E2E7C"/>
    <w:rsid w:val="007E2F34"/>
    <w:rsid w:val="007E2F5F"/>
    <w:rsid w:val="007E313F"/>
    <w:rsid w:val="007E32CF"/>
    <w:rsid w:val="007E3453"/>
    <w:rsid w:val="007E3660"/>
    <w:rsid w:val="007E39D1"/>
    <w:rsid w:val="007E3A26"/>
    <w:rsid w:val="007E3C6B"/>
    <w:rsid w:val="007E3D77"/>
    <w:rsid w:val="007E3E92"/>
    <w:rsid w:val="007E4026"/>
    <w:rsid w:val="007E42CE"/>
    <w:rsid w:val="007E432C"/>
    <w:rsid w:val="007E44FA"/>
    <w:rsid w:val="007E46DC"/>
    <w:rsid w:val="007E4966"/>
    <w:rsid w:val="007E4D48"/>
    <w:rsid w:val="007E508C"/>
    <w:rsid w:val="007E51E3"/>
    <w:rsid w:val="007E51E7"/>
    <w:rsid w:val="007E53F9"/>
    <w:rsid w:val="007E551A"/>
    <w:rsid w:val="007E5713"/>
    <w:rsid w:val="007E5B58"/>
    <w:rsid w:val="007E611B"/>
    <w:rsid w:val="007E6997"/>
    <w:rsid w:val="007E6A18"/>
    <w:rsid w:val="007E6B49"/>
    <w:rsid w:val="007E6CBE"/>
    <w:rsid w:val="007E6ED9"/>
    <w:rsid w:val="007E7200"/>
    <w:rsid w:val="007E735B"/>
    <w:rsid w:val="007E735C"/>
    <w:rsid w:val="007E761B"/>
    <w:rsid w:val="007E7977"/>
    <w:rsid w:val="007E7A97"/>
    <w:rsid w:val="007E7B41"/>
    <w:rsid w:val="007E7C31"/>
    <w:rsid w:val="007F07DD"/>
    <w:rsid w:val="007F0B64"/>
    <w:rsid w:val="007F10E9"/>
    <w:rsid w:val="007F11C8"/>
    <w:rsid w:val="007F11E7"/>
    <w:rsid w:val="007F1525"/>
    <w:rsid w:val="007F1956"/>
    <w:rsid w:val="007F1D05"/>
    <w:rsid w:val="007F2074"/>
    <w:rsid w:val="007F21E8"/>
    <w:rsid w:val="007F24C7"/>
    <w:rsid w:val="007F270C"/>
    <w:rsid w:val="007F2768"/>
    <w:rsid w:val="007F27C0"/>
    <w:rsid w:val="007F2B88"/>
    <w:rsid w:val="007F2BFE"/>
    <w:rsid w:val="007F2C79"/>
    <w:rsid w:val="007F2DB7"/>
    <w:rsid w:val="007F317B"/>
    <w:rsid w:val="007F3477"/>
    <w:rsid w:val="007F3ECF"/>
    <w:rsid w:val="007F407D"/>
    <w:rsid w:val="007F4465"/>
    <w:rsid w:val="007F4936"/>
    <w:rsid w:val="007F4A03"/>
    <w:rsid w:val="007F4AA2"/>
    <w:rsid w:val="007F4C4A"/>
    <w:rsid w:val="007F517A"/>
    <w:rsid w:val="007F51BC"/>
    <w:rsid w:val="007F55F9"/>
    <w:rsid w:val="007F5DFF"/>
    <w:rsid w:val="007F5FEF"/>
    <w:rsid w:val="007F61CE"/>
    <w:rsid w:val="007F6318"/>
    <w:rsid w:val="007F660F"/>
    <w:rsid w:val="007F6676"/>
    <w:rsid w:val="007F6895"/>
    <w:rsid w:val="007F6A8C"/>
    <w:rsid w:val="007F6F8C"/>
    <w:rsid w:val="007F72B6"/>
    <w:rsid w:val="007F790B"/>
    <w:rsid w:val="007F7D27"/>
    <w:rsid w:val="007F7F0A"/>
    <w:rsid w:val="0080013E"/>
    <w:rsid w:val="0080043D"/>
    <w:rsid w:val="0080078F"/>
    <w:rsid w:val="00800ABE"/>
    <w:rsid w:val="00800D34"/>
    <w:rsid w:val="008013AC"/>
    <w:rsid w:val="008013C2"/>
    <w:rsid w:val="00801480"/>
    <w:rsid w:val="008014F4"/>
    <w:rsid w:val="008019E4"/>
    <w:rsid w:val="00801BCB"/>
    <w:rsid w:val="00801FBE"/>
    <w:rsid w:val="00802156"/>
    <w:rsid w:val="008021CE"/>
    <w:rsid w:val="00802235"/>
    <w:rsid w:val="008023B5"/>
    <w:rsid w:val="00802618"/>
    <w:rsid w:val="00802705"/>
    <w:rsid w:val="0080280D"/>
    <w:rsid w:val="00802B33"/>
    <w:rsid w:val="00802B7A"/>
    <w:rsid w:val="00802B80"/>
    <w:rsid w:val="00802C10"/>
    <w:rsid w:val="00802FC9"/>
    <w:rsid w:val="0080307B"/>
    <w:rsid w:val="008032C5"/>
    <w:rsid w:val="008035CB"/>
    <w:rsid w:val="00803859"/>
    <w:rsid w:val="008039A7"/>
    <w:rsid w:val="008039F8"/>
    <w:rsid w:val="00803DFA"/>
    <w:rsid w:val="00803EA6"/>
    <w:rsid w:val="00803EC7"/>
    <w:rsid w:val="00803F76"/>
    <w:rsid w:val="00803FDD"/>
    <w:rsid w:val="008040F3"/>
    <w:rsid w:val="008041E0"/>
    <w:rsid w:val="008043BD"/>
    <w:rsid w:val="00804409"/>
    <w:rsid w:val="00804930"/>
    <w:rsid w:val="00804F27"/>
    <w:rsid w:val="00805350"/>
    <w:rsid w:val="00805357"/>
    <w:rsid w:val="00805B0A"/>
    <w:rsid w:val="00805D47"/>
    <w:rsid w:val="0080636F"/>
    <w:rsid w:val="00806864"/>
    <w:rsid w:val="00806A0B"/>
    <w:rsid w:val="00806A51"/>
    <w:rsid w:val="00806D03"/>
    <w:rsid w:val="008074AB"/>
    <w:rsid w:val="00807521"/>
    <w:rsid w:val="008076E9"/>
    <w:rsid w:val="00807B4A"/>
    <w:rsid w:val="00807CD0"/>
    <w:rsid w:val="008100B6"/>
    <w:rsid w:val="008100FA"/>
    <w:rsid w:val="008102D4"/>
    <w:rsid w:val="008102D5"/>
    <w:rsid w:val="008102F6"/>
    <w:rsid w:val="008104C6"/>
    <w:rsid w:val="00810984"/>
    <w:rsid w:val="00810BC6"/>
    <w:rsid w:val="00810DBA"/>
    <w:rsid w:val="00810ED7"/>
    <w:rsid w:val="0081126F"/>
    <w:rsid w:val="00811E6C"/>
    <w:rsid w:val="00811FC5"/>
    <w:rsid w:val="0081207A"/>
    <w:rsid w:val="00812092"/>
    <w:rsid w:val="00812371"/>
    <w:rsid w:val="00812453"/>
    <w:rsid w:val="00812552"/>
    <w:rsid w:val="008127CE"/>
    <w:rsid w:val="00812CB4"/>
    <w:rsid w:val="00812CBC"/>
    <w:rsid w:val="00812F30"/>
    <w:rsid w:val="0081313F"/>
    <w:rsid w:val="008138A3"/>
    <w:rsid w:val="008138A9"/>
    <w:rsid w:val="00813B4B"/>
    <w:rsid w:val="00813FC9"/>
    <w:rsid w:val="0081414D"/>
    <w:rsid w:val="008146AA"/>
    <w:rsid w:val="00814C6A"/>
    <w:rsid w:val="00814E3A"/>
    <w:rsid w:val="00814F60"/>
    <w:rsid w:val="008151EF"/>
    <w:rsid w:val="0081538A"/>
    <w:rsid w:val="00815466"/>
    <w:rsid w:val="008154AB"/>
    <w:rsid w:val="008156CE"/>
    <w:rsid w:val="008156D7"/>
    <w:rsid w:val="00816232"/>
    <w:rsid w:val="00816280"/>
    <w:rsid w:val="00816348"/>
    <w:rsid w:val="0081635F"/>
    <w:rsid w:val="00816454"/>
    <w:rsid w:val="008165AB"/>
    <w:rsid w:val="00816B62"/>
    <w:rsid w:val="00816BB0"/>
    <w:rsid w:val="00816C47"/>
    <w:rsid w:val="00816D90"/>
    <w:rsid w:val="00816F68"/>
    <w:rsid w:val="00817008"/>
    <w:rsid w:val="00817148"/>
    <w:rsid w:val="0081716B"/>
    <w:rsid w:val="0081733C"/>
    <w:rsid w:val="00817342"/>
    <w:rsid w:val="00817384"/>
    <w:rsid w:val="00817475"/>
    <w:rsid w:val="00817498"/>
    <w:rsid w:val="0081771D"/>
    <w:rsid w:val="008179A8"/>
    <w:rsid w:val="00817A6F"/>
    <w:rsid w:val="00817BB9"/>
    <w:rsid w:val="00817F89"/>
    <w:rsid w:val="00820422"/>
    <w:rsid w:val="00820451"/>
    <w:rsid w:val="008204F3"/>
    <w:rsid w:val="00820657"/>
    <w:rsid w:val="00820BAC"/>
    <w:rsid w:val="00820D07"/>
    <w:rsid w:val="00820D89"/>
    <w:rsid w:val="00820EA2"/>
    <w:rsid w:val="008210CA"/>
    <w:rsid w:val="00821211"/>
    <w:rsid w:val="008213BB"/>
    <w:rsid w:val="0082144E"/>
    <w:rsid w:val="008214F1"/>
    <w:rsid w:val="00821737"/>
    <w:rsid w:val="0082176F"/>
    <w:rsid w:val="0082178C"/>
    <w:rsid w:val="00821C26"/>
    <w:rsid w:val="00821FB9"/>
    <w:rsid w:val="00821FCB"/>
    <w:rsid w:val="008220A2"/>
    <w:rsid w:val="0082213F"/>
    <w:rsid w:val="00822147"/>
    <w:rsid w:val="008224DF"/>
    <w:rsid w:val="00822700"/>
    <w:rsid w:val="0082290C"/>
    <w:rsid w:val="00822955"/>
    <w:rsid w:val="00822A5C"/>
    <w:rsid w:val="00822EF4"/>
    <w:rsid w:val="00822FB9"/>
    <w:rsid w:val="00823140"/>
    <w:rsid w:val="008231CA"/>
    <w:rsid w:val="008231F6"/>
    <w:rsid w:val="00823574"/>
    <w:rsid w:val="0082379F"/>
    <w:rsid w:val="008237AF"/>
    <w:rsid w:val="008237EE"/>
    <w:rsid w:val="00823A65"/>
    <w:rsid w:val="00823AAD"/>
    <w:rsid w:val="00823CCE"/>
    <w:rsid w:val="00823D1D"/>
    <w:rsid w:val="00823FAD"/>
    <w:rsid w:val="0082414B"/>
    <w:rsid w:val="00824251"/>
    <w:rsid w:val="0082446E"/>
    <w:rsid w:val="00824983"/>
    <w:rsid w:val="00824C84"/>
    <w:rsid w:val="00824E43"/>
    <w:rsid w:val="00824FB2"/>
    <w:rsid w:val="00825183"/>
    <w:rsid w:val="008251CF"/>
    <w:rsid w:val="00825434"/>
    <w:rsid w:val="008256BF"/>
    <w:rsid w:val="00825DE5"/>
    <w:rsid w:val="00825E53"/>
    <w:rsid w:val="00825F2F"/>
    <w:rsid w:val="00825F50"/>
    <w:rsid w:val="00825F56"/>
    <w:rsid w:val="00825FB0"/>
    <w:rsid w:val="00826039"/>
    <w:rsid w:val="00826679"/>
    <w:rsid w:val="00826813"/>
    <w:rsid w:val="00826DA9"/>
    <w:rsid w:val="00826DB1"/>
    <w:rsid w:val="00826F15"/>
    <w:rsid w:val="008273B5"/>
    <w:rsid w:val="0082757E"/>
    <w:rsid w:val="008276FF"/>
    <w:rsid w:val="00827700"/>
    <w:rsid w:val="00827A2C"/>
    <w:rsid w:val="00827A46"/>
    <w:rsid w:val="00827C51"/>
    <w:rsid w:val="00827EAB"/>
    <w:rsid w:val="00827EC6"/>
    <w:rsid w:val="00827F46"/>
    <w:rsid w:val="008300BA"/>
    <w:rsid w:val="0083018D"/>
    <w:rsid w:val="0083028B"/>
    <w:rsid w:val="00830330"/>
    <w:rsid w:val="00830501"/>
    <w:rsid w:val="00830B0E"/>
    <w:rsid w:val="00830BA5"/>
    <w:rsid w:val="00830E93"/>
    <w:rsid w:val="00830F11"/>
    <w:rsid w:val="00831585"/>
    <w:rsid w:val="00831B41"/>
    <w:rsid w:val="00831D5F"/>
    <w:rsid w:val="00831D7F"/>
    <w:rsid w:val="00831E59"/>
    <w:rsid w:val="00831E80"/>
    <w:rsid w:val="0083206B"/>
    <w:rsid w:val="008320E4"/>
    <w:rsid w:val="008320E6"/>
    <w:rsid w:val="00832344"/>
    <w:rsid w:val="008327B6"/>
    <w:rsid w:val="008328C7"/>
    <w:rsid w:val="008328F7"/>
    <w:rsid w:val="00832A73"/>
    <w:rsid w:val="00832AB2"/>
    <w:rsid w:val="00832D97"/>
    <w:rsid w:val="00832E66"/>
    <w:rsid w:val="00833085"/>
    <w:rsid w:val="008332A1"/>
    <w:rsid w:val="0083346A"/>
    <w:rsid w:val="00833517"/>
    <w:rsid w:val="00833D65"/>
    <w:rsid w:val="00834373"/>
    <w:rsid w:val="0083474F"/>
    <w:rsid w:val="008347D3"/>
    <w:rsid w:val="00834A54"/>
    <w:rsid w:val="00834ACD"/>
    <w:rsid w:val="00834E17"/>
    <w:rsid w:val="008352B6"/>
    <w:rsid w:val="008353A6"/>
    <w:rsid w:val="00835624"/>
    <w:rsid w:val="00835688"/>
    <w:rsid w:val="008364C2"/>
    <w:rsid w:val="008364E1"/>
    <w:rsid w:val="0083654E"/>
    <w:rsid w:val="00836551"/>
    <w:rsid w:val="008368D5"/>
    <w:rsid w:val="00836948"/>
    <w:rsid w:val="00836A3F"/>
    <w:rsid w:val="00836AFE"/>
    <w:rsid w:val="00836D12"/>
    <w:rsid w:val="00836D21"/>
    <w:rsid w:val="00837189"/>
    <w:rsid w:val="008372B7"/>
    <w:rsid w:val="0083776D"/>
    <w:rsid w:val="008378E5"/>
    <w:rsid w:val="0083790D"/>
    <w:rsid w:val="008400E6"/>
    <w:rsid w:val="00840137"/>
    <w:rsid w:val="00840318"/>
    <w:rsid w:val="0084038B"/>
    <w:rsid w:val="0084045C"/>
    <w:rsid w:val="00840622"/>
    <w:rsid w:val="0084084E"/>
    <w:rsid w:val="008408E4"/>
    <w:rsid w:val="008409D6"/>
    <w:rsid w:val="00840C37"/>
    <w:rsid w:val="00840FE8"/>
    <w:rsid w:val="00841032"/>
    <w:rsid w:val="00841302"/>
    <w:rsid w:val="0084149F"/>
    <w:rsid w:val="008416EA"/>
    <w:rsid w:val="00841871"/>
    <w:rsid w:val="008419C3"/>
    <w:rsid w:val="00841C2C"/>
    <w:rsid w:val="00841C4E"/>
    <w:rsid w:val="0084215D"/>
    <w:rsid w:val="008421D3"/>
    <w:rsid w:val="008423F7"/>
    <w:rsid w:val="00842608"/>
    <w:rsid w:val="00842A01"/>
    <w:rsid w:val="00842AE8"/>
    <w:rsid w:val="00842C7B"/>
    <w:rsid w:val="00842D8C"/>
    <w:rsid w:val="00842DE6"/>
    <w:rsid w:val="00842EEF"/>
    <w:rsid w:val="00842F3E"/>
    <w:rsid w:val="008432F4"/>
    <w:rsid w:val="008433A3"/>
    <w:rsid w:val="00843592"/>
    <w:rsid w:val="00843A86"/>
    <w:rsid w:val="00843AC3"/>
    <w:rsid w:val="00843C5C"/>
    <w:rsid w:val="00843DDE"/>
    <w:rsid w:val="00843E11"/>
    <w:rsid w:val="00843EEC"/>
    <w:rsid w:val="00843F30"/>
    <w:rsid w:val="00844045"/>
    <w:rsid w:val="008440FE"/>
    <w:rsid w:val="008442E1"/>
    <w:rsid w:val="0084442B"/>
    <w:rsid w:val="0084470D"/>
    <w:rsid w:val="008447C9"/>
    <w:rsid w:val="008447CE"/>
    <w:rsid w:val="00844843"/>
    <w:rsid w:val="00844B73"/>
    <w:rsid w:val="00844B9E"/>
    <w:rsid w:val="008450BB"/>
    <w:rsid w:val="00845150"/>
    <w:rsid w:val="008451A5"/>
    <w:rsid w:val="008452C7"/>
    <w:rsid w:val="008454EF"/>
    <w:rsid w:val="00845B0E"/>
    <w:rsid w:val="00845F2C"/>
    <w:rsid w:val="00846022"/>
    <w:rsid w:val="00846073"/>
    <w:rsid w:val="00846271"/>
    <w:rsid w:val="0084633F"/>
    <w:rsid w:val="0084649B"/>
    <w:rsid w:val="008464DC"/>
    <w:rsid w:val="00846CAF"/>
    <w:rsid w:val="008473AA"/>
    <w:rsid w:val="008476F9"/>
    <w:rsid w:val="008479BD"/>
    <w:rsid w:val="00847AC9"/>
    <w:rsid w:val="00847D04"/>
    <w:rsid w:val="00847D15"/>
    <w:rsid w:val="00847D1F"/>
    <w:rsid w:val="00847E43"/>
    <w:rsid w:val="00847E63"/>
    <w:rsid w:val="00850249"/>
    <w:rsid w:val="00850311"/>
    <w:rsid w:val="0085075A"/>
    <w:rsid w:val="00850937"/>
    <w:rsid w:val="00850DD5"/>
    <w:rsid w:val="00850EB7"/>
    <w:rsid w:val="00851260"/>
    <w:rsid w:val="0085147F"/>
    <w:rsid w:val="0085167E"/>
    <w:rsid w:val="008516A2"/>
    <w:rsid w:val="008518A1"/>
    <w:rsid w:val="00851A19"/>
    <w:rsid w:val="00851D64"/>
    <w:rsid w:val="00851DFC"/>
    <w:rsid w:val="008520DC"/>
    <w:rsid w:val="008521D5"/>
    <w:rsid w:val="00852374"/>
    <w:rsid w:val="008526AA"/>
    <w:rsid w:val="008526D6"/>
    <w:rsid w:val="008527C4"/>
    <w:rsid w:val="00852AE0"/>
    <w:rsid w:val="00852C20"/>
    <w:rsid w:val="00852C71"/>
    <w:rsid w:val="0085324D"/>
    <w:rsid w:val="00853362"/>
    <w:rsid w:val="008535F0"/>
    <w:rsid w:val="00853725"/>
    <w:rsid w:val="008539A7"/>
    <w:rsid w:val="00853AD9"/>
    <w:rsid w:val="00853CE5"/>
    <w:rsid w:val="00853EDF"/>
    <w:rsid w:val="00853EF7"/>
    <w:rsid w:val="00853EFD"/>
    <w:rsid w:val="008540D1"/>
    <w:rsid w:val="008540F7"/>
    <w:rsid w:val="00854390"/>
    <w:rsid w:val="0085457B"/>
    <w:rsid w:val="0085460B"/>
    <w:rsid w:val="008547D7"/>
    <w:rsid w:val="008548B0"/>
    <w:rsid w:val="00854B8C"/>
    <w:rsid w:val="0085501E"/>
    <w:rsid w:val="0085520E"/>
    <w:rsid w:val="0085586D"/>
    <w:rsid w:val="00855F17"/>
    <w:rsid w:val="00855FBD"/>
    <w:rsid w:val="0085611B"/>
    <w:rsid w:val="00856596"/>
    <w:rsid w:val="008565B0"/>
    <w:rsid w:val="008565D7"/>
    <w:rsid w:val="00856677"/>
    <w:rsid w:val="00856749"/>
    <w:rsid w:val="00856ABB"/>
    <w:rsid w:val="00857105"/>
    <w:rsid w:val="008572EC"/>
    <w:rsid w:val="008575CD"/>
    <w:rsid w:val="00857A0F"/>
    <w:rsid w:val="00857C8D"/>
    <w:rsid w:val="00857D1B"/>
    <w:rsid w:val="00857D54"/>
    <w:rsid w:val="0086066A"/>
    <w:rsid w:val="00860AAB"/>
    <w:rsid w:val="00860B48"/>
    <w:rsid w:val="008612D1"/>
    <w:rsid w:val="008613CF"/>
    <w:rsid w:val="0086178B"/>
    <w:rsid w:val="00861897"/>
    <w:rsid w:val="00861B52"/>
    <w:rsid w:val="00861CA0"/>
    <w:rsid w:val="00861F66"/>
    <w:rsid w:val="008623C8"/>
    <w:rsid w:val="00862405"/>
    <w:rsid w:val="00862451"/>
    <w:rsid w:val="00862689"/>
    <w:rsid w:val="0086274E"/>
    <w:rsid w:val="00862941"/>
    <w:rsid w:val="00862A19"/>
    <w:rsid w:val="00862E50"/>
    <w:rsid w:val="00862EBA"/>
    <w:rsid w:val="00863BB5"/>
    <w:rsid w:val="00863C28"/>
    <w:rsid w:val="00863D3E"/>
    <w:rsid w:val="00863EC7"/>
    <w:rsid w:val="00864300"/>
    <w:rsid w:val="00864357"/>
    <w:rsid w:val="008644CB"/>
    <w:rsid w:val="00864569"/>
    <w:rsid w:val="0086468D"/>
    <w:rsid w:val="00864829"/>
    <w:rsid w:val="00864841"/>
    <w:rsid w:val="00864BA3"/>
    <w:rsid w:val="00865245"/>
    <w:rsid w:val="00865555"/>
    <w:rsid w:val="0086568E"/>
    <w:rsid w:val="008656AD"/>
    <w:rsid w:val="00865BA9"/>
    <w:rsid w:val="00865F03"/>
    <w:rsid w:val="00865FE1"/>
    <w:rsid w:val="0086604C"/>
    <w:rsid w:val="0086650C"/>
    <w:rsid w:val="008665A2"/>
    <w:rsid w:val="0086660A"/>
    <w:rsid w:val="008666AA"/>
    <w:rsid w:val="0086683F"/>
    <w:rsid w:val="008672E6"/>
    <w:rsid w:val="008672F4"/>
    <w:rsid w:val="0086753E"/>
    <w:rsid w:val="00867573"/>
    <w:rsid w:val="00867E54"/>
    <w:rsid w:val="00867EDB"/>
    <w:rsid w:val="00867F1B"/>
    <w:rsid w:val="00867FA5"/>
    <w:rsid w:val="0087041E"/>
    <w:rsid w:val="00870D8A"/>
    <w:rsid w:val="008711C2"/>
    <w:rsid w:val="00871375"/>
    <w:rsid w:val="008713B3"/>
    <w:rsid w:val="008713C1"/>
    <w:rsid w:val="00871566"/>
    <w:rsid w:val="00871624"/>
    <w:rsid w:val="008717D0"/>
    <w:rsid w:val="0087185B"/>
    <w:rsid w:val="00871A42"/>
    <w:rsid w:val="00871B5C"/>
    <w:rsid w:val="00871DC0"/>
    <w:rsid w:val="00871E30"/>
    <w:rsid w:val="00871E82"/>
    <w:rsid w:val="00871FE1"/>
    <w:rsid w:val="00872179"/>
    <w:rsid w:val="008721BD"/>
    <w:rsid w:val="0087226C"/>
    <w:rsid w:val="00872357"/>
    <w:rsid w:val="008723BD"/>
    <w:rsid w:val="00872562"/>
    <w:rsid w:val="008729E1"/>
    <w:rsid w:val="00872A2C"/>
    <w:rsid w:val="00872E20"/>
    <w:rsid w:val="00872FE8"/>
    <w:rsid w:val="00873110"/>
    <w:rsid w:val="00873189"/>
    <w:rsid w:val="00873272"/>
    <w:rsid w:val="008733EC"/>
    <w:rsid w:val="00873628"/>
    <w:rsid w:val="0087385C"/>
    <w:rsid w:val="00873B30"/>
    <w:rsid w:val="00873C26"/>
    <w:rsid w:val="0087424B"/>
    <w:rsid w:val="0087430C"/>
    <w:rsid w:val="00874445"/>
    <w:rsid w:val="008747AC"/>
    <w:rsid w:val="0087483A"/>
    <w:rsid w:val="00874AC3"/>
    <w:rsid w:val="00874C42"/>
    <w:rsid w:val="00874D20"/>
    <w:rsid w:val="00874D33"/>
    <w:rsid w:val="00875273"/>
    <w:rsid w:val="008753C6"/>
    <w:rsid w:val="00875510"/>
    <w:rsid w:val="00875736"/>
    <w:rsid w:val="0087577E"/>
    <w:rsid w:val="0087582D"/>
    <w:rsid w:val="00875BE5"/>
    <w:rsid w:val="00875CAC"/>
    <w:rsid w:val="00875E07"/>
    <w:rsid w:val="00875F31"/>
    <w:rsid w:val="008760A8"/>
    <w:rsid w:val="008760D3"/>
    <w:rsid w:val="008762F0"/>
    <w:rsid w:val="008763CD"/>
    <w:rsid w:val="0087642A"/>
    <w:rsid w:val="008764D4"/>
    <w:rsid w:val="0087677E"/>
    <w:rsid w:val="0087690E"/>
    <w:rsid w:val="00876B02"/>
    <w:rsid w:val="00876CA6"/>
    <w:rsid w:val="00877043"/>
    <w:rsid w:val="008774C8"/>
    <w:rsid w:val="00877584"/>
    <w:rsid w:val="0087761E"/>
    <w:rsid w:val="008800DC"/>
    <w:rsid w:val="00880227"/>
    <w:rsid w:val="0088044D"/>
    <w:rsid w:val="008808A9"/>
    <w:rsid w:val="00880F18"/>
    <w:rsid w:val="0088105C"/>
    <w:rsid w:val="0088112B"/>
    <w:rsid w:val="0088143E"/>
    <w:rsid w:val="008814C4"/>
    <w:rsid w:val="008814FB"/>
    <w:rsid w:val="0088154D"/>
    <w:rsid w:val="008818C2"/>
    <w:rsid w:val="0088234A"/>
    <w:rsid w:val="0088266F"/>
    <w:rsid w:val="008827EB"/>
    <w:rsid w:val="008829B8"/>
    <w:rsid w:val="00882E9A"/>
    <w:rsid w:val="008831AD"/>
    <w:rsid w:val="008831BB"/>
    <w:rsid w:val="00883259"/>
    <w:rsid w:val="008835CB"/>
    <w:rsid w:val="008835E4"/>
    <w:rsid w:val="00883653"/>
    <w:rsid w:val="00883840"/>
    <w:rsid w:val="00883931"/>
    <w:rsid w:val="00883A85"/>
    <w:rsid w:val="00883B25"/>
    <w:rsid w:val="00883C69"/>
    <w:rsid w:val="00883CF5"/>
    <w:rsid w:val="00884007"/>
    <w:rsid w:val="008845DC"/>
    <w:rsid w:val="008848DF"/>
    <w:rsid w:val="00884987"/>
    <w:rsid w:val="00884B5E"/>
    <w:rsid w:val="00884C35"/>
    <w:rsid w:val="008850A6"/>
    <w:rsid w:val="008851B9"/>
    <w:rsid w:val="008852E3"/>
    <w:rsid w:val="00885304"/>
    <w:rsid w:val="008855DF"/>
    <w:rsid w:val="00885755"/>
    <w:rsid w:val="0088593D"/>
    <w:rsid w:val="00885BB0"/>
    <w:rsid w:val="00885CB5"/>
    <w:rsid w:val="00885D7F"/>
    <w:rsid w:val="00886073"/>
    <w:rsid w:val="008860CC"/>
    <w:rsid w:val="00886103"/>
    <w:rsid w:val="0088668B"/>
    <w:rsid w:val="00886F36"/>
    <w:rsid w:val="0088709C"/>
    <w:rsid w:val="008873F9"/>
    <w:rsid w:val="00887460"/>
    <w:rsid w:val="008879DF"/>
    <w:rsid w:val="00887B61"/>
    <w:rsid w:val="00887C6C"/>
    <w:rsid w:val="00887E4C"/>
    <w:rsid w:val="00887FA6"/>
    <w:rsid w:val="0089022B"/>
    <w:rsid w:val="008903E7"/>
    <w:rsid w:val="008904EF"/>
    <w:rsid w:val="00890515"/>
    <w:rsid w:val="008907EB"/>
    <w:rsid w:val="00890DCA"/>
    <w:rsid w:val="00891099"/>
    <w:rsid w:val="008910A4"/>
    <w:rsid w:val="00891134"/>
    <w:rsid w:val="00891179"/>
    <w:rsid w:val="008917EE"/>
    <w:rsid w:val="0089185F"/>
    <w:rsid w:val="008918C8"/>
    <w:rsid w:val="00891935"/>
    <w:rsid w:val="008919ED"/>
    <w:rsid w:val="00891C4D"/>
    <w:rsid w:val="00891CF3"/>
    <w:rsid w:val="00891CFF"/>
    <w:rsid w:val="00892858"/>
    <w:rsid w:val="008928F2"/>
    <w:rsid w:val="00892992"/>
    <w:rsid w:val="00892CBF"/>
    <w:rsid w:val="008930A0"/>
    <w:rsid w:val="00893389"/>
    <w:rsid w:val="00893403"/>
    <w:rsid w:val="00893447"/>
    <w:rsid w:val="008934AA"/>
    <w:rsid w:val="00893E51"/>
    <w:rsid w:val="008940D7"/>
    <w:rsid w:val="0089411E"/>
    <w:rsid w:val="008942C9"/>
    <w:rsid w:val="00894352"/>
    <w:rsid w:val="008946B3"/>
    <w:rsid w:val="008946D6"/>
    <w:rsid w:val="008946FC"/>
    <w:rsid w:val="0089489A"/>
    <w:rsid w:val="008949E4"/>
    <w:rsid w:val="00895227"/>
    <w:rsid w:val="00895369"/>
    <w:rsid w:val="008954F2"/>
    <w:rsid w:val="0089558F"/>
    <w:rsid w:val="00896023"/>
    <w:rsid w:val="0089652D"/>
    <w:rsid w:val="008966CE"/>
    <w:rsid w:val="00896B48"/>
    <w:rsid w:val="008970E7"/>
    <w:rsid w:val="008971BF"/>
    <w:rsid w:val="0089736E"/>
    <w:rsid w:val="0089751E"/>
    <w:rsid w:val="00897706"/>
    <w:rsid w:val="008977BF"/>
    <w:rsid w:val="008A0172"/>
    <w:rsid w:val="008A031C"/>
    <w:rsid w:val="008A0955"/>
    <w:rsid w:val="008A0A31"/>
    <w:rsid w:val="008A0E3B"/>
    <w:rsid w:val="008A0E42"/>
    <w:rsid w:val="008A0E66"/>
    <w:rsid w:val="008A0E78"/>
    <w:rsid w:val="008A0F1B"/>
    <w:rsid w:val="008A1172"/>
    <w:rsid w:val="008A1434"/>
    <w:rsid w:val="008A16A5"/>
    <w:rsid w:val="008A16E1"/>
    <w:rsid w:val="008A1891"/>
    <w:rsid w:val="008A1943"/>
    <w:rsid w:val="008A1AD6"/>
    <w:rsid w:val="008A1CE1"/>
    <w:rsid w:val="008A1CF0"/>
    <w:rsid w:val="008A1F22"/>
    <w:rsid w:val="008A2066"/>
    <w:rsid w:val="008A2079"/>
    <w:rsid w:val="008A26AB"/>
    <w:rsid w:val="008A29D9"/>
    <w:rsid w:val="008A2B84"/>
    <w:rsid w:val="008A2C28"/>
    <w:rsid w:val="008A2D43"/>
    <w:rsid w:val="008A2DF8"/>
    <w:rsid w:val="008A3050"/>
    <w:rsid w:val="008A30A3"/>
    <w:rsid w:val="008A30C8"/>
    <w:rsid w:val="008A3137"/>
    <w:rsid w:val="008A3146"/>
    <w:rsid w:val="008A3239"/>
    <w:rsid w:val="008A32D6"/>
    <w:rsid w:val="008A367A"/>
    <w:rsid w:val="008A3957"/>
    <w:rsid w:val="008A39E1"/>
    <w:rsid w:val="008A3B26"/>
    <w:rsid w:val="008A3C93"/>
    <w:rsid w:val="008A3D6C"/>
    <w:rsid w:val="008A3E3F"/>
    <w:rsid w:val="008A3F0C"/>
    <w:rsid w:val="008A4082"/>
    <w:rsid w:val="008A43A8"/>
    <w:rsid w:val="008A4888"/>
    <w:rsid w:val="008A48EC"/>
    <w:rsid w:val="008A4A3A"/>
    <w:rsid w:val="008A4E5C"/>
    <w:rsid w:val="008A4F71"/>
    <w:rsid w:val="008A4F7A"/>
    <w:rsid w:val="008A4FD2"/>
    <w:rsid w:val="008A5012"/>
    <w:rsid w:val="008A501F"/>
    <w:rsid w:val="008A5037"/>
    <w:rsid w:val="008A51C8"/>
    <w:rsid w:val="008A522C"/>
    <w:rsid w:val="008A5383"/>
    <w:rsid w:val="008A53CD"/>
    <w:rsid w:val="008A5453"/>
    <w:rsid w:val="008A5623"/>
    <w:rsid w:val="008A5688"/>
    <w:rsid w:val="008A5788"/>
    <w:rsid w:val="008A5853"/>
    <w:rsid w:val="008A5964"/>
    <w:rsid w:val="008A5DF4"/>
    <w:rsid w:val="008A5E3D"/>
    <w:rsid w:val="008A5F79"/>
    <w:rsid w:val="008A630C"/>
    <w:rsid w:val="008A641F"/>
    <w:rsid w:val="008A651E"/>
    <w:rsid w:val="008A6586"/>
    <w:rsid w:val="008A658F"/>
    <w:rsid w:val="008A6598"/>
    <w:rsid w:val="008A6C68"/>
    <w:rsid w:val="008A6E1A"/>
    <w:rsid w:val="008A7041"/>
    <w:rsid w:val="008A73B5"/>
    <w:rsid w:val="008A7E29"/>
    <w:rsid w:val="008B001E"/>
    <w:rsid w:val="008B00F9"/>
    <w:rsid w:val="008B0173"/>
    <w:rsid w:val="008B0332"/>
    <w:rsid w:val="008B0909"/>
    <w:rsid w:val="008B0AC9"/>
    <w:rsid w:val="008B0ADA"/>
    <w:rsid w:val="008B0B78"/>
    <w:rsid w:val="008B19F3"/>
    <w:rsid w:val="008B1AE7"/>
    <w:rsid w:val="008B1BBC"/>
    <w:rsid w:val="008B1F51"/>
    <w:rsid w:val="008B218D"/>
    <w:rsid w:val="008B2339"/>
    <w:rsid w:val="008B24DE"/>
    <w:rsid w:val="008B266D"/>
    <w:rsid w:val="008B29AD"/>
    <w:rsid w:val="008B2BD7"/>
    <w:rsid w:val="008B2F23"/>
    <w:rsid w:val="008B35D7"/>
    <w:rsid w:val="008B3615"/>
    <w:rsid w:val="008B36E4"/>
    <w:rsid w:val="008B3A67"/>
    <w:rsid w:val="008B3B06"/>
    <w:rsid w:val="008B3C6F"/>
    <w:rsid w:val="008B3D75"/>
    <w:rsid w:val="008B3ED6"/>
    <w:rsid w:val="008B3EDD"/>
    <w:rsid w:val="008B3F25"/>
    <w:rsid w:val="008B4079"/>
    <w:rsid w:val="008B4507"/>
    <w:rsid w:val="008B4509"/>
    <w:rsid w:val="008B45C2"/>
    <w:rsid w:val="008B468F"/>
    <w:rsid w:val="008B4D6D"/>
    <w:rsid w:val="008B4DA9"/>
    <w:rsid w:val="008B4E20"/>
    <w:rsid w:val="008B4FB0"/>
    <w:rsid w:val="008B53B4"/>
    <w:rsid w:val="008B5464"/>
    <w:rsid w:val="008B5750"/>
    <w:rsid w:val="008B59E4"/>
    <w:rsid w:val="008B60A3"/>
    <w:rsid w:val="008B611A"/>
    <w:rsid w:val="008B623F"/>
    <w:rsid w:val="008B63CD"/>
    <w:rsid w:val="008B68A9"/>
    <w:rsid w:val="008B6D77"/>
    <w:rsid w:val="008B6F42"/>
    <w:rsid w:val="008B72A6"/>
    <w:rsid w:val="008B74A0"/>
    <w:rsid w:val="008B7676"/>
    <w:rsid w:val="008B7927"/>
    <w:rsid w:val="008B79F2"/>
    <w:rsid w:val="008B7B08"/>
    <w:rsid w:val="008B7BCD"/>
    <w:rsid w:val="008B7CF0"/>
    <w:rsid w:val="008C006F"/>
    <w:rsid w:val="008C06A7"/>
    <w:rsid w:val="008C071C"/>
    <w:rsid w:val="008C08BE"/>
    <w:rsid w:val="008C0B00"/>
    <w:rsid w:val="008C0D53"/>
    <w:rsid w:val="008C11F1"/>
    <w:rsid w:val="008C1559"/>
    <w:rsid w:val="008C1DC0"/>
    <w:rsid w:val="008C1E74"/>
    <w:rsid w:val="008C1FDD"/>
    <w:rsid w:val="008C2292"/>
    <w:rsid w:val="008C2483"/>
    <w:rsid w:val="008C259E"/>
    <w:rsid w:val="008C2659"/>
    <w:rsid w:val="008C26EE"/>
    <w:rsid w:val="008C2910"/>
    <w:rsid w:val="008C29BA"/>
    <w:rsid w:val="008C2A59"/>
    <w:rsid w:val="008C2F63"/>
    <w:rsid w:val="008C3163"/>
    <w:rsid w:val="008C3364"/>
    <w:rsid w:val="008C3A02"/>
    <w:rsid w:val="008C3B8F"/>
    <w:rsid w:val="008C3DAD"/>
    <w:rsid w:val="008C3E38"/>
    <w:rsid w:val="008C3F19"/>
    <w:rsid w:val="008C415D"/>
    <w:rsid w:val="008C41EE"/>
    <w:rsid w:val="008C4397"/>
    <w:rsid w:val="008C4499"/>
    <w:rsid w:val="008C44F9"/>
    <w:rsid w:val="008C463A"/>
    <w:rsid w:val="008C46A5"/>
    <w:rsid w:val="008C494F"/>
    <w:rsid w:val="008C4B22"/>
    <w:rsid w:val="008C4B5E"/>
    <w:rsid w:val="008C4FB2"/>
    <w:rsid w:val="008C503B"/>
    <w:rsid w:val="008C517B"/>
    <w:rsid w:val="008C5482"/>
    <w:rsid w:val="008C560E"/>
    <w:rsid w:val="008C56A1"/>
    <w:rsid w:val="008C622E"/>
    <w:rsid w:val="008C633C"/>
    <w:rsid w:val="008C6486"/>
    <w:rsid w:val="008C657F"/>
    <w:rsid w:val="008C6616"/>
    <w:rsid w:val="008C69E0"/>
    <w:rsid w:val="008C6A9D"/>
    <w:rsid w:val="008C6F44"/>
    <w:rsid w:val="008C6FCF"/>
    <w:rsid w:val="008C7A49"/>
    <w:rsid w:val="008C7B92"/>
    <w:rsid w:val="008C7C9B"/>
    <w:rsid w:val="008C7D03"/>
    <w:rsid w:val="008C7D3F"/>
    <w:rsid w:val="008C7E50"/>
    <w:rsid w:val="008C7E94"/>
    <w:rsid w:val="008D0160"/>
    <w:rsid w:val="008D0189"/>
    <w:rsid w:val="008D0DA0"/>
    <w:rsid w:val="008D0E19"/>
    <w:rsid w:val="008D0E59"/>
    <w:rsid w:val="008D131A"/>
    <w:rsid w:val="008D1370"/>
    <w:rsid w:val="008D14E8"/>
    <w:rsid w:val="008D1794"/>
    <w:rsid w:val="008D1BE9"/>
    <w:rsid w:val="008D1C01"/>
    <w:rsid w:val="008D1DB6"/>
    <w:rsid w:val="008D1E83"/>
    <w:rsid w:val="008D20EE"/>
    <w:rsid w:val="008D228B"/>
    <w:rsid w:val="008D27E8"/>
    <w:rsid w:val="008D2849"/>
    <w:rsid w:val="008D2A18"/>
    <w:rsid w:val="008D2A4E"/>
    <w:rsid w:val="008D2D23"/>
    <w:rsid w:val="008D2F6D"/>
    <w:rsid w:val="008D2FCF"/>
    <w:rsid w:val="008D3241"/>
    <w:rsid w:val="008D344A"/>
    <w:rsid w:val="008D35E5"/>
    <w:rsid w:val="008D3607"/>
    <w:rsid w:val="008D3656"/>
    <w:rsid w:val="008D39E2"/>
    <w:rsid w:val="008D3AA0"/>
    <w:rsid w:val="008D401D"/>
    <w:rsid w:val="008D416A"/>
    <w:rsid w:val="008D42C4"/>
    <w:rsid w:val="008D44AF"/>
    <w:rsid w:val="008D44E8"/>
    <w:rsid w:val="008D4583"/>
    <w:rsid w:val="008D4837"/>
    <w:rsid w:val="008D48F1"/>
    <w:rsid w:val="008D4DD2"/>
    <w:rsid w:val="008D52ED"/>
    <w:rsid w:val="008D583F"/>
    <w:rsid w:val="008D5B12"/>
    <w:rsid w:val="008D5BF9"/>
    <w:rsid w:val="008D5DB9"/>
    <w:rsid w:val="008D5EBA"/>
    <w:rsid w:val="008D6123"/>
    <w:rsid w:val="008D66AF"/>
    <w:rsid w:val="008D6750"/>
    <w:rsid w:val="008D6AE5"/>
    <w:rsid w:val="008D6CF9"/>
    <w:rsid w:val="008D6E8D"/>
    <w:rsid w:val="008D717D"/>
    <w:rsid w:val="008D72BC"/>
    <w:rsid w:val="008D7321"/>
    <w:rsid w:val="008D74E3"/>
    <w:rsid w:val="008D7780"/>
    <w:rsid w:val="008D7B66"/>
    <w:rsid w:val="008D7CA9"/>
    <w:rsid w:val="008D7CC6"/>
    <w:rsid w:val="008D7DAB"/>
    <w:rsid w:val="008E0044"/>
    <w:rsid w:val="008E0281"/>
    <w:rsid w:val="008E0569"/>
    <w:rsid w:val="008E06E0"/>
    <w:rsid w:val="008E08C7"/>
    <w:rsid w:val="008E090A"/>
    <w:rsid w:val="008E09D3"/>
    <w:rsid w:val="008E0A85"/>
    <w:rsid w:val="008E0CDA"/>
    <w:rsid w:val="008E0DEC"/>
    <w:rsid w:val="008E0F6B"/>
    <w:rsid w:val="008E166C"/>
    <w:rsid w:val="008E1698"/>
    <w:rsid w:val="008E17EF"/>
    <w:rsid w:val="008E1AF6"/>
    <w:rsid w:val="008E1B57"/>
    <w:rsid w:val="008E1CB6"/>
    <w:rsid w:val="008E1CBC"/>
    <w:rsid w:val="008E1D34"/>
    <w:rsid w:val="008E1D38"/>
    <w:rsid w:val="008E1E25"/>
    <w:rsid w:val="008E1F1C"/>
    <w:rsid w:val="008E2230"/>
    <w:rsid w:val="008E2BC5"/>
    <w:rsid w:val="008E2C6D"/>
    <w:rsid w:val="008E2FE2"/>
    <w:rsid w:val="008E3175"/>
    <w:rsid w:val="008E37C2"/>
    <w:rsid w:val="008E3928"/>
    <w:rsid w:val="008E3C6C"/>
    <w:rsid w:val="008E3F17"/>
    <w:rsid w:val="008E40EA"/>
    <w:rsid w:val="008E4250"/>
    <w:rsid w:val="008E4496"/>
    <w:rsid w:val="008E4D0E"/>
    <w:rsid w:val="008E4E32"/>
    <w:rsid w:val="008E5425"/>
    <w:rsid w:val="008E555F"/>
    <w:rsid w:val="008E5907"/>
    <w:rsid w:val="008E5C4C"/>
    <w:rsid w:val="008E6230"/>
    <w:rsid w:val="008E63AE"/>
    <w:rsid w:val="008E648D"/>
    <w:rsid w:val="008E6699"/>
    <w:rsid w:val="008E6796"/>
    <w:rsid w:val="008E6989"/>
    <w:rsid w:val="008E6BB8"/>
    <w:rsid w:val="008E7099"/>
    <w:rsid w:val="008E7489"/>
    <w:rsid w:val="008E76EE"/>
    <w:rsid w:val="008E7E69"/>
    <w:rsid w:val="008E7F90"/>
    <w:rsid w:val="008F0053"/>
    <w:rsid w:val="008F01A4"/>
    <w:rsid w:val="008F0269"/>
    <w:rsid w:val="008F03E9"/>
    <w:rsid w:val="008F0520"/>
    <w:rsid w:val="008F05F7"/>
    <w:rsid w:val="008F080D"/>
    <w:rsid w:val="008F0B32"/>
    <w:rsid w:val="008F0D5D"/>
    <w:rsid w:val="008F0EE8"/>
    <w:rsid w:val="008F1142"/>
    <w:rsid w:val="008F11A4"/>
    <w:rsid w:val="008F11A5"/>
    <w:rsid w:val="008F1318"/>
    <w:rsid w:val="008F1345"/>
    <w:rsid w:val="008F15EB"/>
    <w:rsid w:val="008F1722"/>
    <w:rsid w:val="008F1855"/>
    <w:rsid w:val="008F1940"/>
    <w:rsid w:val="008F1A0A"/>
    <w:rsid w:val="008F1B97"/>
    <w:rsid w:val="008F1C6C"/>
    <w:rsid w:val="008F22F5"/>
    <w:rsid w:val="008F2366"/>
    <w:rsid w:val="008F25D1"/>
    <w:rsid w:val="008F28AB"/>
    <w:rsid w:val="008F2CA3"/>
    <w:rsid w:val="008F2D24"/>
    <w:rsid w:val="008F3034"/>
    <w:rsid w:val="008F316E"/>
    <w:rsid w:val="008F3665"/>
    <w:rsid w:val="008F37D2"/>
    <w:rsid w:val="008F38CC"/>
    <w:rsid w:val="008F39C3"/>
    <w:rsid w:val="008F3BC2"/>
    <w:rsid w:val="008F3DA7"/>
    <w:rsid w:val="008F3DB5"/>
    <w:rsid w:val="008F3EDC"/>
    <w:rsid w:val="008F4050"/>
    <w:rsid w:val="008F4063"/>
    <w:rsid w:val="008F46C2"/>
    <w:rsid w:val="008F477F"/>
    <w:rsid w:val="008F481D"/>
    <w:rsid w:val="008F4A0F"/>
    <w:rsid w:val="008F4F07"/>
    <w:rsid w:val="008F503F"/>
    <w:rsid w:val="008F51D1"/>
    <w:rsid w:val="008F54EC"/>
    <w:rsid w:val="008F56A5"/>
    <w:rsid w:val="008F57B9"/>
    <w:rsid w:val="008F5D36"/>
    <w:rsid w:val="008F5FB2"/>
    <w:rsid w:val="008F61B6"/>
    <w:rsid w:val="008F6224"/>
    <w:rsid w:val="008F6311"/>
    <w:rsid w:val="008F636E"/>
    <w:rsid w:val="008F6576"/>
    <w:rsid w:val="008F6A21"/>
    <w:rsid w:val="008F6DDD"/>
    <w:rsid w:val="008F74FB"/>
    <w:rsid w:val="008F75B2"/>
    <w:rsid w:val="008F7A5F"/>
    <w:rsid w:val="008F7A8A"/>
    <w:rsid w:val="008F7D1B"/>
    <w:rsid w:val="008F7EDC"/>
    <w:rsid w:val="00900062"/>
    <w:rsid w:val="00900302"/>
    <w:rsid w:val="00900673"/>
    <w:rsid w:val="0090083F"/>
    <w:rsid w:val="00900A8E"/>
    <w:rsid w:val="00900DDA"/>
    <w:rsid w:val="009010C7"/>
    <w:rsid w:val="00901108"/>
    <w:rsid w:val="009011D1"/>
    <w:rsid w:val="00901274"/>
    <w:rsid w:val="00901634"/>
    <w:rsid w:val="00901961"/>
    <w:rsid w:val="00901A63"/>
    <w:rsid w:val="00901CEC"/>
    <w:rsid w:val="00901D81"/>
    <w:rsid w:val="0090214C"/>
    <w:rsid w:val="009025B5"/>
    <w:rsid w:val="009025BC"/>
    <w:rsid w:val="00902915"/>
    <w:rsid w:val="00902B84"/>
    <w:rsid w:val="00902C85"/>
    <w:rsid w:val="00902D05"/>
    <w:rsid w:val="00902E0E"/>
    <w:rsid w:val="00902E72"/>
    <w:rsid w:val="009032E3"/>
    <w:rsid w:val="0090353D"/>
    <w:rsid w:val="009037B1"/>
    <w:rsid w:val="009038A4"/>
    <w:rsid w:val="00903901"/>
    <w:rsid w:val="00903E1F"/>
    <w:rsid w:val="00903F53"/>
    <w:rsid w:val="00904608"/>
    <w:rsid w:val="00904813"/>
    <w:rsid w:val="0090482C"/>
    <w:rsid w:val="00904F23"/>
    <w:rsid w:val="00904FBB"/>
    <w:rsid w:val="00905308"/>
    <w:rsid w:val="0090542B"/>
    <w:rsid w:val="00905A4D"/>
    <w:rsid w:val="00905A66"/>
    <w:rsid w:val="00905AD4"/>
    <w:rsid w:val="00905B00"/>
    <w:rsid w:val="00905B1C"/>
    <w:rsid w:val="00905C04"/>
    <w:rsid w:val="00905C13"/>
    <w:rsid w:val="00905D6C"/>
    <w:rsid w:val="00905D7F"/>
    <w:rsid w:val="00905DB8"/>
    <w:rsid w:val="00905E91"/>
    <w:rsid w:val="009060C8"/>
    <w:rsid w:val="00906108"/>
    <w:rsid w:val="00906183"/>
    <w:rsid w:val="00906466"/>
    <w:rsid w:val="009066D9"/>
    <w:rsid w:val="00906823"/>
    <w:rsid w:val="0090683D"/>
    <w:rsid w:val="00906942"/>
    <w:rsid w:val="00906948"/>
    <w:rsid w:val="00906CA7"/>
    <w:rsid w:val="009070B7"/>
    <w:rsid w:val="009070BF"/>
    <w:rsid w:val="00907163"/>
    <w:rsid w:val="009071B8"/>
    <w:rsid w:val="00907330"/>
    <w:rsid w:val="0090780B"/>
    <w:rsid w:val="00907842"/>
    <w:rsid w:val="00907BB7"/>
    <w:rsid w:val="00907BEF"/>
    <w:rsid w:val="00907E6A"/>
    <w:rsid w:val="0091030D"/>
    <w:rsid w:val="00910387"/>
    <w:rsid w:val="0091073D"/>
    <w:rsid w:val="00910794"/>
    <w:rsid w:val="00910C09"/>
    <w:rsid w:val="00910E29"/>
    <w:rsid w:val="009110D3"/>
    <w:rsid w:val="00911276"/>
    <w:rsid w:val="0091127B"/>
    <w:rsid w:val="0091138E"/>
    <w:rsid w:val="00911577"/>
    <w:rsid w:val="009116C2"/>
    <w:rsid w:val="009117C9"/>
    <w:rsid w:val="00911DD8"/>
    <w:rsid w:val="00912161"/>
    <w:rsid w:val="009124ED"/>
    <w:rsid w:val="009128A4"/>
    <w:rsid w:val="009129EA"/>
    <w:rsid w:val="00912C9F"/>
    <w:rsid w:val="00912CC2"/>
    <w:rsid w:val="00912DFA"/>
    <w:rsid w:val="009130EC"/>
    <w:rsid w:val="00914067"/>
    <w:rsid w:val="0091476A"/>
    <w:rsid w:val="009147A7"/>
    <w:rsid w:val="00914899"/>
    <w:rsid w:val="00914A7E"/>
    <w:rsid w:val="00914B89"/>
    <w:rsid w:val="00914B98"/>
    <w:rsid w:val="00914C74"/>
    <w:rsid w:val="00914F23"/>
    <w:rsid w:val="00914F7E"/>
    <w:rsid w:val="009151A9"/>
    <w:rsid w:val="009152E2"/>
    <w:rsid w:val="00915310"/>
    <w:rsid w:val="0091584A"/>
    <w:rsid w:val="00915A69"/>
    <w:rsid w:val="00915ABF"/>
    <w:rsid w:val="00915B47"/>
    <w:rsid w:val="00915DCF"/>
    <w:rsid w:val="00915DFB"/>
    <w:rsid w:val="00915F65"/>
    <w:rsid w:val="009168DC"/>
    <w:rsid w:val="009169EE"/>
    <w:rsid w:val="00916A55"/>
    <w:rsid w:val="00916AD1"/>
    <w:rsid w:val="00916C38"/>
    <w:rsid w:val="00916E4E"/>
    <w:rsid w:val="0091715B"/>
    <w:rsid w:val="00917189"/>
    <w:rsid w:val="009172C5"/>
    <w:rsid w:val="00917574"/>
    <w:rsid w:val="00917585"/>
    <w:rsid w:val="00917838"/>
    <w:rsid w:val="009178CA"/>
    <w:rsid w:val="009179CF"/>
    <w:rsid w:val="00917DEC"/>
    <w:rsid w:val="0092005F"/>
    <w:rsid w:val="00920542"/>
    <w:rsid w:val="009205FB"/>
    <w:rsid w:val="009206DF"/>
    <w:rsid w:val="00920BF9"/>
    <w:rsid w:val="00920CBE"/>
    <w:rsid w:val="00920D78"/>
    <w:rsid w:val="00921AC5"/>
    <w:rsid w:val="00921D5C"/>
    <w:rsid w:val="00921D61"/>
    <w:rsid w:val="00921F5D"/>
    <w:rsid w:val="00922456"/>
    <w:rsid w:val="0092260F"/>
    <w:rsid w:val="00922764"/>
    <w:rsid w:val="00922775"/>
    <w:rsid w:val="00923035"/>
    <w:rsid w:val="009234F1"/>
    <w:rsid w:val="009236E7"/>
    <w:rsid w:val="00923836"/>
    <w:rsid w:val="00923ADA"/>
    <w:rsid w:val="00923C18"/>
    <w:rsid w:val="009243CF"/>
    <w:rsid w:val="009244A4"/>
    <w:rsid w:val="009245A2"/>
    <w:rsid w:val="009247C8"/>
    <w:rsid w:val="00924814"/>
    <w:rsid w:val="009249A4"/>
    <w:rsid w:val="009249F8"/>
    <w:rsid w:val="00924AD3"/>
    <w:rsid w:val="00924B1B"/>
    <w:rsid w:val="00924B2B"/>
    <w:rsid w:val="00924DAD"/>
    <w:rsid w:val="009256FE"/>
    <w:rsid w:val="0092587B"/>
    <w:rsid w:val="00925B16"/>
    <w:rsid w:val="00925DA3"/>
    <w:rsid w:val="00925E56"/>
    <w:rsid w:val="00925FA7"/>
    <w:rsid w:val="009266EA"/>
    <w:rsid w:val="0092671D"/>
    <w:rsid w:val="00926AE5"/>
    <w:rsid w:val="00926CDC"/>
    <w:rsid w:val="00926F79"/>
    <w:rsid w:val="00927005"/>
    <w:rsid w:val="00927046"/>
    <w:rsid w:val="00927083"/>
    <w:rsid w:val="00927151"/>
    <w:rsid w:val="00927196"/>
    <w:rsid w:val="009276E3"/>
    <w:rsid w:val="00927860"/>
    <w:rsid w:val="00927BDF"/>
    <w:rsid w:val="00927E55"/>
    <w:rsid w:val="00927F46"/>
    <w:rsid w:val="009304F6"/>
    <w:rsid w:val="00930546"/>
    <w:rsid w:val="00930777"/>
    <w:rsid w:val="00930AB2"/>
    <w:rsid w:val="00930C35"/>
    <w:rsid w:val="00930C9F"/>
    <w:rsid w:val="00930D00"/>
    <w:rsid w:val="0093199D"/>
    <w:rsid w:val="009319A2"/>
    <w:rsid w:val="00932090"/>
    <w:rsid w:val="00932286"/>
    <w:rsid w:val="009324D9"/>
    <w:rsid w:val="00932D1A"/>
    <w:rsid w:val="00932FA3"/>
    <w:rsid w:val="009330D6"/>
    <w:rsid w:val="0093333F"/>
    <w:rsid w:val="00933344"/>
    <w:rsid w:val="0093378B"/>
    <w:rsid w:val="00933B22"/>
    <w:rsid w:val="00933E5E"/>
    <w:rsid w:val="009342E9"/>
    <w:rsid w:val="0093433A"/>
    <w:rsid w:val="00934576"/>
    <w:rsid w:val="00934624"/>
    <w:rsid w:val="00934904"/>
    <w:rsid w:val="00934950"/>
    <w:rsid w:val="009349A4"/>
    <w:rsid w:val="00934B3F"/>
    <w:rsid w:val="00934C96"/>
    <w:rsid w:val="00934D23"/>
    <w:rsid w:val="00934D25"/>
    <w:rsid w:val="00934E3D"/>
    <w:rsid w:val="009350FA"/>
    <w:rsid w:val="00935277"/>
    <w:rsid w:val="009356BF"/>
    <w:rsid w:val="00935783"/>
    <w:rsid w:val="00935915"/>
    <w:rsid w:val="00935A87"/>
    <w:rsid w:val="00935B06"/>
    <w:rsid w:val="00935B9C"/>
    <w:rsid w:val="00935EF7"/>
    <w:rsid w:val="00935FD7"/>
    <w:rsid w:val="0093626A"/>
    <w:rsid w:val="00936561"/>
    <w:rsid w:val="009365D6"/>
    <w:rsid w:val="00936981"/>
    <w:rsid w:val="00936F28"/>
    <w:rsid w:val="00936FF9"/>
    <w:rsid w:val="00937099"/>
    <w:rsid w:val="009370F2"/>
    <w:rsid w:val="009371D3"/>
    <w:rsid w:val="009371ED"/>
    <w:rsid w:val="009374AF"/>
    <w:rsid w:val="009374DA"/>
    <w:rsid w:val="009375E0"/>
    <w:rsid w:val="00937AA4"/>
    <w:rsid w:val="00937AB9"/>
    <w:rsid w:val="00937BEF"/>
    <w:rsid w:val="00937EDF"/>
    <w:rsid w:val="00937FBA"/>
    <w:rsid w:val="00940160"/>
    <w:rsid w:val="00940241"/>
    <w:rsid w:val="00940291"/>
    <w:rsid w:val="009402CA"/>
    <w:rsid w:val="0094062A"/>
    <w:rsid w:val="0094089A"/>
    <w:rsid w:val="009408A1"/>
    <w:rsid w:val="00940BE0"/>
    <w:rsid w:val="00940EBE"/>
    <w:rsid w:val="00940F61"/>
    <w:rsid w:val="00941019"/>
    <w:rsid w:val="0094101E"/>
    <w:rsid w:val="00941171"/>
    <w:rsid w:val="00941249"/>
    <w:rsid w:val="00941430"/>
    <w:rsid w:val="009417E4"/>
    <w:rsid w:val="0094193C"/>
    <w:rsid w:val="00941E29"/>
    <w:rsid w:val="0094213F"/>
    <w:rsid w:val="009421E3"/>
    <w:rsid w:val="009426DD"/>
    <w:rsid w:val="00942990"/>
    <w:rsid w:val="00942AB0"/>
    <w:rsid w:val="00942ACA"/>
    <w:rsid w:val="00942B1E"/>
    <w:rsid w:val="00942D21"/>
    <w:rsid w:val="00942DE2"/>
    <w:rsid w:val="00942E32"/>
    <w:rsid w:val="00942E7D"/>
    <w:rsid w:val="00942F66"/>
    <w:rsid w:val="009433BF"/>
    <w:rsid w:val="009434A7"/>
    <w:rsid w:val="00943A52"/>
    <w:rsid w:val="00943C7B"/>
    <w:rsid w:val="00943C98"/>
    <w:rsid w:val="00943E0F"/>
    <w:rsid w:val="00943E99"/>
    <w:rsid w:val="00943F18"/>
    <w:rsid w:val="0094400E"/>
    <w:rsid w:val="00944040"/>
    <w:rsid w:val="00944047"/>
    <w:rsid w:val="009441A3"/>
    <w:rsid w:val="009441CC"/>
    <w:rsid w:val="009441FA"/>
    <w:rsid w:val="00944245"/>
    <w:rsid w:val="00944268"/>
    <w:rsid w:val="009442D4"/>
    <w:rsid w:val="0094446E"/>
    <w:rsid w:val="009446EC"/>
    <w:rsid w:val="009451EC"/>
    <w:rsid w:val="0094562F"/>
    <w:rsid w:val="00945750"/>
    <w:rsid w:val="00945875"/>
    <w:rsid w:val="00945997"/>
    <w:rsid w:val="00945D7F"/>
    <w:rsid w:val="00945DE2"/>
    <w:rsid w:val="00945EDF"/>
    <w:rsid w:val="00946131"/>
    <w:rsid w:val="009464B1"/>
    <w:rsid w:val="00946BC0"/>
    <w:rsid w:val="00946BD9"/>
    <w:rsid w:val="00946D24"/>
    <w:rsid w:val="00946E9A"/>
    <w:rsid w:val="009471FC"/>
    <w:rsid w:val="00947375"/>
    <w:rsid w:val="009473C3"/>
    <w:rsid w:val="00947689"/>
    <w:rsid w:val="009476A8"/>
    <w:rsid w:val="00947AB6"/>
    <w:rsid w:val="00947ECE"/>
    <w:rsid w:val="009501A6"/>
    <w:rsid w:val="00950777"/>
    <w:rsid w:val="009508F6"/>
    <w:rsid w:val="00950B7F"/>
    <w:rsid w:val="00950D42"/>
    <w:rsid w:val="00950F2D"/>
    <w:rsid w:val="00950F39"/>
    <w:rsid w:val="00951047"/>
    <w:rsid w:val="00951091"/>
    <w:rsid w:val="009512E3"/>
    <w:rsid w:val="0095131C"/>
    <w:rsid w:val="0095139B"/>
    <w:rsid w:val="009516A6"/>
    <w:rsid w:val="00951723"/>
    <w:rsid w:val="009517E5"/>
    <w:rsid w:val="0095199F"/>
    <w:rsid w:val="00951D3C"/>
    <w:rsid w:val="009522BB"/>
    <w:rsid w:val="009522CB"/>
    <w:rsid w:val="00952B5A"/>
    <w:rsid w:val="00952B65"/>
    <w:rsid w:val="00952BF6"/>
    <w:rsid w:val="00952C07"/>
    <w:rsid w:val="00952E59"/>
    <w:rsid w:val="00952FCC"/>
    <w:rsid w:val="009531C5"/>
    <w:rsid w:val="009531C6"/>
    <w:rsid w:val="0095343D"/>
    <w:rsid w:val="00953570"/>
    <w:rsid w:val="00953590"/>
    <w:rsid w:val="0095370D"/>
    <w:rsid w:val="00953778"/>
    <w:rsid w:val="00953953"/>
    <w:rsid w:val="00953957"/>
    <w:rsid w:val="00953BF1"/>
    <w:rsid w:val="00953CEE"/>
    <w:rsid w:val="00953E29"/>
    <w:rsid w:val="00954244"/>
    <w:rsid w:val="0095455C"/>
    <w:rsid w:val="00954706"/>
    <w:rsid w:val="00954753"/>
    <w:rsid w:val="00954AC7"/>
    <w:rsid w:val="00954B8F"/>
    <w:rsid w:val="00954D18"/>
    <w:rsid w:val="00955193"/>
    <w:rsid w:val="0095533E"/>
    <w:rsid w:val="00955671"/>
    <w:rsid w:val="0095581B"/>
    <w:rsid w:val="00955969"/>
    <w:rsid w:val="009559C5"/>
    <w:rsid w:val="00956152"/>
    <w:rsid w:val="009562A1"/>
    <w:rsid w:val="0095631D"/>
    <w:rsid w:val="009566F3"/>
    <w:rsid w:val="00956B7B"/>
    <w:rsid w:val="00957561"/>
    <w:rsid w:val="00957608"/>
    <w:rsid w:val="0095779D"/>
    <w:rsid w:val="00957979"/>
    <w:rsid w:val="00957AA0"/>
    <w:rsid w:val="00957AA7"/>
    <w:rsid w:val="00957BFF"/>
    <w:rsid w:val="009605CB"/>
    <w:rsid w:val="009608DD"/>
    <w:rsid w:val="0096092F"/>
    <w:rsid w:val="00960C8A"/>
    <w:rsid w:val="00960CC8"/>
    <w:rsid w:val="00960D0F"/>
    <w:rsid w:val="00960D29"/>
    <w:rsid w:val="00960FA3"/>
    <w:rsid w:val="00960FC7"/>
    <w:rsid w:val="00961204"/>
    <w:rsid w:val="009613F7"/>
    <w:rsid w:val="00961604"/>
    <w:rsid w:val="00961923"/>
    <w:rsid w:val="00961B56"/>
    <w:rsid w:val="009621C0"/>
    <w:rsid w:val="00962372"/>
    <w:rsid w:val="009629ED"/>
    <w:rsid w:val="00962D0D"/>
    <w:rsid w:val="00962DE8"/>
    <w:rsid w:val="00962E24"/>
    <w:rsid w:val="00962E26"/>
    <w:rsid w:val="00962F2C"/>
    <w:rsid w:val="00963999"/>
    <w:rsid w:val="00963A57"/>
    <w:rsid w:val="00963B88"/>
    <w:rsid w:val="00963F70"/>
    <w:rsid w:val="009641EA"/>
    <w:rsid w:val="00964229"/>
    <w:rsid w:val="009642F8"/>
    <w:rsid w:val="009645BF"/>
    <w:rsid w:val="0096479D"/>
    <w:rsid w:val="009647AB"/>
    <w:rsid w:val="0096486E"/>
    <w:rsid w:val="00964AC4"/>
    <w:rsid w:val="00964B41"/>
    <w:rsid w:val="00964C9E"/>
    <w:rsid w:val="00964D10"/>
    <w:rsid w:val="00964D48"/>
    <w:rsid w:val="00964E0B"/>
    <w:rsid w:val="00965265"/>
    <w:rsid w:val="009652E2"/>
    <w:rsid w:val="009658B8"/>
    <w:rsid w:val="00965A50"/>
    <w:rsid w:val="00965AA3"/>
    <w:rsid w:val="00965B68"/>
    <w:rsid w:val="00965CF7"/>
    <w:rsid w:val="00965D24"/>
    <w:rsid w:val="00966088"/>
    <w:rsid w:val="009661B1"/>
    <w:rsid w:val="0096639B"/>
    <w:rsid w:val="0096646D"/>
    <w:rsid w:val="00966739"/>
    <w:rsid w:val="00966931"/>
    <w:rsid w:val="00966AC1"/>
    <w:rsid w:val="00966B08"/>
    <w:rsid w:val="00966BF2"/>
    <w:rsid w:val="00966CD2"/>
    <w:rsid w:val="00966DC3"/>
    <w:rsid w:val="009673DF"/>
    <w:rsid w:val="009674C6"/>
    <w:rsid w:val="0096769B"/>
    <w:rsid w:val="00967730"/>
    <w:rsid w:val="0096776C"/>
    <w:rsid w:val="009678C6"/>
    <w:rsid w:val="0096795B"/>
    <w:rsid w:val="00967C92"/>
    <w:rsid w:val="00967CA8"/>
    <w:rsid w:val="00970370"/>
    <w:rsid w:val="009703F5"/>
    <w:rsid w:val="009704B2"/>
    <w:rsid w:val="009704B7"/>
    <w:rsid w:val="0097066E"/>
    <w:rsid w:val="00970857"/>
    <w:rsid w:val="009708B8"/>
    <w:rsid w:val="009708EA"/>
    <w:rsid w:val="00970971"/>
    <w:rsid w:val="00970AC4"/>
    <w:rsid w:val="00970B2C"/>
    <w:rsid w:val="00970D2E"/>
    <w:rsid w:val="00970DD9"/>
    <w:rsid w:val="00970E43"/>
    <w:rsid w:val="00970EAB"/>
    <w:rsid w:val="00971253"/>
    <w:rsid w:val="00971425"/>
    <w:rsid w:val="0097167A"/>
    <w:rsid w:val="00971788"/>
    <w:rsid w:val="00971B39"/>
    <w:rsid w:val="00971BC6"/>
    <w:rsid w:val="00971DC2"/>
    <w:rsid w:val="00971EA2"/>
    <w:rsid w:val="00972462"/>
    <w:rsid w:val="009724AC"/>
    <w:rsid w:val="0097285A"/>
    <w:rsid w:val="00972A06"/>
    <w:rsid w:val="00972A78"/>
    <w:rsid w:val="00972AD3"/>
    <w:rsid w:val="00972E41"/>
    <w:rsid w:val="00972EDE"/>
    <w:rsid w:val="00973049"/>
    <w:rsid w:val="0097310B"/>
    <w:rsid w:val="00973164"/>
    <w:rsid w:val="009737EA"/>
    <w:rsid w:val="00973C6E"/>
    <w:rsid w:val="00973E7F"/>
    <w:rsid w:val="00973EC0"/>
    <w:rsid w:val="00974119"/>
    <w:rsid w:val="00974543"/>
    <w:rsid w:val="009745F2"/>
    <w:rsid w:val="009749CB"/>
    <w:rsid w:val="00974B1E"/>
    <w:rsid w:val="0097509D"/>
    <w:rsid w:val="009750D7"/>
    <w:rsid w:val="00975660"/>
    <w:rsid w:val="009757FA"/>
    <w:rsid w:val="00975918"/>
    <w:rsid w:val="00975A64"/>
    <w:rsid w:val="00975EC5"/>
    <w:rsid w:val="009760D0"/>
    <w:rsid w:val="0097618A"/>
    <w:rsid w:val="009762BA"/>
    <w:rsid w:val="00976ADD"/>
    <w:rsid w:val="00976B88"/>
    <w:rsid w:val="00976D6B"/>
    <w:rsid w:val="00976DFD"/>
    <w:rsid w:val="00977155"/>
    <w:rsid w:val="00977374"/>
    <w:rsid w:val="00977745"/>
    <w:rsid w:val="00977EBE"/>
    <w:rsid w:val="00977EF3"/>
    <w:rsid w:val="00977EF5"/>
    <w:rsid w:val="00977F7F"/>
    <w:rsid w:val="00980069"/>
    <w:rsid w:val="0098007F"/>
    <w:rsid w:val="0098008A"/>
    <w:rsid w:val="0098028A"/>
    <w:rsid w:val="0098037F"/>
    <w:rsid w:val="009808D7"/>
    <w:rsid w:val="00980B47"/>
    <w:rsid w:val="00980D82"/>
    <w:rsid w:val="00980F82"/>
    <w:rsid w:val="0098107C"/>
    <w:rsid w:val="0098113E"/>
    <w:rsid w:val="009811A8"/>
    <w:rsid w:val="00981247"/>
    <w:rsid w:val="00981250"/>
    <w:rsid w:val="0098128E"/>
    <w:rsid w:val="009812A9"/>
    <w:rsid w:val="009814D7"/>
    <w:rsid w:val="009815AB"/>
    <w:rsid w:val="00981A15"/>
    <w:rsid w:val="00981CCB"/>
    <w:rsid w:val="00981EE1"/>
    <w:rsid w:val="00981FC1"/>
    <w:rsid w:val="009822A5"/>
    <w:rsid w:val="009822B8"/>
    <w:rsid w:val="00982312"/>
    <w:rsid w:val="0098258E"/>
    <w:rsid w:val="009826F3"/>
    <w:rsid w:val="009828CD"/>
    <w:rsid w:val="00982B9C"/>
    <w:rsid w:val="00982FB8"/>
    <w:rsid w:val="00983331"/>
    <w:rsid w:val="009833C2"/>
    <w:rsid w:val="00983577"/>
    <w:rsid w:val="009836E3"/>
    <w:rsid w:val="00983765"/>
    <w:rsid w:val="009837A4"/>
    <w:rsid w:val="00983BC4"/>
    <w:rsid w:val="00983C5B"/>
    <w:rsid w:val="00983F51"/>
    <w:rsid w:val="00983F7A"/>
    <w:rsid w:val="00984199"/>
    <w:rsid w:val="009841DE"/>
    <w:rsid w:val="00984248"/>
    <w:rsid w:val="0098453A"/>
    <w:rsid w:val="00984645"/>
    <w:rsid w:val="00984CA7"/>
    <w:rsid w:val="00984D9A"/>
    <w:rsid w:val="00984E5D"/>
    <w:rsid w:val="00985121"/>
    <w:rsid w:val="00985539"/>
    <w:rsid w:val="00985584"/>
    <w:rsid w:val="00985763"/>
    <w:rsid w:val="00985818"/>
    <w:rsid w:val="009859B1"/>
    <w:rsid w:val="00985BAD"/>
    <w:rsid w:val="00985EF6"/>
    <w:rsid w:val="00986021"/>
    <w:rsid w:val="00986327"/>
    <w:rsid w:val="00986372"/>
    <w:rsid w:val="009864B4"/>
    <w:rsid w:val="0098694E"/>
    <w:rsid w:val="00986A75"/>
    <w:rsid w:val="00986D37"/>
    <w:rsid w:val="00986E03"/>
    <w:rsid w:val="00987193"/>
    <w:rsid w:val="00987396"/>
    <w:rsid w:val="00987734"/>
    <w:rsid w:val="00987C5C"/>
    <w:rsid w:val="00987E52"/>
    <w:rsid w:val="00987EBE"/>
    <w:rsid w:val="0099018C"/>
    <w:rsid w:val="00990390"/>
    <w:rsid w:val="00990430"/>
    <w:rsid w:val="009906D6"/>
    <w:rsid w:val="0099088C"/>
    <w:rsid w:val="00990E9A"/>
    <w:rsid w:val="00990EA3"/>
    <w:rsid w:val="00990F49"/>
    <w:rsid w:val="00990FAC"/>
    <w:rsid w:val="00990FB7"/>
    <w:rsid w:val="00991447"/>
    <w:rsid w:val="009917D3"/>
    <w:rsid w:val="0099182E"/>
    <w:rsid w:val="00991D3D"/>
    <w:rsid w:val="00992199"/>
    <w:rsid w:val="00992368"/>
    <w:rsid w:val="00992551"/>
    <w:rsid w:val="00992674"/>
    <w:rsid w:val="0099279E"/>
    <w:rsid w:val="00992807"/>
    <w:rsid w:val="00992A32"/>
    <w:rsid w:val="00992A6D"/>
    <w:rsid w:val="00992ECF"/>
    <w:rsid w:val="00992EEB"/>
    <w:rsid w:val="009934F3"/>
    <w:rsid w:val="009937DC"/>
    <w:rsid w:val="0099380D"/>
    <w:rsid w:val="009939DC"/>
    <w:rsid w:val="00993B35"/>
    <w:rsid w:val="00993BD9"/>
    <w:rsid w:val="00993C22"/>
    <w:rsid w:val="00994013"/>
    <w:rsid w:val="009940DB"/>
    <w:rsid w:val="0099414E"/>
    <w:rsid w:val="009945A2"/>
    <w:rsid w:val="0099469E"/>
    <w:rsid w:val="009946BB"/>
    <w:rsid w:val="009946E8"/>
    <w:rsid w:val="00994BBB"/>
    <w:rsid w:val="00994DEC"/>
    <w:rsid w:val="009951ED"/>
    <w:rsid w:val="00995228"/>
    <w:rsid w:val="00995263"/>
    <w:rsid w:val="009952A8"/>
    <w:rsid w:val="009956A8"/>
    <w:rsid w:val="00995710"/>
    <w:rsid w:val="009957B9"/>
    <w:rsid w:val="00995866"/>
    <w:rsid w:val="00995EA8"/>
    <w:rsid w:val="00995F6F"/>
    <w:rsid w:val="0099648A"/>
    <w:rsid w:val="009964BF"/>
    <w:rsid w:val="009967EF"/>
    <w:rsid w:val="00996A9E"/>
    <w:rsid w:val="00996E8C"/>
    <w:rsid w:val="009971C6"/>
    <w:rsid w:val="0099745A"/>
    <w:rsid w:val="00997494"/>
    <w:rsid w:val="0099753E"/>
    <w:rsid w:val="0099760A"/>
    <w:rsid w:val="00997C6D"/>
    <w:rsid w:val="00997C94"/>
    <w:rsid w:val="00997DD2"/>
    <w:rsid w:val="009A0080"/>
    <w:rsid w:val="009A03B9"/>
    <w:rsid w:val="009A06EB"/>
    <w:rsid w:val="009A07D9"/>
    <w:rsid w:val="009A0EE9"/>
    <w:rsid w:val="009A0F2A"/>
    <w:rsid w:val="009A112D"/>
    <w:rsid w:val="009A119C"/>
    <w:rsid w:val="009A1731"/>
    <w:rsid w:val="009A182B"/>
    <w:rsid w:val="009A1ADE"/>
    <w:rsid w:val="009A1BED"/>
    <w:rsid w:val="009A1DDA"/>
    <w:rsid w:val="009A2370"/>
    <w:rsid w:val="009A2B80"/>
    <w:rsid w:val="009A2DE4"/>
    <w:rsid w:val="009A2DEF"/>
    <w:rsid w:val="009A2E5F"/>
    <w:rsid w:val="009A3275"/>
    <w:rsid w:val="009A3377"/>
    <w:rsid w:val="009A33F1"/>
    <w:rsid w:val="009A349D"/>
    <w:rsid w:val="009A387A"/>
    <w:rsid w:val="009A38E9"/>
    <w:rsid w:val="009A38F1"/>
    <w:rsid w:val="009A39CA"/>
    <w:rsid w:val="009A3A28"/>
    <w:rsid w:val="009A3DEA"/>
    <w:rsid w:val="009A3EF7"/>
    <w:rsid w:val="009A485A"/>
    <w:rsid w:val="009A4DDD"/>
    <w:rsid w:val="009A4F2F"/>
    <w:rsid w:val="009A5386"/>
    <w:rsid w:val="009A550F"/>
    <w:rsid w:val="009A5713"/>
    <w:rsid w:val="009A5785"/>
    <w:rsid w:val="009A5C2C"/>
    <w:rsid w:val="009A5E24"/>
    <w:rsid w:val="009A60AF"/>
    <w:rsid w:val="009A6123"/>
    <w:rsid w:val="009A61F3"/>
    <w:rsid w:val="009A623F"/>
    <w:rsid w:val="009A62C5"/>
    <w:rsid w:val="009A6308"/>
    <w:rsid w:val="009A6B19"/>
    <w:rsid w:val="009A6B41"/>
    <w:rsid w:val="009A6C29"/>
    <w:rsid w:val="009A6CC8"/>
    <w:rsid w:val="009A6CE5"/>
    <w:rsid w:val="009A6EA0"/>
    <w:rsid w:val="009A7052"/>
    <w:rsid w:val="009A7088"/>
    <w:rsid w:val="009A7340"/>
    <w:rsid w:val="009A7467"/>
    <w:rsid w:val="009A7484"/>
    <w:rsid w:val="009A762A"/>
    <w:rsid w:val="009A77A1"/>
    <w:rsid w:val="009A7984"/>
    <w:rsid w:val="009A7A92"/>
    <w:rsid w:val="009A7B9C"/>
    <w:rsid w:val="009B00E1"/>
    <w:rsid w:val="009B02B6"/>
    <w:rsid w:val="009B034A"/>
    <w:rsid w:val="009B0647"/>
    <w:rsid w:val="009B064B"/>
    <w:rsid w:val="009B0929"/>
    <w:rsid w:val="009B0F1A"/>
    <w:rsid w:val="009B10E0"/>
    <w:rsid w:val="009B147F"/>
    <w:rsid w:val="009B1623"/>
    <w:rsid w:val="009B1995"/>
    <w:rsid w:val="009B1B22"/>
    <w:rsid w:val="009B1BEE"/>
    <w:rsid w:val="009B1C51"/>
    <w:rsid w:val="009B1FB1"/>
    <w:rsid w:val="009B1FD1"/>
    <w:rsid w:val="009B2339"/>
    <w:rsid w:val="009B25E2"/>
    <w:rsid w:val="009B26E0"/>
    <w:rsid w:val="009B2A2E"/>
    <w:rsid w:val="009B2C10"/>
    <w:rsid w:val="009B2E08"/>
    <w:rsid w:val="009B34ED"/>
    <w:rsid w:val="009B3605"/>
    <w:rsid w:val="009B3679"/>
    <w:rsid w:val="009B3839"/>
    <w:rsid w:val="009B392E"/>
    <w:rsid w:val="009B3E23"/>
    <w:rsid w:val="009B4034"/>
    <w:rsid w:val="009B4296"/>
    <w:rsid w:val="009B45F9"/>
    <w:rsid w:val="009B464D"/>
    <w:rsid w:val="009B4A59"/>
    <w:rsid w:val="009B4AB9"/>
    <w:rsid w:val="009B4BBC"/>
    <w:rsid w:val="009B4CE4"/>
    <w:rsid w:val="009B4DAD"/>
    <w:rsid w:val="009B4E98"/>
    <w:rsid w:val="009B512E"/>
    <w:rsid w:val="009B5261"/>
    <w:rsid w:val="009B545C"/>
    <w:rsid w:val="009B557A"/>
    <w:rsid w:val="009B5902"/>
    <w:rsid w:val="009B5A3A"/>
    <w:rsid w:val="009B5AF3"/>
    <w:rsid w:val="009B5E37"/>
    <w:rsid w:val="009B61BB"/>
    <w:rsid w:val="009B62AD"/>
    <w:rsid w:val="009B63C0"/>
    <w:rsid w:val="009B63F3"/>
    <w:rsid w:val="009B68F9"/>
    <w:rsid w:val="009B6986"/>
    <w:rsid w:val="009B6EFB"/>
    <w:rsid w:val="009B6F82"/>
    <w:rsid w:val="009B7068"/>
    <w:rsid w:val="009B7097"/>
    <w:rsid w:val="009B70B9"/>
    <w:rsid w:val="009B7733"/>
    <w:rsid w:val="009B7795"/>
    <w:rsid w:val="009B7965"/>
    <w:rsid w:val="009B796F"/>
    <w:rsid w:val="009B7ED5"/>
    <w:rsid w:val="009B7F69"/>
    <w:rsid w:val="009C011E"/>
    <w:rsid w:val="009C0232"/>
    <w:rsid w:val="009C026D"/>
    <w:rsid w:val="009C04CF"/>
    <w:rsid w:val="009C0569"/>
    <w:rsid w:val="009C0AA9"/>
    <w:rsid w:val="009C0B72"/>
    <w:rsid w:val="009C0B76"/>
    <w:rsid w:val="009C0BD2"/>
    <w:rsid w:val="009C0BD9"/>
    <w:rsid w:val="009C0ED8"/>
    <w:rsid w:val="009C0EFE"/>
    <w:rsid w:val="009C0F69"/>
    <w:rsid w:val="009C0FE9"/>
    <w:rsid w:val="009C179A"/>
    <w:rsid w:val="009C1892"/>
    <w:rsid w:val="009C19DC"/>
    <w:rsid w:val="009C1A61"/>
    <w:rsid w:val="009C1B14"/>
    <w:rsid w:val="009C1F08"/>
    <w:rsid w:val="009C2167"/>
    <w:rsid w:val="009C2459"/>
    <w:rsid w:val="009C24E2"/>
    <w:rsid w:val="009C25A1"/>
    <w:rsid w:val="009C26E1"/>
    <w:rsid w:val="009C2723"/>
    <w:rsid w:val="009C2928"/>
    <w:rsid w:val="009C2E9E"/>
    <w:rsid w:val="009C3323"/>
    <w:rsid w:val="009C3415"/>
    <w:rsid w:val="009C368F"/>
    <w:rsid w:val="009C3BCF"/>
    <w:rsid w:val="009C3C6A"/>
    <w:rsid w:val="009C3D00"/>
    <w:rsid w:val="009C3EC4"/>
    <w:rsid w:val="009C3ED7"/>
    <w:rsid w:val="009C4187"/>
    <w:rsid w:val="009C42C2"/>
    <w:rsid w:val="009C444E"/>
    <w:rsid w:val="009C461F"/>
    <w:rsid w:val="009C49CD"/>
    <w:rsid w:val="009C4B71"/>
    <w:rsid w:val="009C4ECE"/>
    <w:rsid w:val="009C5096"/>
    <w:rsid w:val="009C592C"/>
    <w:rsid w:val="009C5971"/>
    <w:rsid w:val="009C5C64"/>
    <w:rsid w:val="009C5EE2"/>
    <w:rsid w:val="009C5EE9"/>
    <w:rsid w:val="009C603B"/>
    <w:rsid w:val="009C612E"/>
    <w:rsid w:val="009C61C7"/>
    <w:rsid w:val="009C61DE"/>
    <w:rsid w:val="009C62FF"/>
    <w:rsid w:val="009C6515"/>
    <w:rsid w:val="009C6637"/>
    <w:rsid w:val="009C6714"/>
    <w:rsid w:val="009C6716"/>
    <w:rsid w:val="009C69A6"/>
    <w:rsid w:val="009C69B7"/>
    <w:rsid w:val="009C6A0A"/>
    <w:rsid w:val="009C6AB8"/>
    <w:rsid w:val="009C6BDA"/>
    <w:rsid w:val="009C6E4A"/>
    <w:rsid w:val="009C6F79"/>
    <w:rsid w:val="009C7048"/>
    <w:rsid w:val="009C7183"/>
    <w:rsid w:val="009C754C"/>
    <w:rsid w:val="009C7566"/>
    <w:rsid w:val="009C78DE"/>
    <w:rsid w:val="009C7926"/>
    <w:rsid w:val="009C7E40"/>
    <w:rsid w:val="009D009D"/>
    <w:rsid w:val="009D0554"/>
    <w:rsid w:val="009D05DF"/>
    <w:rsid w:val="009D0606"/>
    <w:rsid w:val="009D09B6"/>
    <w:rsid w:val="009D0B4D"/>
    <w:rsid w:val="009D0C12"/>
    <w:rsid w:val="009D0CD8"/>
    <w:rsid w:val="009D117A"/>
    <w:rsid w:val="009D14C1"/>
    <w:rsid w:val="009D180F"/>
    <w:rsid w:val="009D1A79"/>
    <w:rsid w:val="009D1DD6"/>
    <w:rsid w:val="009D1DF9"/>
    <w:rsid w:val="009D1E03"/>
    <w:rsid w:val="009D200D"/>
    <w:rsid w:val="009D20C3"/>
    <w:rsid w:val="009D2B6A"/>
    <w:rsid w:val="009D2F53"/>
    <w:rsid w:val="009D3037"/>
    <w:rsid w:val="009D315E"/>
    <w:rsid w:val="009D32E5"/>
    <w:rsid w:val="009D32F4"/>
    <w:rsid w:val="009D3332"/>
    <w:rsid w:val="009D36A2"/>
    <w:rsid w:val="009D3707"/>
    <w:rsid w:val="009D396D"/>
    <w:rsid w:val="009D3976"/>
    <w:rsid w:val="009D3D66"/>
    <w:rsid w:val="009D3DF1"/>
    <w:rsid w:val="009D40C0"/>
    <w:rsid w:val="009D429C"/>
    <w:rsid w:val="009D42B1"/>
    <w:rsid w:val="009D4512"/>
    <w:rsid w:val="009D45D9"/>
    <w:rsid w:val="009D4869"/>
    <w:rsid w:val="009D490A"/>
    <w:rsid w:val="009D4C28"/>
    <w:rsid w:val="009D517B"/>
    <w:rsid w:val="009D5525"/>
    <w:rsid w:val="009D5645"/>
    <w:rsid w:val="009D570F"/>
    <w:rsid w:val="009D5E10"/>
    <w:rsid w:val="009D5EE8"/>
    <w:rsid w:val="009D6574"/>
    <w:rsid w:val="009D665D"/>
    <w:rsid w:val="009D695E"/>
    <w:rsid w:val="009D6E80"/>
    <w:rsid w:val="009D723E"/>
    <w:rsid w:val="009D733C"/>
    <w:rsid w:val="009D7468"/>
    <w:rsid w:val="009D7613"/>
    <w:rsid w:val="009D788F"/>
    <w:rsid w:val="009D79B5"/>
    <w:rsid w:val="009D7CB9"/>
    <w:rsid w:val="009E090A"/>
    <w:rsid w:val="009E0BC7"/>
    <w:rsid w:val="009E0CFA"/>
    <w:rsid w:val="009E0FE4"/>
    <w:rsid w:val="009E16BF"/>
    <w:rsid w:val="009E19DF"/>
    <w:rsid w:val="009E1C98"/>
    <w:rsid w:val="009E1FDC"/>
    <w:rsid w:val="009E2119"/>
    <w:rsid w:val="009E24A1"/>
    <w:rsid w:val="009E2C5D"/>
    <w:rsid w:val="009E2E08"/>
    <w:rsid w:val="009E2E33"/>
    <w:rsid w:val="009E3048"/>
    <w:rsid w:val="009E3243"/>
    <w:rsid w:val="009E3443"/>
    <w:rsid w:val="009E345B"/>
    <w:rsid w:val="009E347C"/>
    <w:rsid w:val="009E35D3"/>
    <w:rsid w:val="009E35F1"/>
    <w:rsid w:val="009E38D8"/>
    <w:rsid w:val="009E3DD7"/>
    <w:rsid w:val="009E3F7C"/>
    <w:rsid w:val="009E4343"/>
    <w:rsid w:val="009E4574"/>
    <w:rsid w:val="009E485A"/>
    <w:rsid w:val="009E4B0E"/>
    <w:rsid w:val="009E4E33"/>
    <w:rsid w:val="009E5144"/>
    <w:rsid w:val="009E530D"/>
    <w:rsid w:val="009E57DA"/>
    <w:rsid w:val="009E591F"/>
    <w:rsid w:val="009E5ABA"/>
    <w:rsid w:val="009E5D88"/>
    <w:rsid w:val="009E5E5D"/>
    <w:rsid w:val="009E5FD2"/>
    <w:rsid w:val="009E61B9"/>
    <w:rsid w:val="009E62AE"/>
    <w:rsid w:val="009E641D"/>
    <w:rsid w:val="009E643D"/>
    <w:rsid w:val="009E6534"/>
    <w:rsid w:val="009E6652"/>
    <w:rsid w:val="009E7026"/>
    <w:rsid w:val="009E7192"/>
    <w:rsid w:val="009E7A1D"/>
    <w:rsid w:val="009E7B8C"/>
    <w:rsid w:val="009E7BCE"/>
    <w:rsid w:val="009E7C52"/>
    <w:rsid w:val="009E7DEA"/>
    <w:rsid w:val="009E7E3F"/>
    <w:rsid w:val="009F0241"/>
    <w:rsid w:val="009F0485"/>
    <w:rsid w:val="009F075B"/>
    <w:rsid w:val="009F0C6E"/>
    <w:rsid w:val="009F0E05"/>
    <w:rsid w:val="009F0ECD"/>
    <w:rsid w:val="009F0F20"/>
    <w:rsid w:val="009F1195"/>
    <w:rsid w:val="009F128E"/>
    <w:rsid w:val="009F145C"/>
    <w:rsid w:val="009F1761"/>
    <w:rsid w:val="009F1B40"/>
    <w:rsid w:val="009F1D4A"/>
    <w:rsid w:val="009F2181"/>
    <w:rsid w:val="009F24C3"/>
    <w:rsid w:val="009F2515"/>
    <w:rsid w:val="009F25B6"/>
    <w:rsid w:val="009F264B"/>
    <w:rsid w:val="009F26AF"/>
    <w:rsid w:val="009F28A2"/>
    <w:rsid w:val="009F2D68"/>
    <w:rsid w:val="009F2E58"/>
    <w:rsid w:val="009F32F2"/>
    <w:rsid w:val="009F3694"/>
    <w:rsid w:val="009F3C28"/>
    <w:rsid w:val="009F3E0E"/>
    <w:rsid w:val="009F41CA"/>
    <w:rsid w:val="009F4933"/>
    <w:rsid w:val="009F4E1B"/>
    <w:rsid w:val="009F4F3E"/>
    <w:rsid w:val="009F52B1"/>
    <w:rsid w:val="009F52D1"/>
    <w:rsid w:val="009F573A"/>
    <w:rsid w:val="009F596B"/>
    <w:rsid w:val="009F5A2F"/>
    <w:rsid w:val="009F6257"/>
    <w:rsid w:val="009F6316"/>
    <w:rsid w:val="009F63B2"/>
    <w:rsid w:val="009F6710"/>
    <w:rsid w:val="009F679E"/>
    <w:rsid w:val="009F688A"/>
    <w:rsid w:val="009F6A72"/>
    <w:rsid w:val="009F6B57"/>
    <w:rsid w:val="009F6CD2"/>
    <w:rsid w:val="009F6ED6"/>
    <w:rsid w:val="009F6F06"/>
    <w:rsid w:val="009F707C"/>
    <w:rsid w:val="009F71C8"/>
    <w:rsid w:val="009F71E1"/>
    <w:rsid w:val="009F7636"/>
    <w:rsid w:val="009F77FE"/>
    <w:rsid w:val="009F7975"/>
    <w:rsid w:val="009F79CB"/>
    <w:rsid w:val="009F7D58"/>
    <w:rsid w:val="009F7EBB"/>
    <w:rsid w:val="009F7F64"/>
    <w:rsid w:val="009F7F87"/>
    <w:rsid w:val="00A0015F"/>
    <w:rsid w:val="00A0033B"/>
    <w:rsid w:val="00A004E5"/>
    <w:rsid w:val="00A0062E"/>
    <w:rsid w:val="00A0064A"/>
    <w:rsid w:val="00A00984"/>
    <w:rsid w:val="00A00A06"/>
    <w:rsid w:val="00A00C8E"/>
    <w:rsid w:val="00A00EF4"/>
    <w:rsid w:val="00A010CC"/>
    <w:rsid w:val="00A01118"/>
    <w:rsid w:val="00A01B45"/>
    <w:rsid w:val="00A01BD9"/>
    <w:rsid w:val="00A01D7A"/>
    <w:rsid w:val="00A01ECC"/>
    <w:rsid w:val="00A0275A"/>
    <w:rsid w:val="00A029A4"/>
    <w:rsid w:val="00A029D4"/>
    <w:rsid w:val="00A02CF4"/>
    <w:rsid w:val="00A02DF5"/>
    <w:rsid w:val="00A02E25"/>
    <w:rsid w:val="00A030B1"/>
    <w:rsid w:val="00A03199"/>
    <w:rsid w:val="00A03482"/>
    <w:rsid w:val="00A03C9C"/>
    <w:rsid w:val="00A03EAC"/>
    <w:rsid w:val="00A04269"/>
    <w:rsid w:val="00A04764"/>
    <w:rsid w:val="00A047A9"/>
    <w:rsid w:val="00A04A0A"/>
    <w:rsid w:val="00A04A4B"/>
    <w:rsid w:val="00A04F93"/>
    <w:rsid w:val="00A05453"/>
    <w:rsid w:val="00A05695"/>
    <w:rsid w:val="00A057A9"/>
    <w:rsid w:val="00A05C7F"/>
    <w:rsid w:val="00A05CD7"/>
    <w:rsid w:val="00A0669A"/>
    <w:rsid w:val="00A067B3"/>
    <w:rsid w:val="00A0682D"/>
    <w:rsid w:val="00A06A7D"/>
    <w:rsid w:val="00A06C4B"/>
    <w:rsid w:val="00A06F5F"/>
    <w:rsid w:val="00A0702B"/>
    <w:rsid w:val="00A0704E"/>
    <w:rsid w:val="00A071D7"/>
    <w:rsid w:val="00A075DE"/>
    <w:rsid w:val="00A078B7"/>
    <w:rsid w:val="00A07DF1"/>
    <w:rsid w:val="00A07EA7"/>
    <w:rsid w:val="00A07FB0"/>
    <w:rsid w:val="00A1019E"/>
    <w:rsid w:val="00A1023F"/>
    <w:rsid w:val="00A10531"/>
    <w:rsid w:val="00A1062E"/>
    <w:rsid w:val="00A106A1"/>
    <w:rsid w:val="00A1071C"/>
    <w:rsid w:val="00A10A0D"/>
    <w:rsid w:val="00A10AE6"/>
    <w:rsid w:val="00A10E17"/>
    <w:rsid w:val="00A10E39"/>
    <w:rsid w:val="00A10E56"/>
    <w:rsid w:val="00A11054"/>
    <w:rsid w:val="00A116E0"/>
    <w:rsid w:val="00A119EA"/>
    <w:rsid w:val="00A11C2C"/>
    <w:rsid w:val="00A11D6B"/>
    <w:rsid w:val="00A11E40"/>
    <w:rsid w:val="00A11E9B"/>
    <w:rsid w:val="00A11EDF"/>
    <w:rsid w:val="00A12045"/>
    <w:rsid w:val="00A1211A"/>
    <w:rsid w:val="00A12185"/>
    <w:rsid w:val="00A1218F"/>
    <w:rsid w:val="00A122A9"/>
    <w:rsid w:val="00A123AF"/>
    <w:rsid w:val="00A123E9"/>
    <w:rsid w:val="00A12747"/>
    <w:rsid w:val="00A12A1B"/>
    <w:rsid w:val="00A12D4A"/>
    <w:rsid w:val="00A12E94"/>
    <w:rsid w:val="00A135A6"/>
    <w:rsid w:val="00A13994"/>
    <w:rsid w:val="00A13BE3"/>
    <w:rsid w:val="00A13C2A"/>
    <w:rsid w:val="00A14267"/>
    <w:rsid w:val="00A142BA"/>
    <w:rsid w:val="00A146E5"/>
    <w:rsid w:val="00A14855"/>
    <w:rsid w:val="00A14CB4"/>
    <w:rsid w:val="00A1511B"/>
    <w:rsid w:val="00A15876"/>
    <w:rsid w:val="00A1587D"/>
    <w:rsid w:val="00A15AF2"/>
    <w:rsid w:val="00A15D7A"/>
    <w:rsid w:val="00A16150"/>
    <w:rsid w:val="00A16170"/>
    <w:rsid w:val="00A161DF"/>
    <w:rsid w:val="00A16489"/>
    <w:rsid w:val="00A16A13"/>
    <w:rsid w:val="00A16A25"/>
    <w:rsid w:val="00A16A72"/>
    <w:rsid w:val="00A171B0"/>
    <w:rsid w:val="00A172CD"/>
    <w:rsid w:val="00A172D5"/>
    <w:rsid w:val="00A17BF0"/>
    <w:rsid w:val="00A17F6E"/>
    <w:rsid w:val="00A2017D"/>
    <w:rsid w:val="00A20492"/>
    <w:rsid w:val="00A2051B"/>
    <w:rsid w:val="00A20596"/>
    <w:rsid w:val="00A20631"/>
    <w:rsid w:val="00A207EB"/>
    <w:rsid w:val="00A20937"/>
    <w:rsid w:val="00A20D31"/>
    <w:rsid w:val="00A20F78"/>
    <w:rsid w:val="00A20F88"/>
    <w:rsid w:val="00A210BB"/>
    <w:rsid w:val="00A21731"/>
    <w:rsid w:val="00A21B3F"/>
    <w:rsid w:val="00A21F07"/>
    <w:rsid w:val="00A21F26"/>
    <w:rsid w:val="00A2212E"/>
    <w:rsid w:val="00A22258"/>
    <w:rsid w:val="00A22324"/>
    <w:rsid w:val="00A22396"/>
    <w:rsid w:val="00A22543"/>
    <w:rsid w:val="00A22841"/>
    <w:rsid w:val="00A22A8D"/>
    <w:rsid w:val="00A22C9B"/>
    <w:rsid w:val="00A22D15"/>
    <w:rsid w:val="00A22E2D"/>
    <w:rsid w:val="00A23144"/>
    <w:rsid w:val="00A23196"/>
    <w:rsid w:val="00A238A0"/>
    <w:rsid w:val="00A23D52"/>
    <w:rsid w:val="00A241FF"/>
    <w:rsid w:val="00A242D2"/>
    <w:rsid w:val="00A24318"/>
    <w:rsid w:val="00A246DE"/>
    <w:rsid w:val="00A24AC6"/>
    <w:rsid w:val="00A24D1E"/>
    <w:rsid w:val="00A24E0F"/>
    <w:rsid w:val="00A24E80"/>
    <w:rsid w:val="00A2524D"/>
    <w:rsid w:val="00A2551A"/>
    <w:rsid w:val="00A2553B"/>
    <w:rsid w:val="00A25620"/>
    <w:rsid w:val="00A25793"/>
    <w:rsid w:val="00A25A0C"/>
    <w:rsid w:val="00A25A6E"/>
    <w:rsid w:val="00A25C55"/>
    <w:rsid w:val="00A25CD7"/>
    <w:rsid w:val="00A25F51"/>
    <w:rsid w:val="00A26434"/>
    <w:rsid w:val="00A265CA"/>
    <w:rsid w:val="00A26C1A"/>
    <w:rsid w:val="00A26CCA"/>
    <w:rsid w:val="00A26E2C"/>
    <w:rsid w:val="00A26E2F"/>
    <w:rsid w:val="00A26FD3"/>
    <w:rsid w:val="00A270DB"/>
    <w:rsid w:val="00A27292"/>
    <w:rsid w:val="00A2753D"/>
    <w:rsid w:val="00A27605"/>
    <w:rsid w:val="00A27D09"/>
    <w:rsid w:val="00A27FEA"/>
    <w:rsid w:val="00A3033F"/>
    <w:rsid w:val="00A3038F"/>
    <w:rsid w:val="00A305F6"/>
    <w:rsid w:val="00A3061E"/>
    <w:rsid w:val="00A308A7"/>
    <w:rsid w:val="00A30BBA"/>
    <w:rsid w:val="00A30E95"/>
    <w:rsid w:val="00A311F8"/>
    <w:rsid w:val="00A314D1"/>
    <w:rsid w:val="00A317DA"/>
    <w:rsid w:val="00A3188B"/>
    <w:rsid w:val="00A31AF0"/>
    <w:rsid w:val="00A31B77"/>
    <w:rsid w:val="00A31D5E"/>
    <w:rsid w:val="00A32087"/>
    <w:rsid w:val="00A3228A"/>
    <w:rsid w:val="00A323C3"/>
    <w:rsid w:val="00A32577"/>
    <w:rsid w:val="00A32647"/>
    <w:rsid w:val="00A3274F"/>
    <w:rsid w:val="00A32F81"/>
    <w:rsid w:val="00A33157"/>
    <w:rsid w:val="00A3322A"/>
    <w:rsid w:val="00A33504"/>
    <w:rsid w:val="00A335BD"/>
    <w:rsid w:val="00A33888"/>
    <w:rsid w:val="00A339E3"/>
    <w:rsid w:val="00A33A7B"/>
    <w:rsid w:val="00A33D0A"/>
    <w:rsid w:val="00A34162"/>
    <w:rsid w:val="00A341FF"/>
    <w:rsid w:val="00A34270"/>
    <w:rsid w:val="00A346D1"/>
    <w:rsid w:val="00A348A5"/>
    <w:rsid w:val="00A34AC1"/>
    <w:rsid w:val="00A34B11"/>
    <w:rsid w:val="00A34E09"/>
    <w:rsid w:val="00A3526B"/>
    <w:rsid w:val="00A35D74"/>
    <w:rsid w:val="00A3622E"/>
    <w:rsid w:val="00A3623F"/>
    <w:rsid w:val="00A36266"/>
    <w:rsid w:val="00A369E4"/>
    <w:rsid w:val="00A36B2C"/>
    <w:rsid w:val="00A36CAD"/>
    <w:rsid w:val="00A36CB7"/>
    <w:rsid w:val="00A36CD7"/>
    <w:rsid w:val="00A36E05"/>
    <w:rsid w:val="00A36F38"/>
    <w:rsid w:val="00A372DE"/>
    <w:rsid w:val="00A3739A"/>
    <w:rsid w:val="00A3749C"/>
    <w:rsid w:val="00A37E9A"/>
    <w:rsid w:val="00A37EDD"/>
    <w:rsid w:val="00A4022D"/>
    <w:rsid w:val="00A40239"/>
    <w:rsid w:val="00A402C1"/>
    <w:rsid w:val="00A4040B"/>
    <w:rsid w:val="00A4049B"/>
    <w:rsid w:val="00A4061E"/>
    <w:rsid w:val="00A406F2"/>
    <w:rsid w:val="00A408FA"/>
    <w:rsid w:val="00A40932"/>
    <w:rsid w:val="00A40BE9"/>
    <w:rsid w:val="00A40D89"/>
    <w:rsid w:val="00A40ED5"/>
    <w:rsid w:val="00A41197"/>
    <w:rsid w:val="00A4137E"/>
    <w:rsid w:val="00A4160E"/>
    <w:rsid w:val="00A416C8"/>
    <w:rsid w:val="00A41787"/>
    <w:rsid w:val="00A42114"/>
    <w:rsid w:val="00A421FE"/>
    <w:rsid w:val="00A42276"/>
    <w:rsid w:val="00A4229B"/>
    <w:rsid w:val="00A426B5"/>
    <w:rsid w:val="00A4277F"/>
    <w:rsid w:val="00A42792"/>
    <w:rsid w:val="00A429A5"/>
    <w:rsid w:val="00A42C96"/>
    <w:rsid w:val="00A42CF7"/>
    <w:rsid w:val="00A42DA0"/>
    <w:rsid w:val="00A43102"/>
    <w:rsid w:val="00A43246"/>
    <w:rsid w:val="00A43294"/>
    <w:rsid w:val="00A432B7"/>
    <w:rsid w:val="00A4335B"/>
    <w:rsid w:val="00A433E7"/>
    <w:rsid w:val="00A43442"/>
    <w:rsid w:val="00A435D8"/>
    <w:rsid w:val="00A4361B"/>
    <w:rsid w:val="00A4367B"/>
    <w:rsid w:val="00A43776"/>
    <w:rsid w:val="00A43A25"/>
    <w:rsid w:val="00A43B83"/>
    <w:rsid w:val="00A4414B"/>
    <w:rsid w:val="00A4450C"/>
    <w:rsid w:val="00A44777"/>
    <w:rsid w:val="00A44A46"/>
    <w:rsid w:val="00A44B5D"/>
    <w:rsid w:val="00A44D33"/>
    <w:rsid w:val="00A45163"/>
    <w:rsid w:val="00A453A3"/>
    <w:rsid w:val="00A457E6"/>
    <w:rsid w:val="00A45862"/>
    <w:rsid w:val="00A46055"/>
    <w:rsid w:val="00A4607F"/>
    <w:rsid w:val="00A460D4"/>
    <w:rsid w:val="00A46550"/>
    <w:rsid w:val="00A46936"/>
    <w:rsid w:val="00A46960"/>
    <w:rsid w:val="00A46AF2"/>
    <w:rsid w:val="00A46BDF"/>
    <w:rsid w:val="00A46C56"/>
    <w:rsid w:val="00A471E3"/>
    <w:rsid w:val="00A47C0E"/>
    <w:rsid w:val="00A47C5B"/>
    <w:rsid w:val="00A47E29"/>
    <w:rsid w:val="00A47FB1"/>
    <w:rsid w:val="00A50179"/>
    <w:rsid w:val="00A50300"/>
    <w:rsid w:val="00A50386"/>
    <w:rsid w:val="00A5047D"/>
    <w:rsid w:val="00A5052F"/>
    <w:rsid w:val="00A509B8"/>
    <w:rsid w:val="00A5149F"/>
    <w:rsid w:val="00A51757"/>
    <w:rsid w:val="00A51AE0"/>
    <w:rsid w:val="00A51B60"/>
    <w:rsid w:val="00A51B8A"/>
    <w:rsid w:val="00A528CB"/>
    <w:rsid w:val="00A52988"/>
    <w:rsid w:val="00A529A5"/>
    <w:rsid w:val="00A529EC"/>
    <w:rsid w:val="00A52A33"/>
    <w:rsid w:val="00A52CA7"/>
    <w:rsid w:val="00A52DAC"/>
    <w:rsid w:val="00A530D8"/>
    <w:rsid w:val="00A5390B"/>
    <w:rsid w:val="00A539B8"/>
    <w:rsid w:val="00A53B24"/>
    <w:rsid w:val="00A53E14"/>
    <w:rsid w:val="00A53FCA"/>
    <w:rsid w:val="00A53FF2"/>
    <w:rsid w:val="00A5416C"/>
    <w:rsid w:val="00A543C1"/>
    <w:rsid w:val="00A544B3"/>
    <w:rsid w:val="00A54596"/>
    <w:rsid w:val="00A54724"/>
    <w:rsid w:val="00A54996"/>
    <w:rsid w:val="00A54A5F"/>
    <w:rsid w:val="00A54B26"/>
    <w:rsid w:val="00A54CD3"/>
    <w:rsid w:val="00A54F83"/>
    <w:rsid w:val="00A55052"/>
    <w:rsid w:val="00A55284"/>
    <w:rsid w:val="00A552C8"/>
    <w:rsid w:val="00A5537C"/>
    <w:rsid w:val="00A55475"/>
    <w:rsid w:val="00A5554E"/>
    <w:rsid w:val="00A55561"/>
    <w:rsid w:val="00A556C9"/>
    <w:rsid w:val="00A55840"/>
    <w:rsid w:val="00A55BC6"/>
    <w:rsid w:val="00A55ED9"/>
    <w:rsid w:val="00A55EDF"/>
    <w:rsid w:val="00A55F4C"/>
    <w:rsid w:val="00A561CD"/>
    <w:rsid w:val="00A5630C"/>
    <w:rsid w:val="00A5668F"/>
    <w:rsid w:val="00A5671C"/>
    <w:rsid w:val="00A56792"/>
    <w:rsid w:val="00A56943"/>
    <w:rsid w:val="00A56A9A"/>
    <w:rsid w:val="00A56AF0"/>
    <w:rsid w:val="00A56BFC"/>
    <w:rsid w:val="00A56CE0"/>
    <w:rsid w:val="00A56E8C"/>
    <w:rsid w:val="00A56ED5"/>
    <w:rsid w:val="00A57202"/>
    <w:rsid w:val="00A57625"/>
    <w:rsid w:val="00A57BD6"/>
    <w:rsid w:val="00A57CF5"/>
    <w:rsid w:val="00A57E4F"/>
    <w:rsid w:val="00A604F1"/>
    <w:rsid w:val="00A607B7"/>
    <w:rsid w:val="00A60E05"/>
    <w:rsid w:val="00A60FED"/>
    <w:rsid w:val="00A610D5"/>
    <w:rsid w:val="00A611DF"/>
    <w:rsid w:val="00A61494"/>
    <w:rsid w:val="00A6169D"/>
    <w:rsid w:val="00A61892"/>
    <w:rsid w:val="00A618D3"/>
    <w:rsid w:val="00A61A9A"/>
    <w:rsid w:val="00A61CC7"/>
    <w:rsid w:val="00A62009"/>
    <w:rsid w:val="00A62035"/>
    <w:rsid w:val="00A62491"/>
    <w:rsid w:val="00A62501"/>
    <w:rsid w:val="00A625EA"/>
    <w:rsid w:val="00A62639"/>
    <w:rsid w:val="00A62708"/>
    <w:rsid w:val="00A62A22"/>
    <w:rsid w:val="00A62A8F"/>
    <w:rsid w:val="00A62C7C"/>
    <w:rsid w:val="00A63318"/>
    <w:rsid w:val="00A633D9"/>
    <w:rsid w:val="00A63496"/>
    <w:rsid w:val="00A63521"/>
    <w:rsid w:val="00A63653"/>
    <w:rsid w:val="00A636D1"/>
    <w:rsid w:val="00A63AA8"/>
    <w:rsid w:val="00A63EF3"/>
    <w:rsid w:val="00A6424E"/>
    <w:rsid w:val="00A6430C"/>
    <w:rsid w:val="00A64540"/>
    <w:rsid w:val="00A646FB"/>
    <w:rsid w:val="00A64731"/>
    <w:rsid w:val="00A647B5"/>
    <w:rsid w:val="00A64849"/>
    <w:rsid w:val="00A648BB"/>
    <w:rsid w:val="00A648E6"/>
    <w:rsid w:val="00A64978"/>
    <w:rsid w:val="00A64CA9"/>
    <w:rsid w:val="00A64E8C"/>
    <w:rsid w:val="00A6502A"/>
    <w:rsid w:val="00A65316"/>
    <w:rsid w:val="00A6537B"/>
    <w:rsid w:val="00A6546F"/>
    <w:rsid w:val="00A655E7"/>
    <w:rsid w:val="00A6568A"/>
    <w:rsid w:val="00A6579B"/>
    <w:rsid w:val="00A65E81"/>
    <w:rsid w:val="00A6608F"/>
    <w:rsid w:val="00A66412"/>
    <w:rsid w:val="00A669C6"/>
    <w:rsid w:val="00A66C8E"/>
    <w:rsid w:val="00A66D78"/>
    <w:rsid w:val="00A66E30"/>
    <w:rsid w:val="00A67099"/>
    <w:rsid w:val="00A6724D"/>
    <w:rsid w:val="00A675BB"/>
    <w:rsid w:val="00A67608"/>
    <w:rsid w:val="00A67AF9"/>
    <w:rsid w:val="00A67BFE"/>
    <w:rsid w:val="00A67DDD"/>
    <w:rsid w:val="00A7029E"/>
    <w:rsid w:val="00A70537"/>
    <w:rsid w:val="00A7057D"/>
    <w:rsid w:val="00A70D26"/>
    <w:rsid w:val="00A70DD9"/>
    <w:rsid w:val="00A70EC8"/>
    <w:rsid w:val="00A70F4B"/>
    <w:rsid w:val="00A7143E"/>
    <w:rsid w:val="00A716FC"/>
    <w:rsid w:val="00A71A37"/>
    <w:rsid w:val="00A71C68"/>
    <w:rsid w:val="00A71CC5"/>
    <w:rsid w:val="00A71FB0"/>
    <w:rsid w:val="00A720DD"/>
    <w:rsid w:val="00A720F2"/>
    <w:rsid w:val="00A72112"/>
    <w:rsid w:val="00A72272"/>
    <w:rsid w:val="00A7267F"/>
    <w:rsid w:val="00A72724"/>
    <w:rsid w:val="00A72752"/>
    <w:rsid w:val="00A729D9"/>
    <w:rsid w:val="00A72ACD"/>
    <w:rsid w:val="00A72C4B"/>
    <w:rsid w:val="00A72D05"/>
    <w:rsid w:val="00A73040"/>
    <w:rsid w:val="00A730D3"/>
    <w:rsid w:val="00A7311B"/>
    <w:rsid w:val="00A7349A"/>
    <w:rsid w:val="00A734C9"/>
    <w:rsid w:val="00A7370F"/>
    <w:rsid w:val="00A738DF"/>
    <w:rsid w:val="00A73B71"/>
    <w:rsid w:val="00A73C61"/>
    <w:rsid w:val="00A73C66"/>
    <w:rsid w:val="00A73D25"/>
    <w:rsid w:val="00A73D44"/>
    <w:rsid w:val="00A745D3"/>
    <w:rsid w:val="00A74762"/>
    <w:rsid w:val="00A7488D"/>
    <w:rsid w:val="00A74C0B"/>
    <w:rsid w:val="00A74CA0"/>
    <w:rsid w:val="00A74D73"/>
    <w:rsid w:val="00A74F4F"/>
    <w:rsid w:val="00A7552B"/>
    <w:rsid w:val="00A755E8"/>
    <w:rsid w:val="00A757FE"/>
    <w:rsid w:val="00A7587F"/>
    <w:rsid w:val="00A75AC6"/>
    <w:rsid w:val="00A75B80"/>
    <w:rsid w:val="00A75C35"/>
    <w:rsid w:val="00A75E0E"/>
    <w:rsid w:val="00A75E29"/>
    <w:rsid w:val="00A75ED7"/>
    <w:rsid w:val="00A76384"/>
    <w:rsid w:val="00A76572"/>
    <w:rsid w:val="00A76803"/>
    <w:rsid w:val="00A76C80"/>
    <w:rsid w:val="00A76E66"/>
    <w:rsid w:val="00A76E9B"/>
    <w:rsid w:val="00A76F4A"/>
    <w:rsid w:val="00A76F82"/>
    <w:rsid w:val="00A77582"/>
    <w:rsid w:val="00A77A2B"/>
    <w:rsid w:val="00A77ADA"/>
    <w:rsid w:val="00A77CAD"/>
    <w:rsid w:val="00A77ED1"/>
    <w:rsid w:val="00A804BA"/>
    <w:rsid w:val="00A80583"/>
    <w:rsid w:val="00A805D9"/>
    <w:rsid w:val="00A80692"/>
    <w:rsid w:val="00A80A58"/>
    <w:rsid w:val="00A80CB0"/>
    <w:rsid w:val="00A81197"/>
    <w:rsid w:val="00A81369"/>
    <w:rsid w:val="00A817F2"/>
    <w:rsid w:val="00A81A36"/>
    <w:rsid w:val="00A81D65"/>
    <w:rsid w:val="00A81FAA"/>
    <w:rsid w:val="00A82022"/>
    <w:rsid w:val="00A8202C"/>
    <w:rsid w:val="00A823C8"/>
    <w:rsid w:val="00A8279E"/>
    <w:rsid w:val="00A82EE9"/>
    <w:rsid w:val="00A82F80"/>
    <w:rsid w:val="00A831B1"/>
    <w:rsid w:val="00A8323A"/>
    <w:rsid w:val="00A83626"/>
    <w:rsid w:val="00A836C0"/>
    <w:rsid w:val="00A83C52"/>
    <w:rsid w:val="00A83E22"/>
    <w:rsid w:val="00A83F2A"/>
    <w:rsid w:val="00A83F7B"/>
    <w:rsid w:val="00A84231"/>
    <w:rsid w:val="00A84474"/>
    <w:rsid w:val="00A848AF"/>
    <w:rsid w:val="00A84D65"/>
    <w:rsid w:val="00A8503C"/>
    <w:rsid w:val="00A85091"/>
    <w:rsid w:val="00A85330"/>
    <w:rsid w:val="00A854F6"/>
    <w:rsid w:val="00A85814"/>
    <w:rsid w:val="00A858CD"/>
    <w:rsid w:val="00A85E32"/>
    <w:rsid w:val="00A86267"/>
    <w:rsid w:val="00A86285"/>
    <w:rsid w:val="00A862D9"/>
    <w:rsid w:val="00A8637F"/>
    <w:rsid w:val="00A864BF"/>
    <w:rsid w:val="00A8698F"/>
    <w:rsid w:val="00A86998"/>
    <w:rsid w:val="00A86BBE"/>
    <w:rsid w:val="00A87041"/>
    <w:rsid w:val="00A873DE"/>
    <w:rsid w:val="00A875C4"/>
    <w:rsid w:val="00A87733"/>
    <w:rsid w:val="00A8783B"/>
    <w:rsid w:val="00A87B06"/>
    <w:rsid w:val="00A87DC6"/>
    <w:rsid w:val="00A9029A"/>
    <w:rsid w:val="00A9049C"/>
    <w:rsid w:val="00A907D3"/>
    <w:rsid w:val="00A90C62"/>
    <w:rsid w:val="00A911C9"/>
    <w:rsid w:val="00A91243"/>
    <w:rsid w:val="00A9128A"/>
    <w:rsid w:val="00A91383"/>
    <w:rsid w:val="00A913C3"/>
    <w:rsid w:val="00A91515"/>
    <w:rsid w:val="00A91632"/>
    <w:rsid w:val="00A91909"/>
    <w:rsid w:val="00A91B2B"/>
    <w:rsid w:val="00A91DCC"/>
    <w:rsid w:val="00A91F34"/>
    <w:rsid w:val="00A920C9"/>
    <w:rsid w:val="00A920DF"/>
    <w:rsid w:val="00A922AC"/>
    <w:rsid w:val="00A923A4"/>
    <w:rsid w:val="00A925E9"/>
    <w:rsid w:val="00A9278C"/>
    <w:rsid w:val="00A929D5"/>
    <w:rsid w:val="00A92D53"/>
    <w:rsid w:val="00A92D82"/>
    <w:rsid w:val="00A92ED2"/>
    <w:rsid w:val="00A93086"/>
    <w:rsid w:val="00A932D2"/>
    <w:rsid w:val="00A936E1"/>
    <w:rsid w:val="00A93A51"/>
    <w:rsid w:val="00A93E41"/>
    <w:rsid w:val="00A93E66"/>
    <w:rsid w:val="00A93F6D"/>
    <w:rsid w:val="00A9435E"/>
    <w:rsid w:val="00A94957"/>
    <w:rsid w:val="00A94FEC"/>
    <w:rsid w:val="00A9587D"/>
    <w:rsid w:val="00A95C62"/>
    <w:rsid w:val="00A95DB0"/>
    <w:rsid w:val="00A962B9"/>
    <w:rsid w:val="00A96611"/>
    <w:rsid w:val="00A966CB"/>
    <w:rsid w:val="00A96791"/>
    <w:rsid w:val="00A96949"/>
    <w:rsid w:val="00A96F2F"/>
    <w:rsid w:val="00A97057"/>
    <w:rsid w:val="00A97719"/>
    <w:rsid w:val="00A977A1"/>
    <w:rsid w:val="00A97802"/>
    <w:rsid w:val="00A9781C"/>
    <w:rsid w:val="00A9788F"/>
    <w:rsid w:val="00A978E8"/>
    <w:rsid w:val="00A97AD0"/>
    <w:rsid w:val="00A97C41"/>
    <w:rsid w:val="00A97E0C"/>
    <w:rsid w:val="00A97EB6"/>
    <w:rsid w:val="00AA00E9"/>
    <w:rsid w:val="00AA011C"/>
    <w:rsid w:val="00AA05B1"/>
    <w:rsid w:val="00AA0671"/>
    <w:rsid w:val="00AA067C"/>
    <w:rsid w:val="00AA06A9"/>
    <w:rsid w:val="00AA0A6D"/>
    <w:rsid w:val="00AA0D64"/>
    <w:rsid w:val="00AA0F05"/>
    <w:rsid w:val="00AA0F34"/>
    <w:rsid w:val="00AA0F97"/>
    <w:rsid w:val="00AA107C"/>
    <w:rsid w:val="00AA125A"/>
    <w:rsid w:val="00AA1418"/>
    <w:rsid w:val="00AA1699"/>
    <w:rsid w:val="00AA1706"/>
    <w:rsid w:val="00AA195D"/>
    <w:rsid w:val="00AA19B2"/>
    <w:rsid w:val="00AA1A55"/>
    <w:rsid w:val="00AA1AA4"/>
    <w:rsid w:val="00AA1D0E"/>
    <w:rsid w:val="00AA23D7"/>
    <w:rsid w:val="00AA26C4"/>
    <w:rsid w:val="00AA2794"/>
    <w:rsid w:val="00AA2CA2"/>
    <w:rsid w:val="00AA2CAF"/>
    <w:rsid w:val="00AA2D4C"/>
    <w:rsid w:val="00AA2F87"/>
    <w:rsid w:val="00AA301F"/>
    <w:rsid w:val="00AA37F2"/>
    <w:rsid w:val="00AA3ADA"/>
    <w:rsid w:val="00AA3F1B"/>
    <w:rsid w:val="00AA40E8"/>
    <w:rsid w:val="00AA4905"/>
    <w:rsid w:val="00AA4954"/>
    <w:rsid w:val="00AA4A89"/>
    <w:rsid w:val="00AA4F0F"/>
    <w:rsid w:val="00AA4F8F"/>
    <w:rsid w:val="00AA4FBD"/>
    <w:rsid w:val="00AA520D"/>
    <w:rsid w:val="00AA5250"/>
    <w:rsid w:val="00AA56B7"/>
    <w:rsid w:val="00AA56F9"/>
    <w:rsid w:val="00AA5BC4"/>
    <w:rsid w:val="00AA5CEB"/>
    <w:rsid w:val="00AA5F0E"/>
    <w:rsid w:val="00AA5FD5"/>
    <w:rsid w:val="00AA6001"/>
    <w:rsid w:val="00AA60FB"/>
    <w:rsid w:val="00AA61C4"/>
    <w:rsid w:val="00AA6339"/>
    <w:rsid w:val="00AA6551"/>
    <w:rsid w:val="00AA655C"/>
    <w:rsid w:val="00AA76BE"/>
    <w:rsid w:val="00AA7817"/>
    <w:rsid w:val="00AA7CCD"/>
    <w:rsid w:val="00AA7F66"/>
    <w:rsid w:val="00AA7F95"/>
    <w:rsid w:val="00AB0042"/>
    <w:rsid w:val="00AB009A"/>
    <w:rsid w:val="00AB04D6"/>
    <w:rsid w:val="00AB05E8"/>
    <w:rsid w:val="00AB0AFD"/>
    <w:rsid w:val="00AB0E28"/>
    <w:rsid w:val="00AB0F54"/>
    <w:rsid w:val="00AB1013"/>
    <w:rsid w:val="00AB2314"/>
    <w:rsid w:val="00AB23E1"/>
    <w:rsid w:val="00AB25A7"/>
    <w:rsid w:val="00AB2C33"/>
    <w:rsid w:val="00AB2D23"/>
    <w:rsid w:val="00AB2D91"/>
    <w:rsid w:val="00AB3204"/>
    <w:rsid w:val="00AB324C"/>
    <w:rsid w:val="00AB33B4"/>
    <w:rsid w:val="00AB33BF"/>
    <w:rsid w:val="00AB3526"/>
    <w:rsid w:val="00AB3693"/>
    <w:rsid w:val="00AB3C23"/>
    <w:rsid w:val="00AB3D11"/>
    <w:rsid w:val="00AB457D"/>
    <w:rsid w:val="00AB4912"/>
    <w:rsid w:val="00AB4F80"/>
    <w:rsid w:val="00AB501A"/>
    <w:rsid w:val="00AB55B4"/>
    <w:rsid w:val="00AB5790"/>
    <w:rsid w:val="00AB59D9"/>
    <w:rsid w:val="00AB5A72"/>
    <w:rsid w:val="00AB5E1A"/>
    <w:rsid w:val="00AB5F87"/>
    <w:rsid w:val="00AB64AC"/>
    <w:rsid w:val="00AB68C8"/>
    <w:rsid w:val="00AB6A51"/>
    <w:rsid w:val="00AB6D4D"/>
    <w:rsid w:val="00AB6DCF"/>
    <w:rsid w:val="00AB6F90"/>
    <w:rsid w:val="00AB7156"/>
    <w:rsid w:val="00AB7330"/>
    <w:rsid w:val="00AB7347"/>
    <w:rsid w:val="00AB7ACF"/>
    <w:rsid w:val="00AB7C38"/>
    <w:rsid w:val="00AC0111"/>
    <w:rsid w:val="00AC032E"/>
    <w:rsid w:val="00AC04B1"/>
    <w:rsid w:val="00AC06BB"/>
    <w:rsid w:val="00AC088E"/>
    <w:rsid w:val="00AC09DB"/>
    <w:rsid w:val="00AC0A87"/>
    <w:rsid w:val="00AC0CB3"/>
    <w:rsid w:val="00AC0DB0"/>
    <w:rsid w:val="00AC1053"/>
    <w:rsid w:val="00AC1139"/>
    <w:rsid w:val="00AC1517"/>
    <w:rsid w:val="00AC1892"/>
    <w:rsid w:val="00AC1C42"/>
    <w:rsid w:val="00AC218F"/>
    <w:rsid w:val="00AC23B4"/>
    <w:rsid w:val="00AC23DE"/>
    <w:rsid w:val="00AC2670"/>
    <w:rsid w:val="00AC2752"/>
    <w:rsid w:val="00AC29E9"/>
    <w:rsid w:val="00AC2A6C"/>
    <w:rsid w:val="00AC2AD1"/>
    <w:rsid w:val="00AC2C83"/>
    <w:rsid w:val="00AC2E53"/>
    <w:rsid w:val="00AC2E92"/>
    <w:rsid w:val="00AC3028"/>
    <w:rsid w:val="00AC30A0"/>
    <w:rsid w:val="00AC314C"/>
    <w:rsid w:val="00AC33B5"/>
    <w:rsid w:val="00AC411D"/>
    <w:rsid w:val="00AC44D6"/>
    <w:rsid w:val="00AC45E8"/>
    <w:rsid w:val="00AC47D6"/>
    <w:rsid w:val="00AC4857"/>
    <w:rsid w:val="00AC4883"/>
    <w:rsid w:val="00AC4990"/>
    <w:rsid w:val="00AC49A0"/>
    <w:rsid w:val="00AC49EA"/>
    <w:rsid w:val="00AC49EB"/>
    <w:rsid w:val="00AC4A85"/>
    <w:rsid w:val="00AC4AB6"/>
    <w:rsid w:val="00AC4ADB"/>
    <w:rsid w:val="00AC4E09"/>
    <w:rsid w:val="00AC4E41"/>
    <w:rsid w:val="00AC523A"/>
    <w:rsid w:val="00AC52F7"/>
    <w:rsid w:val="00AC545E"/>
    <w:rsid w:val="00AC5748"/>
    <w:rsid w:val="00AC5B85"/>
    <w:rsid w:val="00AC5BE0"/>
    <w:rsid w:val="00AC60B7"/>
    <w:rsid w:val="00AC63C1"/>
    <w:rsid w:val="00AC63DF"/>
    <w:rsid w:val="00AC64AD"/>
    <w:rsid w:val="00AC6BD8"/>
    <w:rsid w:val="00AC6D32"/>
    <w:rsid w:val="00AC6E26"/>
    <w:rsid w:val="00AC7069"/>
    <w:rsid w:val="00AC721B"/>
    <w:rsid w:val="00AC728D"/>
    <w:rsid w:val="00AC730F"/>
    <w:rsid w:val="00AC79C7"/>
    <w:rsid w:val="00AC7AD1"/>
    <w:rsid w:val="00AC7B5F"/>
    <w:rsid w:val="00AC7CA6"/>
    <w:rsid w:val="00AD08A1"/>
    <w:rsid w:val="00AD0A2F"/>
    <w:rsid w:val="00AD0F2F"/>
    <w:rsid w:val="00AD1063"/>
    <w:rsid w:val="00AD11CA"/>
    <w:rsid w:val="00AD126A"/>
    <w:rsid w:val="00AD1477"/>
    <w:rsid w:val="00AD175B"/>
    <w:rsid w:val="00AD17DB"/>
    <w:rsid w:val="00AD187A"/>
    <w:rsid w:val="00AD1A1E"/>
    <w:rsid w:val="00AD1CB6"/>
    <w:rsid w:val="00AD1DAD"/>
    <w:rsid w:val="00AD2094"/>
    <w:rsid w:val="00AD22B2"/>
    <w:rsid w:val="00AD233C"/>
    <w:rsid w:val="00AD2565"/>
    <w:rsid w:val="00AD26A6"/>
    <w:rsid w:val="00AD278F"/>
    <w:rsid w:val="00AD2B3B"/>
    <w:rsid w:val="00AD2B67"/>
    <w:rsid w:val="00AD2D18"/>
    <w:rsid w:val="00AD2DFA"/>
    <w:rsid w:val="00AD359F"/>
    <w:rsid w:val="00AD36CE"/>
    <w:rsid w:val="00AD3CD6"/>
    <w:rsid w:val="00AD40D0"/>
    <w:rsid w:val="00AD4272"/>
    <w:rsid w:val="00AD4554"/>
    <w:rsid w:val="00AD465E"/>
    <w:rsid w:val="00AD48F3"/>
    <w:rsid w:val="00AD4A2E"/>
    <w:rsid w:val="00AD4BEC"/>
    <w:rsid w:val="00AD52AE"/>
    <w:rsid w:val="00AD52FD"/>
    <w:rsid w:val="00AD5687"/>
    <w:rsid w:val="00AD5709"/>
    <w:rsid w:val="00AD5B94"/>
    <w:rsid w:val="00AD5C68"/>
    <w:rsid w:val="00AD5E05"/>
    <w:rsid w:val="00AD5FA7"/>
    <w:rsid w:val="00AD609C"/>
    <w:rsid w:val="00AD6136"/>
    <w:rsid w:val="00AD6342"/>
    <w:rsid w:val="00AD6459"/>
    <w:rsid w:val="00AD646B"/>
    <w:rsid w:val="00AD6555"/>
    <w:rsid w:val="00AD6786"/>
    <w:rsid w:val="00AD6944"/>
    <w:rsid w:val="00AD69DB"/>
    <w:rsid w:val="00AD6B0E"/>
    <w:rsid w:val="00AD6F03"/>
    <w:rsid w:val="00AD6F92"/>
    <w:rsid w:val="00AD7362"/>
    <w:rsid w:val="00AD752F"/>
    <w:rsid w:val="00AD7532"/>
    <w:rsid w:val="00AD75E5"/>
    <w:rsid w:val="00AD7618"/>
    <w:rsid w:val="00AD7725"/>
    <w:rsid w:val="00AD7726"/>
    <w:rsid w:val="00AD7781"/>
    <w:rsid w:val="00AD7993"/>
    <w:rsid w:val="00AD7C38"/>
    <w:rsid w:val="00AD7FCB"/>
    <w:rsid w:val="00AE0230"/>
    <w:rsid w:val="00AE0357"/>
    <w:rsid w:val="00AE0BBA"/>
    <w:rsid w:val="00AE0CAB"/>
    <w:rsid w:val="00AE0CBB"/>
    <w:rsid w:val="00AE0CFB"/>
    <w:rsid w:val="00AE1552"/>
    <w:rsid w:val="00AE15D3"/>
    <w:rsid w:val="00AE184D"/>
    <w:rsid w:val="00AE226F"/>
    <w:rsid w:val="00AE24F4"/>
    <w:rsid w:val="00AE26F1"/>
    <w:rsid w:val="00AE2956"/>
    <w:rsid w:val="00AE29FB"/>
    <w:rsid w:val="00AE2CE8"/>
    <w:rsid w:val="00AE3154"/>
    <w:rsid w:val="00AE33FF"/>
    <w:rsid w:val="00AE36CF"/>
    <w:rsid w:val="00AE3CCE"/>
    <w:rsid w:val="00AE3D6C"/>
    <w:rsid w:val="00AE3E10"/>
    <w:rsid w:val="00AE3E15"/>
    <w:rsid w:val="00AE4116"/>
    <w:rsid w:val="00AE41A0"/>
    <w:rsid w:val="00AE4471"/>
    <w:rsid w:val="00AE450A"/>
    <w:rsid w:val="00AE45A5"/>
    <w:rsid w:val="00AE48C9"/>
    <w:rsid w:val="00AE4E89"/>
    <w:rsid w:val="00AE4EB6"/>
    <w:rsid w:val="00AE4F13"/>
    <w:rsid w:val="00AE50F4"/>
    <w:rsid w:val="00AE531B"/>
    <w:rsid w:val="00AE53AC"/>
    <w:rsid w:val="00AE53C7"/>
    <w:rsid w:val="00AE5811"/>
    <w:rsid w:val="00AE583F"/>
    <w:rsid w:val="00AE6476"/>
    <w:rsid w:val="00AE64C5"/>
    <w:rsid w:val="00AE65BA"/>
    <w:rsid w:val="00AE6BE5"/>
    <w:rsid w:val="00AE6C8A"/>
    <w:rsid w:val="00AE739F"/>
    <w:rsid w:val="00AE7605"/>
    <w:rsid w:val="00AE766F"/>
    <w:rsid w:val="00AE7A97"/>
    <w:rsid w:val="00AE7AA6"/>
    <w:rsid w:val="00AE7C46"/>
    <w:rsid w:val="00AE7D1E"/>
    <w:rsid w:val="00AF0383"/>
    <w:rsid w:val="00AF04FF"/>
    <w:rsid w:val="00AF0574"/>
    <w:rsid w:val="00AF07C1"/>
    <w:rsid w:val="00AF0A30"/>
    <w:rsid w:val="00AF0D4E"/>
    <w:rsid w:val="00AF0D7C"/>
    <w:rsid w:val="00AF0F0F"/>
    <w:rsid w:val="00AF10A3"/>
    <w:rsid w:val="00AF10CB"/>
    <w:rsid w:val="00AF10D8"/>
    <w:rsid w:val="00AF1608"/>
    <w:rsid w:val="00AF173C"/>
    <w:rsid w:val="00AF1749"/>
    <w:rsid w:val="00AF192D"/>
    <w:rsid w:val="00AF1D6F"/>
    <w:rsid w:val="00AF1E24"/>
    <w:rsid w:val="00AF1F14"/>
    <w:rsid w:val="00AF2346"/>
    <w:rsid w:val="00AF245C"/>
    <w:rsid w:val="00AF282C"/>
    <w:rsid w:val="00AF2EE2"/>
    <w:rsid w:val="00AF2EEC"/>
    <w:rsid w:val="00AF30EA"/>
    <w:rsid w:val="00AF3420"/>
    <w:rsid w:val="00AF3509"/>
    <w:rsid w:val="00AF3793"/>
    <w:rsid w:val="00AF37E4"/>
    <w:rsid w:val="00AF3ABF"/>
    <w:rsid w:val="00AF3D1A"/>
    <w:rsid w:val="00AF3F80"/>
    <w:rsid w:val="00AF4501"/>
    <w:rsid w:val="00AF45CB"/>
    <w:rsid w:val="00AF47A3"/>
    <w:rsid w:val="00AF4E9A"/>
    <w:rsid w:val="00AF51D7"/>
    <w:rsid w:val="00AF59D0"/>
    <w:rsid w:val="00AF5DAB"/>
    <w:rsid w:val="00AF5FCC"/>
    <w:rsid w:val="00AF6058"/>
    <w:rsid w:val="00AF62EB"/>
    <w:rsid w:val="00AF636A"/>
    <w:rsid w:val="00AF65E4"/>
    <w:rsid w:val="00AF68B6"/>
    <w:rsid w:val="00AF6A00"/>
    <w:rsid w:val="00AF6B18"/>
    <w:rsid w:val="00AF6B60"/>
    <w:rsid w:val="00AF6F45"/>
    <w:rsid w:val="00AF7134"/>
    <w:rsid w:val="00AF730A"/>
    <w:rsid w:val="00AF74D5"/>
    <w:rsid w:val="00AF776C"/>
    <w:rsid w:val="00AF79B7"/>
    <w:rsid w:val="00AF7F9E"/>
    <w:rsid w:val="00B002A7"/>
    <w:rsid w:val="00B0033F"/>
    <w:rsid w:val="00B003D1"/>
    <w:rsid w:val="00B006DB"/>
    <w:rsid w:val="00B00C6D"/>
    <w:rsid w:val="00B00D19"/>
    <w:rsid w:val="00B00E19"/>
    <w:rsid w:val="00B00E22"/>
    <w:rsid w:val="00B00F85"/>
    <w:rsid w:val="00B01216"/>
    <w:rsid w:val="00B01241"/>
    <w:rsid w:val="00B0145C"/>
    <w:rsid w:val="00B0165D"/>
    <w:rsid w:val="00B01874"/>
    <w:rsid w:val="00B019D3"/>
    <w:rsid w:val="00B019DE"/>
    <w:rsid w:val="00B01A4B"/>
    <w:rsid w:val="00B01CE9"/>
    <w:rsid w:val="00B0228C"/>
    <w:rsid w:val="00B02398"/>
    <w:rsid w:val="00B023FC"/>
    <w:rsid w:val="00B024E8"/>
    <w:rsid w:val="00B025FC"/>
    <w:rsid w:val="00B026A6"/>
    <w:rsid w:val="00B02A30"/>
    <w:rsid w:val="00B02A42"/>
    <w:rsid w:val="00B02ACC"/>
    <w:rsid w:val="00B02FB0"/>
    <w:rsid w:val="00B034C7"/>
    <w:rsid w:val="00B035AF"/>
    <w:rsid w:val="00B036CF"/>
    <w:rsid w:val="00B037F3"/>
    <w:rsid w:val="00B03890"/>
    <w:rsid w:val="00B03DC9"/>
    <w:rsid w:val="00B03E6B"/>
    <w:rsid w:val="00B03F61"/>
    <w:rsid w:val="00B041D8"/>
    <w:rsid w:val="00B043C6"/>
    <w:rsid w:val="00B04548"/>
    <w:rsid w:val="00B049E7"/>
    <w:rsid w:val="00B04D47"/>
    <w:rsid w:val="00B04E18"/>
    <w:rsid w:val="00B0501F"/>
    <w:rsid w:val="00B05087"/>
    <w:rsid w:val="00B050BC"/>
    <w:rsid w:val="00B0512E"/>
    <w:rsid w:val="00B05190"/>
    <w:rsid w:val="00B053D1"/>
    <w:rsid w:val="00B058DE"/>
    <w:rsid w:val="00B05945"/>
    <w:rsid w:val="00B059CE"/>
    <w:rsid w:val="00B05B21"/>
    <w:rsid w:val="00B05DAC"/>
    <w:rsid w:val="00B05F6A"/>
    <w:rsid w:val="00B06038"/>
    <w:rsid w:val="00B062AB"/>
    <w:rsid w:val="00B06333"/>
    <w:rsid w:val="00B06744"/>
    <w:rsid w:val="00B06BA3"/>
    <w:rsid w:val="00B06D38"/>
    <w:rsid w:val="00B06F1D"/>
    <w:rsid w:val="00B0702E"/>
    <w:rsid w:val="00B071B1"/>
    <w:rsid w:val="00B071BF"/>
    <w:rsid w:val="00B0743F"/>
    <w:rsid w:val="00B07602"/>
    <w:rsid w:val="00B07820"/>
    <w:rsid w:val="00B07848"/>
    <w:rsid w:val="00B078E8"/>
    <w:rsid w:val="00B07E10"/>
    <w:rsid w:val="00B07F3A"/>
    <w:rsid w:val="00B1062C"/>
    <w:rsid w:val="00B1095E"/>
    <w:rsid w:val="00B10A79"/>
    <w:rsid w:val="00B10F6C"/>
    <w:rsid w:val="00B11018"/>
    <w:rsid w:val="00B11435"/>
    <w:rsid w:val="00B11516"/>
    <w:rsid w:val="00B11D04"/>
    <w:rsid w:val="00B11DFA"/>
    <w:rsid w:val="00B11E0A"/>
    <w:rsid w:val="00B11F90"/>
    <w:rsid w:val="00B11FBD"/>
    <w:rsid w:val="00B1204B"/>
    <w:rsid w:val="00B121A7"/>
    <w:rsid w:val="00B12217"/>
    <w:rsid w:val="00B12255"/>
    <w:rsid w:val="00B1232B"/>
    <w:rsid w:val="00B1241F"/>
    <w:rsid w:val="00B12550"/>
    <w:rsid w:val="00B12663"/>
    <w:rsid w:val="00B1281D"/>
    <w:rsid w:val="00B12887"/>
    <w:rsid w:val="00B12BD2"/>
    <w:rsid w:val="00B12C55"/>
    <w:rsid w:val="00B12E8A"/>
    <w:rsid w:val="00B130F1"/>
    <w:rsid w:val="00B13447"/>
    <w:rsid w:val="00B134FB"/>
    <w:rsid w:val="00B13881"/>
    <w:rsid w:val="00B13945"/>
    <w:rsid w:val="00B139C7"/>
    <w:rsid w:val="00B13A07"/>
    <w:rsid w:val="00B14222"/>
    <w:rsid w:val="00B142F5"/>
    <w:rsid w:val="00B142FB"/>
    <w:rsid w:val="00B1443D"/>
    <w:rsid w:val="00B1452C"/>
    <w:rsid w:val="00B148B1"/>
    <w:rsid w:val="00B1496F"/>
    <w:rsid w:val="00B14B85"/>
    <w:rsid w:val="00B14BEE"/>
    <w:rsid w:val="00B14DA6"/>
    <w:rsid w:val="00B152A4"/>
    <w:rsid w:val="00B15B6E"/>
    <w:rsid w:val="00B15B97"/>
    <w:rsid w:val="00B15F2A"/>
    <w:rsid w:val="00B16C49"/>
    <w:rsid w:val="00B16D20"/>
    <w:rsid w:val="00B16F25"/>
    <w:rsid w:val="00B1713D"/>
    <w:rsid w:val="00B17486"/>
    <w:rsid w:val="00B17523"/>
    <w:rsid w:val="00B17CAA"/>
    <w:rsid w:val="00B17D82"/>
    <w:rsid w:val="00B17DB5"/>
    <w:rsid w:val="00B17EE8"/>
    <w:rsid w:val="00B17F1F"/>
    <w:rsid w:val="00B20164"/>
    <w:rsid w:val="00B2027A"/>
    <w:rsid w:val="00B202F4"/>
    <w:rsid w:val="00B20311"/>
    <w:rsid w:val="00B203A9"/>
    <w:rsid w:val="00B2043F"/>
    <w:rsid w:val="00B20494"/>
    <w:rsid w:val="00B20583"/>
    <w:rsid w:val="00B20BA3"/>
    <w:rsid w:val="00B20E09"/>
    <w:rsid w:val="00B20E7F"/>
    <w:rsid w:val="00B2105A"/>
    <w:rsid w:val="00B210CB"/>
    <w:rsid w:val="00B2128C"/>
    <w:rsid w:val="00B2135F"/>
    <w:rsid w:val="00B21566"/>
    <w:rsid w:val="00B219FF"/>
    <w:rsid w:val="00B21C89"/>
    <w:rsid w:val="00B21C96"/>
    <w:rsid w:val="00B21E51"/>
    <w:rsid w:val="00B21E78"/>
    <w:rsid w:val="00B2207C"/>
    <w:rsid w:val="00B22175"/>
    <w:rsid w:val="00B22362"/>
    <w:rsid w:val="00B22726"/>
    <w:rsid w:val="00B227F2"/>
    <w:rsid w:val="00B2296E"/>
    <w:rsid w:val="00B22AEF"/>
    <w:rsid w:val="00B22D06"/>
    <w:rsid w:val="00B22D85"/>
    <w:rsid w:val="00B23293"/>
    <w:rsid w:val="00B23653"/>
    <w:rsid w:val="00B23949"/>
    <w:rsid w:val="00B23B2B"/>
    <w:rsid w:val="00B23E83"/>
    <w:rsid w:val="00B23EE0"/>
    <w:rsid w:val="00B2413B"/>
    <w:rsid w:val="00B24240"/>
    <w:rsid w:val="00B24257"/>
    <w:rsid w:val="00B244E1"/>
    <w:rsid w:val="00B24D66"/>
    <w:rsid w:val="00B24E24"/>
    <w:rsid w:val="00B25585"/>
    <w:rsid w:val="00B2575C"/>
    <w:rsid w:val="00B26495"/>
    <w:rsid w:val="00B264ED"/>
    <w:rsid w:val="00B26539"/>
    <w:rsid w:val="00B266DE"/>
    <w:rsid w:val="00B26BF0"/>
    <w:rsid w:val="00B26CC6"/>
    <w:rsid w:val="00B26CD8"/>
    <w:rsid w:val="00B26E11"/>
    <w:rsid w:val="00B2726F"/>
    <w:rsid w:val="00B275AF"/>
    <w:rsid w:val="00B2774E"/>
    <w:rsid w:val="00B277E2"/>
    <w:rsid w:val="00B2788A"/>
    <w:rsid w:val="00B279DA"/>
    <w:rsid w:val="00B27BB9"/>
    <w:rsid w:val="00B30044"/>
    <w:rsid w:val="00B30228"/>
    <w:rsid w:val="00B30251"/>
    <w:rsid w:val="00B3064F"/>
    <w:rsid w:val="00B30792"/>
    <w:rsid w:val="00B30A6A"/>
    <w:rsid w:val="00B30C1C"/>
    <w:rsid w:val="00B30C9B"/>
    <w:rsid w:val="00B3131B"/>
    <w:rsid w:val="00B31A3F"/>
    <w:rsid w:val="00B3209C"/>
    <w:rsid w:val="00B3213B"/>
    <w:rsid w:val="00B32A8B"/>
    <w:rsid w:val="00B32BAB"/>
    <w:rsid w:val="00B32D53"/>
    <w:rsid w:val="00B32E00"/>
    <w:rsid w:val="00B32F54"/>
    <w:rsid w:val="00B332D5"/>
    <w:rsid w:val="00B339F4"/>
    <w:rsid w:val="00B344F3"/>
    <w:rsid w:val="00B3462D"/>
    <w:rsid w:val="00B34737"/>
    <w:rsid w:val="00B348D3"/>
    <w:rsid w:val="00B34CAA"/>
    <w:rsid w:val="00B34E19"/>
    <w:rsid w:val="00B35091"/>
    <w:rsid w:val="00B3582B"/>
    <w:rsid w:val="00B35914"/>
    <w:rsid w:val="00B35A4E"/>
    <w:rsid w:val="00B35CF2"/>
    <w:rsid w:val="00B35E74"/>
    <w:rsid w:val="00B35FE6"/>
    <w:rsid w:val="00B3626D"/>
    <w:rsid w:val="00B36486"/>
    <w:rsid w:val="00B3683A"/>
    <w:rsid w:val="00B36A69"/>
    <w:rsid w:val="00B36AFD"/>
    <w:rsid w:val="00B36C0B"/>
    <w:rsid w:val="00B36CC7"/>
    <w:rsid w:val="00B36EFA"/>
    <w:rsid w:val="00B3723A"/>
    <w:rsid w:val="00B37351"/>
    <w:rsid w:val="00B3782B"/>
    <w:rsid w:val="00B379CC"/>
    <w:rsid w:val="00B37FFE"/>
    <w:rsid w:val="00B401ED"/>
    <w:rsid w:val="00B402B6"/>
    <w:rsid w:val="00B40354"/>
    <w:rsid w:val="00B4036E"/>
    <w:rsid w:val="00B403F0"/>
    <w:rsid w:val="00B4078F"/>
    <w:rsid w:val="00B40C1A"/>
    <w:rsid w:val="00B40D03"/>
    <w:rsid w:val="00B40DC4"/>
    <w:rsid w:val="00B40FBA"/>
    <w:rsid w:val="00B4153D"/>
    <w:rsid w:val="00B41629"/>
    <w:rsid w:val="00B41679"/>
    <w:rsid w:val="00B41857"/>
    <w:rsid w:val="00B41ABC"/>
    <w:rsid w:val="00B41CAD"/>
    <w:rsid w:val="00B422D1"/>
    <w:rsid w:val="00B42319"/>
    <w:rsid w:val="00B424AF"/>
    <w:rsid w:val="00B424DF"/>
    <w:rsid w:val="00B4262B"/>
    <w:rsid w:val="00B426F3"/>
    <w:rsid w:val="00B42970"/>
    <w:rsid w:val="00B42D4B"/>
    <w:rsid w:val="00B42EF3"/>
    <w:rsid w:val="00B431F8"/>
    <w:rsid w:val="00B434EE"/>
    <w:rsid w:val="00B4377B"/>
    <w:rsid w:val="00B437F1"/>
    <w:rsid w:val="00B438B1"/>
    <w:rsid w:val="00B440ED"/>
    <w:rsid w:val="00B44281"/>
    <w:rsid w:val="00B4434E"/>
    <w:rsid w:val="00B4445D"/>
    <w:rsid w:val="00B444A1"/>
    <w:rsid w:val="00B44916"/>
    <w:rsid w:val="00B45145"/>
    <w:rsid w:val="00B452C4"/>
    <w:rsid w:val="00B45476"/>
    <w:rsid w:val="00B454CC"/>
    <w:rsid w:val="00B459B0"/>
    <w:rsid w:val="00B45AA8"/>
    <w:rsid w:val="00B45C59"/>
    <w:rsid w:val="00B45F1D"/>
    <w:rsid w:val="00B45F78"/>
    <w:rsid w:val="00B45FD8"/>
    <w:rsid w:val="00B46315"/>
    <w:rsid w:val="00B465C1"/>
    <w:rsid w:val="00B46A1F"/>
    <w:rsid w:val="00B46E66"/>
    <w:rsid w:val="00B46F6C"/>
    <w:rsid w:val="00B471DA"/>
    <w:rsid w:val="00B479B9"/>
    <w:rsid w:val="00B47D33"/>
    <w:rsid w:val="00B47E24"/>
    <w:rsid w:val="00B47FF8"/>
    <w:rsid w:val="00B50007"/>
    <w:rsid w:val="00B5039A"/>
    <w:rsid w:val="00B506CA"/>
    <w:rsid w:val="00B506F1"/>
    <w:rsid w:val="00B50A01"/>
    <w:rsid w:val="00B50C4E"/>
    <w:rsid w:val="00B50DEB"/>
    <w:rsid w:val="00B5158E"/>
    <w:rsid w:val="00B51630"/>
    <w:rsid w:val="00B516C4"/>
    <w:rsid w:val="00B51922"/>
    <w:rsid w:val="00B51BBD"/>
    <w:rsid w:val="00B51EB9"/>
    <w:rsid w:val="00B51FF8"/>
    <w:rsid w:val="00B52147"/>
    <w:rsid w:val="00B521AA"/>
    <w:rsid w:val="00B521D3"/>
    <w:rsid w:val="00B52753"/>
    <w:rsid w:val="00B528DD"/>
    <w:rsid w:val="00B52911"/>
    <w:rsid w:val="00B52972"/>
    <w:rsid w:val="00B52B3D"/>
    <w:rsid w:val="00B52F04"/>
    <w:rsid w:val="00B53614"/>
    <w:rsid w:val="00B536DA"/>
    <w:rsid w:val="00B536DC"/>
    <w:rsid w:val="00B5379C"/>
    <w:rsid w:val="00B537F6"/>
    <w:rsid w:val="00B539AD"/>
    <w:rsid w:val="00B53AA0"/>
    <w:rsid w:val="00B5414C"/>
    <w:rsid w:val="00B541E7"/>
    <w:rsid w:val="00B5425F"/>
    <w:rsid w:val="00B54387"/>
    <w:rsid w:val="00B5462E"/>
    <w:rsid w:val="00B54A05"/>
    <w:rsid w:val="00B54A46"/>
    <w:rsid w:val="00B54AEE"/>
    <w:rsid w:val="00B54BE6"/>
    <w:rsid w:val="00B54EB8"/>
    <w:rsid w:val="00B55029"/>
    <w:rsid w:val="00B555FF"/>
    <w:rsid w:val="00B55A62"/>
    <w:rsid w:val="00B55AAC"/>
    <w:rsid w:val="00B55B54"/>
    <w:rsid w:val="00B55B9E"/>
    <w:rsid w:val="00B55D10"/>
    <w:rsid w:val="00B55D2E"/>
    <w:rsid w:val="00B562B1"/>
    <w:rsid w:val="00B563C5"/>
    <w:rsid w:val="00B56484"/>
    <w:rsid w:val="00B56859"/>
    <w:rsid w:val="00B56A67"/>
    <w:rsid w:val="00B56B33"/>
    <w:rsid w:val="00B56F3F"/>
    <w:rsid w:val="00B57031"/>
    <w:rsid w:val="00B57264"/>
    <w:rsid w:val="00B572A3"/>
    <w:rsid w:val="00B573B7"/>
    <w:rsid w:val="00B573B9"/>
    <w:rsid w:val="00B57512"/>
    <w:rsid w:val="00B57A82"/>
    <w:rsid w:val="00B57C00"/>
    <w:rsid w:val="00B57F34"/>
    <w:rsid w:val="00B6009D"/>
    <w:rsid w:val="00B601F5"/>
    <w:rsid w:val="00B6024E"/>
    <w:rsid w:val="00B604C4"/>
    <w:rsid w:val="00B60503"/>
    <w:rsid w:val="00B6057B"/>
    <w:rsid w:val="00B609BE"/>
    <w:rsid w:val="00B60BEB"/>
    <w:rsid w:val="00B60C00"/>
    <w:rsid w:val="00B613FA"/>
    <w:rsid w:val="00B618F7"/>
    <w:rsid w:val="00B61BC1"/>
    <w:rsid w:val="00B61F00"/>
    <w:rsid w:val="00B623C0"/>
    <w:rsid w:val="00B62503"/>
    <w:rsid w:val="00B62531"/>
    <w:rsid w:val="00B62999"/>
    <w:rsid w:val="00B62A06"/>
    <w:rsid w:val="00B62B39"/>
    <w:rsid w:val="00B62C51"/>
    <w:rsid w:val="00B62DA8"/>
    <w:rsid w:val="00B62ED9"/>
    <w:rsid w:val="00B63209"/>
    <w:rsid w:val="00B633F1"/>
    <w:rsid w:val="00B63646"/>
    <w:rsid w:val="00B63679"/>
    <w:rsid w:val="00B63842"/>
    <w:rsid w:val="00B63A52"/>
    <w:rsid w:val="00B646F8"/>
    <w:rsid w:val="00B647C9"/>
    <w:rsid w:val="00B64A23"/>
    <w:rsid w:val="00B64E9C"/>
    <w:rsid w:val="00B6513E"/>
    <w:rsid w:val="00B6527D"/>
    <w:rsid w:val="00B6540F"/>
    <w:rsid w:val="00B655E4"/>
    <w:rsid w:val="00B656F6"/>
    <w:rsid w:val="00B65AD9"/>
    <w:rsid w:val="00B65AF1"/>
    <w:rsid w:val="00B65B78"/>
    <w:rsid w:val="00B65C9D"/>
    <w:rsid w:val="00B65D44"/>
    <w:rsid w:val="00B65F1A"/>
    <w:rsid w:val="00B65F79"/>
    <w:rsid w:val="00B660B0"/>
    <w:rsid w:val="00B66147"/>
    <w:rsid w:val="00B66839"/>
    <w:rsid w:val="00B668AF"/>
    <w:rsid w:val="00B66933"/>
    <w:rsid w:val="00B669AA"/>
    <w:rsid w:val="00B66A4C"/>
    <w:rsid w:val="00B66C6E"/>
    <w:rsid w:val="00B67051"/>
    <w:rsid w:val="00B67290"/>
    <w:rsid w:val="00B673A7"/>
    <w:rsid w:val="00B674E1"/>
    <w:rsid w:val="00B6796A"/>
    <w:rsid w:val="00B701FC"/>
    <w:rsid w:val="00B70483"/>
    <w:rsid w:val="00B7062B"/>
    <w:rsid w:val="00B70759"/>
    <w:rsid w:val="00B708C2"/>
    <w:rsid w:val="00B70975"/>
    <w:rsid w:val="00B70ADB"/>
    <w:rsid w:val="00B70BCD"/>
    <w:rsid w:val="00B70BD3"/>
    <w:rsid w:val="00B70D20"/>
    <w:rsid w:val="00B70D98"/>
    <w:rsid w:val="00B715E5"/>
    <w:rsid w:val="00B71634"/>
    <w:rsid w:val="00B71893"/>
    <w:rsid w:val="00B71AB1"/>
    <w:rsid w:val="00B71DD6"/>
    <w:rsid w:val="00B71EEC"/>
    <w:rsid w:val="00B71FBA"/>
    <w:rsid w:val="00B72028"/>
    <w:rsid w:val="00B724E8"/>
    <w:rsid w:val="00B7278D"/>
    <w:rsid w:val="00B728B4"/>
    <w:rsid w:val="00B73211"/>
    <w:rsid w:val="00B7360B"/>
    <w:rsid w:val="00B739A4"/>
    <w:rsid w:val="00B73A09"/>
    <w:rsid w:val="00B73A86"/>
    <w:rsid w:val="00B74047"/>
    <w:rsid w:val="00B744B9"/>
    <w:rsid w:val="00B744E2"/>
    <w:rsid w:val="00B745A6"/>
    <w:rsid w:val="00B745F1"/>
    <w:rsid w:val="00B746D3"/>
    <w:rsid w:val="00B7477B"/>
    <w:rsid w:val="00B74855"/>
    <w:rsid w:val="00B74888"/>
    <w:rsid w:val="00B7490E"/>
    <w:rsid w:val="00B74AFB"/>
    <w:rsid w:val="00B74B75"/>
    <w:rsid w:val="00B74C6B"/>
    <w:rsid w:val="00B74CC3"/>
    <w:rsid w:val="00B74F98"/>
    <w:rsid w:val="00B75199"/>
    <w:rsid w:val="00B755C1"/>
    <w:rsid w:val="00B7577A"/>
    <w:rsid w:val="00B7591A"/>
    <w:rsid w:val="00B7594D"/>
    <w:rsid w:val="00B75E3E"/>
    <w:rsid w:val="00B75F8A"/>
    <w:rsid w:val="00B76299"/>
    <w:rsid w:val="00B7656E"/>
    <w:rsid w:val="00B765A9"/>
    <w:rsid w:val="00B766C0"/>
    <w:rsid w:val="00B76749"/>
    <w:rsid w:val="00B7681F"/>
    <w:rsid w:val="00B76964"/>
    <w:rsid w:val="00B76E6D"/>
    <w:rsid w:val="00B77014"/>
    <w:rsid w:val="00B77030"/>
    <w:rsid w:val="00B773FF"/>
    <w:rsid w:val="00B7746D"/>
    <w:rsid w:val="00B776C1"/>
    <w:rsid w:val="00B77800"/>
    <w:rsid w:val="00B779C8"/>
    <w:rsid w:val="00B77B11"/>
    <w:rsid w:val="00B77BCB"/>
    <w:rsid w:val="00B77CA6"/>
    <w:rsid w:val="00B77E7F"/>
    <w:rsid w:val="00B8027D"/>
    <w:rsid w:val="00B802FA"/>
    <w:rsid w:val="00B80658"/>
    <w:rsid w:val="00B80CA3"/>
    <w:rsid w:val="00B80EC3"/>
    <w:rsid w:val="00B80ECB"/>
    <w:rsid w:val="00B81057"/>
    <w:rsid w:val="00B811B8"/>
    <w:rsid w:val="00B813C2"/>
    <w:rsid w:val="00B816B2"/>
    <w:rsid w:val="00B816DC"/>
    <w:rsid w:val="00B81B6C"/>
    <w:rsid w:val="00B81F35"/>
    <w:rsid w:val="00B821BD"/>
    <w:rsid w:val="00B82388"/>
    <w:rsid w:val="00B82ABB"/>
    <w:rsid w:val="00B836D0"/>
    <w:rsid w:val="00B8375C"/>
    <w:rsid w:val="00B83967"/>
    <w:rsid w:val="00B83B01"/>
    <w:rsid w:val="00B83C9F"/>
    <w:rsid w:val="00B83CBD"/>
    <w:rsid w:val="00B83F53"/>
    <w:rsid w:val="00B8402A"/>
    <w:rsid w:val="00B8435B"/>
    <w:rsid w:val="00B848DE"/>
    <w:rsid w:val="00B85B70"/>
    <w:rsid w:val="00B85EC9"/>
    <w:rsid w:val="00B86725"/>
    <w:rsid w:val="00B86834"/>
    <w:rsid w:val="00B869CC"/>
    <w:rsid w:val="00B86B67"/>
    <w:rsid w:val="00B86B8D"/>
    <w:rsid w:val="00B86C28"/>
    <w:rsid w:val="00B86DAF"/>
    <w:rsid w:val="00B86EB4"/>
    <w:rsid w:val="00B871C9"/>
    <w:rsid w:val="00B873DB"/>
    <w:rsid w:val="00B87581"/>
    <w:rsid w:val="00B876E8"/>
    <w:rsid w:val="00B877CF"/>
    <w:rsid w:val="00B87832"/>
    <w:rsid w:val="00B87B2F"/>
    <w:rsid w:val="00B87C4C"/>
    <w:rsid w:val="00B90418"/>
    <w:rsid w:val="00B904F9"/>
    <w:rsid w:val="00B90914"/>
    <w:rsid w:val="00B90BD4"/>
    <w:rsid w:val="00B90D6F"/>
    <w:rsid w:val="00B90FDF"/>
    <w:rsid w:val="00B9131B"/>
    <w:rsid w:val="00B917EF"/>
    <w:rsid w:val="00B91967"/>
    <w:rsid w:val="00B91A90"/>
    <w:rsid w:val="00B91E38"/>
    <w:rsid w:val="00B91ECC"/>
    <w:rsid w:val="00B921D0"/>
    <w:rsid w:val="00B92717"/>
    <w:rsid w:val="00B927D9"/>
    <w:rsid w:val="00B92919"/>
    <w:rsid w:val="00B92B32"/>
    <w:rsid w:val="00B92B33"/>
    <w:rsid w:val="00B93252"/>
    <w:rsid w:val="00B934B6"/>
    <w:rsid w:val="00B9356C"/>
    <w:rsid w:val="00B93586"/>
    <w:rsid w:val="00B9359E"/>
    <w:rsid w:val="00B939F5"/>
    <w:rsid w:val="00B93AF5"/>
    <w:rsid w:val="00B93C06"/>
    <w:rsid w:val="00B93C4A"/>
    <w:rsid w:val="00B93D4A"/>
    <w:rsid w:val="00B93D98"/>
    <w:rsid w:val="00B94045"/>
    <w:rsid w:val="00B94099"/>
    <w:rsid w:val="00B9409D"/>
    <w:rsid w:val="00B942A8"/>
    <w:rsid w:val="00B942F0"/>
    <w:rsid w:val="00B94311"/>
    <w:rsid w:val="00B943DC"/>
    <w:rsid w:val="00B94664"/>
    <w:rsid w:val="00B947C2"/>
    <w:rsid w:val="00B948F5"/>
    <w:rsid w:val="00B9519A"/>
    <w:rsid w:val="00B95682"/>
    <w:rsid w:val="00B95852"/>
    <w:rsid w:val="00B95A44"/>
    <w:rsid w:val="00B95A95"/>
    <w:rsid w:val="00B95BFC"/>
    <w:rsid w:val="00B95C9C"/>
    <w:rsid w:val="00B95CAB"/>
    <w:rsid w:val="00B96094"/>
    <w:rsid w:val="00B960E1"/>
    <w:rsid w:val="00B9655D"/>
    <w:rsid w:val="00B96611"/>
    <w:rsid w:val="00B96D39"/>
    <w:rsid w:val="00B97569"/>
    <w:rsid w:val="00B975C1"/>
    <w:rsid w:val="00B979C1"/>
    <w:rsid w:val="00B97C7B"/>
    <w:rsid w:val="00B97F68"/>
    <w:rsid w:val="00B97F97"/>
    <w:rsid w:val="00BA0228"/>
    <w:rsid w:val="00BA049B"/>
    <w:rsid w:val="00BA0515"/>
    <w:rsid w:val="00BA067C"/>
    <w:rsid w:val="00BA0A78"/>
    <w:rsid w:val="00BA0B9D"/>
    <w:rsid w:val="00BA0C68"/>
    <w:rsid w:val="00BA0CEE"/>
    <w:rsid w:val="00BA0D1B"/>
    <w:rsid w:val="00BA0D7D"/>
    <w:rsid w:val="00BA101A"/>
    <w:rsid w:val="00BA1037"/>
    <w:rsid w:val="00BA1073"/>
    <w:rsid w:val="00BA10B8"/>
    <w:rsid w:val="00BA120E"/>
    <w:rsid w:val="00BA15EC"/>
    <w:rsid w:val="00BA15EF"/>
    <w:rsid w:val="00BA16D6"/>
    <w:rsid w:val="00BA191C"/>
    <w:rsid w:val="00BA1A71"/>
    <w:rsid w:val="00BA202B"/>
    <w:rsid w:val="00BA2955"/>
    <w:rsid w:val="00BA2BC9"/>
    <w:rsid w:val="00BA2CD0"/>
    <w:rsid w:val="00BA2D55"/>
    <w:rsid w:val="00BA2D5E"/>
    <w:rsid w:val="00BA338D"/>
    <w:rsid w:val="00BA35A3"/>
    <w:rsid w:val="00BA3E35"/>
    <w:rsid w:val="00BA3EB4"/>
    <w:rsid w:val="00BA3FC2"/>
    <w:rsid w:val="00BA40FD"/>
    <w:rsid w:val="00BA4358"/>
    <w:rsid w:val="00BA45B6"/>
    <w:rsid w:val="00BA4B6A"/>
    <w:rsid w:val="00BA4BBA"/>
    <w:rsid w:val="00BA4BD8"/>
    <w:rsid w:val="00BA4D05"/>
    <w:rsid w:val="00BA4D64"/>
    <w:rsid w:val="00BA4DA5"/>
    <w:rsid w:val="00BA553E"/>
    <w:rsid w:val="00BA5850"/>
    <w:rsid w:val="00BA5902"/>
    <w:rsid w:val="00BA5B53"/>
    <w:rsid w:val="00BA5C73"/>
    <w:rsid w:val="00BA5D80"/>
    <w:rsid w:val="00BA5FD1"/>
    <w:rsid w:val="00BA6090"/>
    <w:rsid w:val="00BA6194"/>
    <w:rsid w:val="00BA65C1"/>
    <w:rsid w:val="00BA67E3"/>
    <w:rsid w:val="00BA67EA"/>
    <w:rsid w:val="00BA6849"/>
    <w:rsid w:val="00BA6A00"/>
    <w:rsid w:val="00BA6A4C"/>
    <w:rsid w:val="00BA6B4A"/>
    <w:rsid w:val="00BA6D47"/>
    <w:rsid w:val="00BA6F41"/>
    <w:rsid w:val="00BA7241"/>
    <w:rsid w:val="00BA7390"/>
    <w:rsid w:val="00BA77E1"/>
    <w:rsid w:val="00BA7A3D"/>
    <w:rsid w:val="00BA7BAB"/>
    <w:rsid w:val="00BA7E11"/>
    <w:rsid w:val="00BA7EA7"/>
    <w:rsid w:val="00BA7F70"/>
    <w:rsid w:val="00BA7FDD"/>
    <w:rsid w:val="00BB0000"/>
    <w:rsid w:val="00BB091D"/>
    <w:rsid w:val="00BB09CA"/>
    <w:rsid w:val="00BB0DB1"/>
    <w:rsid w:val="00BB0F1A"/>
    <w:rsid w:val="00BB141D"/>
    <w:rsid w:val="00BB1540"/>
    <w:rsid w:val="00BB15E5"/>
    <w:rsid w:val="00BB1AA3"/>
    <w:rsid w:val="00BB209E"/>
    <w:rsid w:val="00BB2319"/>
    <w:rsid w:val="00BB235E"/>
    <w:rsid w:val="00BB2555"/>
    <w:rsid w:val="00BB2AB6"/>
    <w:rsid w:val="00BB2E14"/>
    <w:rsid w:val="00BB31A2"/>
    <w:rsid w:val="00BB33C1"/>
    <w:rsid w:val="00BB355F"/>
    <w:rsid w:val="00BB366A"/>
    <w:rsid w:val="00BB383B"/>
    <w:rsid w:val="00BB385A"/>
    <w:rsid w:val="00BB39E8"/>
    <w:rsid w:val="00BB3C1A"/>
    <w:rsid w:val="00BB3CDD"/>
    <w:rsid w:val="00BB3EA2"/>
    <w:rsid w:val="00BB43A0"/>
    <w:rsid w:val="00BB44ED"/>
    <w:rsid w:val="00BB457A"/>
    <w:rsid w:val="00BB45AD"/>
    <w:rsid w:val="00BB4603"/>
    <w:rsid w:val="00BB483B"/>
    <w:rsid w:val="00BB485A"/>
    <w:rsid w:val="00BB498D"/>
    <w:rsid w:val="00BB4ABD"/>
    <w:rsid w:val="00BB4B20"/>
    <w:rsid w:val="00BB4C4A"/>
    <w:rsid w:val="00BB4CF2"/>
    <w:rsid w:val="00BB4E69"/>
    <w:rsid w:val="00BB5030"/>
    <w:rsid w:val="00BB509C"/>
    <w:rsid w:val="00BB555C"/>
    <w:rsid w:val="00BB5568"/>
    <w:rsid w:val="00BB56B0"/>
    <w:rsid w:val="00BB5F2A"/>
    <w:rsid w:val="00BB648A"/>
    <w:rsid w:val="00BB65C7"/>
    <w:rsid w:val="00BB667D"/>
    <w:rsid w:val="00BB6F76"/>
    <w:rsid w:val="00BB70DB"/>
    <w:rsid w:val="00BB76A5"/>
    <w:rsid w:val="00BB7983"/>
    <w:rsid w:val="00BB7A0E"/>
    <w:rsid w:val="00BB7A53"/>
    <w:rsid w:val="00BB7BA8"/>
    <w:rsid w:val="00BB7BF9"/>
    <w:rsid w:val="00BB7C36"/>
    <w:rsid w:val="00BB7C46"/>
    <w:rsid w:val="00BB7D46"/>
    <w:rsid w:val="00BB7E9C"/>
    <w:rsid w:val="00BC0206"/>
    <w:rsid w:val="00BC03F6"/>
    <w:rsid w:val="00BC05C8"/>
    <w:rsid w:val="00BC0623"/>
    <w:rsid w:val="00BC09AE"/>
    <w:rsid w:val="00BC0BD8"/>
    <w:rsid w:val="00BC0E2F"/>
    <w:rsid w:val="00BC0F97"/>
    <w:rsid w:val="00BC11F4"/>
    <w:rsid w:val="00BC166F"/>
    <w:rsid w:val="00BC16D7"/>
    <w:rsid w:val="00BC1744"/>
    <w:rsid w:val="00BC1AEC"/>
    <w:rsid w:val="00BC1C24"/>
    <w:rsid w:val="00BC1C7F"/>
    <w:rsid w:val="00BC1FA1"/>
    <w:rsid w:val="00BC2699"/>
    <w:rsid w:val="00BC2735"/>
    <w:rsid w:val="00BC28C2"/>
    <w:rsid w:val="00BC29B1"/>
    <w:rsid w:val="00BC2C52"/>
    <w:rsid w:val="00BC2C8D"/>
    <w:rsid w:val="00BC2D7A"/>
    <w:rsid w:val="00BC2E77"/>
    <w:rsid w:val="00BC303E"/>
    <w:rsid w:val="00BC331F"/>
    <w:rsid w:val="00BC3632"/>
    <w:rsid w:val="00BC3679"/>
    <w:rsid w:val="00BC39FE"/>
    <w:rsid w:val="00BC3B9E"/>
    <w:rsid w:val="00BC3E2D"/>
    <w:rsid w:val="00BC410F"/>
    <w:rsid w:val="00BC4254"/>
    <w:rsid w:val="00BC45F1"/>
    <w:rsid w:val="00BC4698"/>
    <w:rsid w:val="00BC46B6"/>
    <w:rsid w:val="00BC470C"/>
    <w:rsid w:val="00BC49A4"/>
    <w:rsid w:val="00BC4C30"/>
    <w:rsid w:val="00BC4DAC"/>
    <w:rsid w:val="00BC4EEC"/>
    <w:rsid w:val="00BC50B8"/>
    <w:rsid w:val="00BC55E5"/>
    <w:rsid w:val="00BC560D"/>
    <w:rsid w:val="00BC57DE"/>
    <w:rsid w:val="00BC5B24"/>
    <w:rsid w:val="00BC5D44"/>
    <w:rsid w:val="00BC6378"/>
    <w:rsid w:val="00BC64A7"/>
    <w:rsid w:val="00BC64F9"/>
    <w:rsid w:val="00BC6510"/>
    <w:rsid w:val="00BC6743"/>
    <w:rsid w:val="00BC682E"/>
    <w:rsid w:val="00BC6841"/>
    <w:rsid w:val="00BC6880"/>
    <w:rsid w:val="00BC6A1C"/>
    <w:rsid w:val="00BC6CD4"/>
    <w:rsid w:val="00BC7024"/>
    <w:rsid w:val="00BC70AB"/>
    <w:rsid w:val="00BC70B4"/>
    <w:rsid w:val="00BC71E9"/>
    <w:rsid w:val="00BC7234"/>
    <w:rsid w:val="00BC7673"/>
    <w:rsid w:val="00BC77F4"/>
    <w:rsid w:val="00BC7ABB"/>
    <w:rsid w:val="00BC7BF1"/>
    <w:rsid w:val="00BC7C7F"/>
    <w:rsid w:val="00BC7DE2"/>
    <w:rsid w:val="00BC7E94"/>
    <w:rsid w:val="00BD0199"/>
    <w:rsid w:val="00BD01EA"/>
    <w:rsid w:val="00BD023B"/>
    <w:rsid w:val="00BD036B"/>
    <w:rsid w:val="00BD0558"/>
    <w:rsid w:val="00BD0789"/>
    <w:rsid w:val="00BD0800"/>
    <w:rsid w:val="00BD0E2C"/>
    <w:rsid w:val="00BD1246"/>
    <w:rsid w:val="00BD1268"/>
    <w:rsid w:val="00BD16F8"/>
    <w:rsid w:val="00BD1CA3"/>
    <w:rsid w:val="00BD1FB4"/>
    <w:rsid w:val="00BD212D"/>
    <w:rsid w:val="00BD2205"/>
    <w:rsid w:val="00BD226A"/>
    <w:rsid w:val="00BD2582"/>
    <w:rsid w:val="00BD26F3"/>
    <w:rsid w:val="00BD2DF5"/>
    <w:rsid w:val="00BD318E"/>
    <w:rsid w:val="00BD325F"/>
    <w:rsid w:val="00BD337C"/>
    <w:rsid w:val="00BD33FC"/>
    <w:rsid w:val="00BD349C"/>
    <w:rsid w:val="00BD36D4"/>
    <w:rsid w:val="00BD373F"/>
    <w:rsid w:val="00BD38E1"/>
    <w:rsid w:val="00BD3CC6"/>
    <w:rsid w:val="00BD3E96"/>
    <w:rsid w:val="00BD408B"/>
    <w:rsid w:val="00BD4603"/>
    <w:rsid w:val="00BD4655"/>
    <w:rsid w:val="00BD47DB"/>
    <w:rsid w:val="00BD4BB4"/>
    <w:rsid w:val="00BD4BF6"/>
    <w:rsid w:val="00BD4DB7"/>
    <w:rsid w:val="00BD50C6"/>
    <w:rsid w:val="00BD516C"/>
    <w:rsid w:val="00BD563C"/>
    <w:rsid w:val="00BD5911"/>
    <w:rsid w:val="00BD59D8"/>
    <w:rsid w:val="00BD59ED"/>
    <w:rsid w:val="00BD5C23"/>
    <w:rsid w:val="00BD5CD6"/>
    <w:rsid w:val="00BD5ECA"/>
    <w:rsid w:val="00BD6384"/>
    <w:rsid w:val="00BD6667"/>
    <w:rsid w:val="00BD6723"/>
    <w:rsid w:val="00BD684B"/>
    <w:rsid w:val="00BD7185"/>
    <w:rsid w:val="00BD7398"/>
    <w:rsid w:val="00BD751D"/>
    <w:rsid w:val="00BD760B"/>
    <w:rsid w:val="00BD77B5"/>
    <w:rsid w:val="00BD77C1"/>
    <w:rsid w:val="00BD77FC"/>
    <w:rsid w:val="00BD7806"/>
    <w:rsid w:val="00BD7C56"/>
    <w:rsid w:val="00BD7F5A"/>
    <w:rsid w:val="00BE00C7"/>
    <w:rsid w:val="00BE033E"/>
    <w:rsid w:val="00BE03B9"/>
    <w:rsid w:val="00BE061E"/>
    <w:rsid w:val="00BE06A2"/>
    <w:rsid w:val="00BE09DF"/>
    <w:rsid w:val="00BE0CA7"/>
    <w:rsid w:val="00BE0CC7"/>
    <w:rsid w:val="00BE103B"/>
    <w:rsid w:val="00BE10A8"/>
    <w:rsid w:val="00BE10F1"/>
    <w:rsid w:val="00BE1384"/>
    <w:rsid w:val="00BE14BE"/>
    <w:rsid w:val="00BE1516"/>
    <w:rsid w:val="00BE1861"/>
    <w:rsid w:val="00BE1EC1"/>
    <w:rsid w:val="00BE1F85"/>
    <w:rsid w:val="00BE2056"/>
    <w:rsid w:val="00BE216A"/>
    <w:rsid w:val="00BE22FA"/>
    <w:rsid w:val="00BE2318"/>
    <w:rsid w:val="00BE27FC"/>
    <w:rsid w:val="00BE2927"/>
    <w:rsid w:val="00BE2A20"/>
    <w:rsid w:val="00BE3183"/>
    <w:rsid w:val="00BE36C4"/>
    <w:rsid w:val="00BE39B0"/>
    <w:rsid w:val="00BE3C19"/>
    <w:rsid w:val="00BE3E7F"/>
    <w:rsid w:val="00BE4294"/>
    <w:rsid w:val="00BE438F"/>
    <w:rsid w:val="00BE47C5"/>
    <w:rsid w:val="00BE47CE"/>
    <w:rsid w:val="00BE493C"/>
    <w:rsid w:val="00BE4D3B"/>
    <w:rsid w:val="00BE4D4B"/>
    <w:rsid w:val="00BE5457"/>
    <w:rsid w:val="00BE5528"/>
    <w:rsid w:val="00BE5679"/>
    <w:rsid w:val="00BE590D"/>
    <w:rsid w:val="00BE5A4C"/>
    <w:rsid w:val="00BE5B86"/>
    <w:rsid w:val="00BE5CC6"/>
    <w:rsid w:val="00BE5F38"/>
    <w:rsid w:val="00BE5FAE"/>
    <w:rsid w:val="00BE60FB"/>
    <w:rsid w:val="00BE63C8"/>
    <w:rsid w:val="00BE65B9"/>
    <w:rsid w:val="00BE6751"/>
    <w:rsid w:val="00BE691D"/>
    <w:rsid w:val="00BE6968"/>
    <w:rsid w:val="00BE6A8B"/>
    <w:rsid w:val="00BE6B74"/>
    <w:rsid w:val="00BE6CEF"/>
    <w:rsid w:val="00BE6E81"/>
    <w:rsid w:val="00BE6E9E"/>
    <w:rsid w:val="00BE6F26"/>
    <w:rsid w:val="00BE6F9B"/>
    <w:rsid w:val="00BE71D1"/>
    <w:rsid w:val="00BE7432"/>
    <w:rsid w:val="00BE7471"/>
    <w:rsid w:val="00BE750F"/>
    <w:rsid w:val="00BE76A6"/>
    <w:rsid w:val="00BE7778"/>
    <w:rsid w:val="00BE7866"/>
    <w:rsid w:val="00BE7871"/>
    <w:rsid w:val="00BE79B9"/>
    <w:rsid w:val="00BE7A73"/>
    <w:rsid w:val="00BE7D38"/>
    <w:rsid w:val="00BE7DC2"/>
    <w:rsid w:val="00BE7E1F"/>
    <w:rsid w:val="00BF004D"/>
    <w:rsid w:val="00BF01B3"/>
    <w:rsid w:val="00BF0769"/>
    <w:rsid w:val="00BF0FEB"/>
    <w:rsid w:val="00BF1054"/>
    <w:rsid w:val="00BF11B8"/>
    <w:rsid w:val="00BF129E"/>
    <w:rsid w:val="00BF13C9"/>
    <w:rsid w:val="00BF14DE"/>
    <w:rsid w:val="00BF1629"/>
    <w:rsid w:val="00BF16B7"/>
    <w:rsid w:val="00BF176A"/>
    <w:rsid w:val="00BF191E"/>
    <w:rsid w:val="00BF19F0"/>
    <w:rsid w:val="00BF1D69"/>
    <w:rsid w:val="00BF24CF"/>
    <w:rsid w:val="00BF259F"/>
    <w:rsid w:val="00BF2A11"/>
    <w:rsid w:val="00BF2CC5"/>
    <w:rsid w:val="00BF2E4A"/>
    <w:rsid w:val="00BF3187"/>
    <w:rsid w:val="00BF388C"/>
    <w:rsid w:val="00BF38D6"/>
    <w:rsid w:val="00BF3EBC"/>
    <w:rsid w:val="00BF4DFD"/>
    <w:rsid w:val="00BF4FD7"/>
    <w:rsid w:val="00BF55A9"/>
    <w:rsid w:val="00BF5ADC"/>
    <w:rsid w:val="00BF5B5D"/>
    <w:rsid w:val="00BF5C31"/>
    <w:rsid w:val="00BF5DCB"/>
    <w:rsid w:val="00BF60C9"/>
    <w:rsid w:val="00BF60FA"/>
    <w:rsid w:val="00BF630E"/>
    <w:rsid w:val="00BF6682"/>
    <w:rsid w:val="00BF6683"/>
    <w:rsid w:val="00BF674C"/>
    <w:rsid w:val="00BF6C99"/>
    <w:rsid w:val="00BF722B"/>
    <w:rsid w:val="00BF7423"/>
    <w:rsid w:val="00BF749C"/>
    <w:rsid w:val="00BF7671"/>
    <w:rsid w:val="00BF77EE"/>
    <w:rsid w:val="00BF7A65"/>
    <w:rsid w:val="00BF7B53"/>
    <w:rsid w:val="00BF7D0B"/>
    <w:rsid w:val="00C000B5"/>
    <w:rsid w:val="00C002C6"/>
    <w:rsid w:val="00C0074E"/>
    <w:rsid w:val="00C00850"/>
    <w:rsid w:val="00C00B2B"/>
    <w:rsid w:val="00C01443"/>
    <w:rsid w:val="00C014E1"/>
    <w:rsid w:val="00C01791"/>
    <w:rsid w:val="00C01823"/>
    <w:rsid w:val="00C018A7"/>
    <w:rsid w:val="00C0195E"/>
    <w:rsid w:val="00C019A0"/>
    <w:rsid w:val="00C01B51"/>
    <w:rsid w:val="00C01C97"/>
    <w:rsid w:val="00C01CC4"/>
    <w:rsid w:val="00C01D32"/>
    <w:rsid w:val="00C02013"/>
    <w:rsid w:val="00C02243"/>
    <w:rsid w:val="00C02680"/>
    <w:rsid w:val="00C02BEB"/>
    <w:rsid w:val="00C03237"/>
    <w:rsid w:val="00C03503"/>
    <w:rsid w:val="00C03524"/>
    <w:rsid w:val="00C03649"/>
    <w:rsid w:val="00C0374F"/>
    <w:rsid w:val="00C038D0"/>
    <w:rsid w:val="00C039A1"/>
    <w:rsid w:val="00C03AAE"/>
    <w:rsid w:val="00C03BEC"/>
    <w:rsid w:val="00C03F98"/>
    <w:rsid w:val="00C04182"/>
    <w:rsid w:val="00C049D7"/>
    <w:rsid w:val="00C04AF7"/>
    <w:rsid w:val="00C05008"/>
    <w:rsid w:val="00C052B8"/>
    <w:rsid w:val="00C054B8"/>
    <w:rsid w:val="00C0579D"/>
    <w:rsid w:val="00C057B1"/>
    <w:rsid w:val="00C05883"/>
    <w:rsid w:val="00C05CCC"/>
    <w:rsid w:val="00C05DC5"/>
    <w:rsid w:val="00C05EE6"/>
    <w:rsid w:val="00C0601E"/>
    <w:rsid w:val="00C06122"/>
    <w:rsid w:val="00C06427"/>
    <w:rsid w:val="00C065DC"/>
    <w:rsid w:val="00C06A13"/>
    <w:rsid w:val="00C06C07"/>
    <w:rsid w:val="00C0724B"/>
    <w:rsid w:val="00C07441"/>
    <w:rsid w:val="00C0746E"/>
    <w:rsid w:val="00C07CD7"/>
    <w:rsid w:val="00C07E3C"/>
    <w:rsid w:val="00C07EF5"/>
    <w:rsid w:val="00C10319"/>
    <w:rsid w:val="00C10420"/>
    <w:rsid w:val="00C105F9"/>
    <w:rsid w:val="00C10C2F"/>
    <w:rsid w:val="00C10D9A"/>
    <w:rsid w:val="00C10E8B"/>
    <w:rsid w:val="00C1178B"/>
    <w:rsid w:val="00C1181D"/>
    <w:rsid w:val="00C11B66"/>
    <w:rsid w:val="00C11BA1"/>
    <w:rsid w:val="00C1206C"/>
    <w:rsid w:val="00C126C4"/>
    <w:rsid w:val="00C126EC"/>
    <w:rsid w:val="00C1281E"/>
    <w:rsid w:val="00C12848"/>
    <w:rsid w:val="00C12CAC"/>
    <w:rsid w:val="00C12E44"/>
    <w:rsid w:val="00C12E45"/>
    <w:rsid w:val="00C13320"/>
    <w:rsid w:val="00C1375F"/>
    <w:rsid w:val="00C1378B"/>
    <w:rsid w:val="00C13906"/>
    <w:rsid w:val="00C13B14"/>
    <w:rsid w:val="00C1405D"/>
    <w:rsid w:val="00C14242"/>
    <w:rsid w:val="00C142C8"/>
    <w:rsid w:val="00C14468"/>
    <w:rsid w:val="00C1448C"/>
    <w:rsid w:val="00C14700"/>
    <w:rsid w:val="00C14740"/>
    <w:rsid w:val="00C147AC"/>
    <w:rsid w:val="00C14985"/>
    <w:rsid w:val="00C14E28"/>
    <w:rsid w:val="00C14EBE"/>
    <w:rsid w:val="00C14F40"/>
    <w:rsid w:val="00C15428"/>
    <w:rsid w:val="00C155DA"/>
    <w:rsid w:val="00C15D77"/>
    <w:rsid w:val="00C15E12"/>
    <w:rsid w:val="00C16027"/>
    <w:rsid w:val="00C1632C"/>
    <w:rsid w:val="00C164D9"/>
    <w:rsid w:val="00C16666"/>
    <w:rsid w:val="00C166C1"/>
    <w:rsid w:val="00C16754"/>
    <w:rsid w:val="00C16A5C"/>
    <w:rsid w:val="00C16BE6"/>
    <w:rsid w:val="00C17060"/>
    <w:rsid w:val="00C172A0"/>
    <w:rsid w:val="00C1765D"/>
    <w:rsid w:val="00C177CC"/>
    <w:rsid w:val="00C178DE"/>
    <w:rsid w:val="00C17E8A"/>
    <w:rsid w:val="00C17F60"/>
    <w:rsid w:val="00C17FF0"/>
    <w:rsid w:val="00C20050"/>
    <w:rsid w:val="00C2009A"/>
    <w:rsid w:val="00C204EF"/>
    <w:rsid w:val="00C20843"/>
    <w:rsid w:val="00C20B4A"/>
    <w:rsid w:val="00C20DA5"/>
    <w:rsid w:val="00C20DB0"/>
    <w:rsid w:val="00C20E1F"/>
    <w:rsid w:val="00C20FD9"/>
    <w:rsid w:val="00C2106B"/>
    <w:rsid w:val="00C210AE"/>
    <w:rsid w:val="00C21288"/>
    <w:rsid w:val="00C21369"/>
    <w:rsid w:val="00C21768"/>
    <w:rsid w:val="00C21887"/>
    <w:rsid w:val="00C218C7"/>
    <w:rsid w:val="00C21ACB"/>
    <w:rsid w:val="00C21E0D"/>
    <w:rsid w:val="00C22043"/>
    <w:rsid w:val="00C22061"/>
    <w:rsid w:val="00C2225A"/>
    <w:rsid w:val="00C2225D"/>
    <w:rsid w:val="00C226F8"/>
    <w:rsid w:val="00C22824"/>
    <w:rsid w:val="00C22B1C"/>
    <w:rsid w:val="00C22BA8"/>
    <w:rsid w:val="00C22BD2"/>
    <w:rsid w:val="00C22CF4"/>
    <w:rsid w:val="00C22D58"/>
    <w:rsid w:val="00C230F3"/>
    <w:rsid w:val="00C23563"/>
    <w:rsid w:val="00C236F5"/>
    <w:rsid w:val="00C23859"/>
    <w:rsid w:val="00C238B8"/>
    <w:rsid w:val="00C238F4"/>
    <w:rsid w:val="00C23A0F"/>
    <w:rsid w:val="00C23AFF"/>
    <w:rsid w:val="00C23B4F"/>
    <w:rsid w:val="00C23BA2"/>
    <w:rsid w:val="00C23F41"/>
    <w:rsid w:val="00C23F70"/>
    <w:rsid w:val="00C24187"/>
    <w:rsid w:val="00C244A4"/>
    <w:rsid w:val="00C245C0"/>
    <w:rsid w:val="00C24842"/>
    <w:rsid w:val="00C24853"/>
    <w:rsid w:val="00C24A5F"/>
    <w:rsid w:val="00C24BA8"/>
    <w:rsid w:val="00C253B4"/>
    <w:rsid w:val="00C254F7"/>
    <w:rsid w:val="00C255B9"/>
    <w:rsid w:val="00C257F4"/>
    <w:rsid w:val="00C258BD"/>
    <w:rsid w:val="00C259CE"/>
    <w:rsid w:val="00C25A65"/>
    <w:rsid w:val="00C25B13"/>
    <w:rsid w:val="00C25B2E"/>
    <w:rsid w:val="00C25C79"/>
    <w:rsid w:val="00C25D21"/>
    <w:rsid w:val="00C25DD6"/>
    <w:rsid w:val="00C25EA3"/>
    <w:rsid w:val="00C25F21"/>
    <w:rsid w:val="00C26168"/>
    <w:rsid w:val="00C2634B"/>
    <w:rsid w:val="00C268EB"/>
    <w:rsid w:val="00C26D52"/>
    <w:rsid w:val="00C26E34"/>
    <w:rsid w:val="00C26FC7"/>
    <w:rsid w:val="00C2710C"/>
    <w:rsid w:val="00C271F3"/>
    <w:rsid w:val="00C27269"/>
    <w:rsid w:val="00C272D2"/>
    <w:rsid w:val="00C275E5"/>
    <w:rsid w:val="00C27AAA"/>
    <w:rsid w:val="00C27F0D"/>
    <w:rsid w:val="00C300E9"/>
    <w:rsid w:val="00C30484"/>
    <w:rsid w:val="00C3052A"/>
    <w:rsid w:val="00C306CD"/>
    <w:rsid w:val="00C30750"/>
    <w:rsid w:val="00C309A0"/>
    <w:rsid w:val="00C309E1"/>
    <w:rsid w:val="00C30DAC"/>
    <w:rsid w:val="00C31C2A"/>
    <w:rsid w:val="00C31D6C"/>
    <w:rsid w:val="00C31F42"/>
    <w:rsid w:val="00C3205A"/>
    <w:rsid w:val="00C32166"/>
    <w:rsid w:val="00C325FB"/>
    <w:rsid w:val="00C327BE"/>
    <w:rsid w:val="00C32821"/>
    <w:rsid w:val="00C32833"/>
    <w:rsid w:val="00C32B01"/>
    <w:rsid w:val="00C32BF4"/>
    <w:rsid w:val="00C32C81"/>
    <w:rsid w:val="00C32CDB"/>
    <w:rsid w:val="00C32D4D"/>
    <w:rsid w:val="00C32D83"/>
    <w:rsid w:val="00C32F30"/>
    <w:rsid w:val="00C32F70"/>
    <w:rsid w:val="00C332E5"/>
    <w:rsid w:val="00C3339E"/>
    <w:rsid w:val="00C33418"/>
    <w:rsid w:val="00C33482"/>
    <w:rsid w:val="00C335EE"/>
    <w:rsid w:val="00C337FA"/>
    <w:rsid w:val="00C338C5"/>
    <w:rsid w:val="00C33B56"/>
    <w:rsid w:val="00C33C84"/>
    <w:rsid w:val="00C341DA"/>
    <w:rsid w:val="00C343DA"/>
    <w:rsid w:val="00C3450F"/>
    <w:rsid w:val="00C3481F"/>
    <w:rsid w:val="00C349DC"/>
    <w:rsid w:val="00C34B35"/>
    <w:rsid w:val="00C34B4A"/>
    <w:rsid w:val="00C34CDA"/>
    <w:rsid w:val="00C34D5A"/>
    <w:rsid w:val="00C34DBF"/>
    <w:rsid w:val="00C34E48"/>
    <w:rsid w:val="00C3502B"/>
    <w:rsid w:val="00C352AB"/>
    <w:rsid w:val="00C35564"/>
    <w:rsid w:val="00C359D4"/>
    <w:rsid w:val="00C35A4A"/>
    <w:rsid w:val="00C360D8"/>
    <w:rsid w:val="00C36102"/>
    <w:rsid w:val="00C3612D"/>
    <w:rsid w:val="00C36754"/>
    <w:rsid w:val="00C367C3"/>
    <w:rsid w:val="00C368D2"/>
    <w:rsid w:val="00C36BF3"/>
    <w:rsid w:val="00C36CF0"/>
    <w:rsid w:val="00C36ECC"/>
    <w:rsid w:val="00C37325"/>
    <w:rsid w:val="00C3732E"/>
    <w:rsid w:val="00C37339"/>
    <w:rsid w:val="00C375F9"/>
    <w:rsid w:val="00C37765"/>
    <w:rsid w:val="00C37C32"/>
    <w:rsid w:val="00C37C68"/>
    <w:rsid w:val="00C37E96"/>
    <w:rsid w:val="00C40111"/>
    <w:rsid w:val="00C40136"/>
    <w:rsid w:val="00C40278"/>
    <w:rsid w:val="00C4040A"/>
    <w:rsid w:val="00C407D0"/>
    <w:rsid w:val="00C4082F"/>
    <w:rsid w:val="00C40993"/>
    <w:rsid w:val="00C40C7B"/>
    <w:rsid w:val="00C40D4C"/>
    <w:rsid w:val="00C40F34"/>
    <w:rsid w:val="00C40F9F"/>
    <w:rsid w:val="00C41486"/>
    <w:rsid w:val="00C415FC"/>
    <w:rsid w:val="00C417A4"/>
    <w:rsid w:val="00C4183D"/>
    <w:rsid w:val="00C418E6"/>
    <w:rsid w:val="00C41918"/>
    <w:rsid w:val="00C41E97"/>
    <w:rsid w:val="00C41F7D"/>
    <w:rsid w:val="00C421DA"/>
    <w:rsid w:val="00C42221"/>
    <w:rsid w:val="00C42738"/>
    <w:rsid w:val="00C42957"/>
    <w:rsid w:val="00C42C71"/>
    <w:rsid w:val="00C43006"/>
    <w:rsid w:val="00C43098"/>
    <w:rsid w:val="00C43187"/>
    <w:rsid w:val="00C432A3"/>
    <w:rsid w:val="00C43470"/>
    <w:rsid w:val="00C434B2"/>
    <w:rsid w:val="00C43BC1"/>
    <w:rsid w:val="00C43BCC"/>
    <w:rsid w:val="00C43EBF"/>
    <w:rsid w:val="00C43FE3"/>
    <w:rsid w:val="00C44096"/>
    <w:rsid w:val="00C4409F"/>
    <w:rsid w:val="00C445D0"/>
    <w:rsid w:val="00C44A5E"/>
    <w:rsid w:val="00C44B1E"/>
    <w:rsid w:val="00C44CD6"/>
    <w:rsid w:val="00C44CF8"/>
    <w:rsid w:val="00C450BE"/>
    <w:rsid w:val="00C45122"/>
    <w:rsid w:val="00C4516E"/>
    <w:rsid w:val="00C454A9"/>
    <w:rsid w:val="00C45576"/>
    <w:rsid w:val="00C45609"/>
    <w:rsid w:val="00C456C7"/>
    <w:rsid w:val="00C456E6"/>
    <w:rsid w:val="00C45957"/>
    <w:rsid w:val="00C45A02"/>
    <w:rsid w:val="00C45D8E"/>
    <w:rsid w:val="00C45FA7"/>
    <w:rsid w:val="00C46127"/>
    <w:rsid w:val="00C461B8"/>
    <w:rsid w:val="00C4656B"/>
    <w:rsid w:val="00C46BA1"/>
    <w:rsid w:val="00C46D1A"/>
    <w:rsid w:val="00C46FB6"/>
    <w:rsid w:val="00C470C3"/>
    <w:rsid w:val="00C47134"/>
    <w:rsid w:val="00C47730"/>
    <w:rsid w:val="00C47923"/>
    <w:rsid w:val="00C47BCB"/>
    <w:rsid w:val="00C47D37"/>
    <w:rsid w:val="00C502B6"/>
    <w:rsid w:val="00C50333"/>
    <w:rsid w:val="00C50D20"/>
    <w:rsid w:val="00C50DB7"/>
    <w:rsid w:val="00C514A2"/>
    <w:rsid w:val="00C51678"/>
    <w:rsid w:val="00C51897"/>
    <w:rsid w:val="00C51B00"/>
    <w:rsid w:val="00C51C31"/>
    <w:rsid w:val="00C51D3F"/>
    <w:rsid w:val="00C51D75"/>
    <w:rsid w:val="00C520C5"/>
    <w:rsid w:val="00C520E7"/>
    <w:rsid w:val="00C52309"/>
    <w:rsid w:val="00C5235B"/>
    <w:rsid w:val="00C5250D"/>
    <w:rsid w:val="00C52674"/>
    <w:rsid w:val="00C5283C"/>
    <w:rsid w:val="00C52868"/>
    <w:rsid w:val="00C52B27"/>
    <w:rsid w:val="00C530A7"/>
    <w:rsid w:val="00C530DF"/>
    <w:rsid w:val="00C5347D"/>
    <w:rsid w:val="00C53710"/>
    <w:rsid w:val="00C5392A"/>
    <w:rsid w:val="00C53941"/>
    <w:rsid w:val="00C53C48"/>
    <w:rsid w:val="00C53D1C"/>
    <w:rsid w:val="00C5413A"/>
    <w:rsid w:val="00C54247"/>
    <w:rsid w:val="00C545BB"/>
    <w:rsid w:val="00C545DB"/>
    <w:rsid w:val="00C55018"/>
    <w:rsid w:val="00C553C4"/>
    <w:rsid w:val="00C55440"/>
    <w:rsid w:val="00C5549F"/>
    <w:rsid w:val="00C5554F"/>
    <w:rsid w:val="00C558A2"/>
    <w:rsid w:val="00C55C79"/>
    <w:rsid w:val="00C55CC2"/>
    <w:rsid w:val="00C5607B"/>
    <w:rsid w:val="00C561CE"/>
    <w:rsid w:val="00C567F9"/>
    <w:rsid w:val="00C568A2"/>
    <w:rsid w:val="00C56910"/>
    <w:rsid w:val="00C56923"/>
    <w:rsid w:val="00C5698F"/>
    <w:rsid w:val="00C56F6A"/>
    <w:rsid w:val="00C57093"/>
    <w:rsid w:val="00C570C1"/>
    <w:rsid w:val="00C575FA"/>
    <w:rsid w:val="00C57989"/>
    <w:rsid w:val="00C57A38"/>
    <w:rsid w:val="00C57CAB"/>
    <w:rsid w:val="00C57CAD"/>
    <w:rsid w:val="00C60049"/>
    <w:rsid w:val="00C60220"/>
    <w:rsid w:val="00C603D2"/>
    <w:rsid w:val="00C604C5"/>
    <w:rsid w:val="00C605FB"/>
    <w:rsid w:val="00C60625"/>
    <w:rsid w:val="00C60810"/>
    <w:rsid w:val="00C6088D"/>
    <w:rsid w:val="00C60FE5"/>
    <w:rsid w:val="00C61123"/>
    <w:rsid w:val="00C61514"/>
    <w:rsid w:val="00C61633"/>
    <w:rsid w:val="00C6177D"/>
    <w:rsid w:val="00C61CA9"/>
    <w:rsid w:val="00C61D36"/>
    <w:rsid w:val="00C61F4D"/>
    <w:rsid w:val="00C620A2"/>
    <w:rsid w:val="00C62189"/>
    <w:rsid w:val="00C621EA"/>
    <w:rsid w:val="00C6231E"/>
    <w:rsid w:val="00C628EF"/>
    <w:rsid w:val="00C62C91"/>
    <w:rsid w:val="00C635BA"/>
    <w:rsid w:val="00C63C51"/>
    <w:rsid w:val="00C63C60"/>
    <w:rsid w:val="00C6479C"/>
    <w:rsid w:val="00C6484D"/>
    <w:rsid w:val="00C64943"/>
    <w:rsid w:val="00C64977"/>
    <w:rsid w:val="00C64E5D"/>
    <w:rsid w:val="00C652CA"/>
    <w:rsid w:val="00C65392"/>
    <w:rsid w:val="00C65681"/>
    <w:rsid w:val="00C65948"/>
    <w:rsid w:val="00C65B76"/>
    <w:rsid w:val="00C65C8C"/>
    <w:rsid w:val="00C6646C"/>
    <w:rsid w:val="00C664F1"/>
    <w:rsid w:val="00C66788"/>
    <w:rsid w:val="00C66913"/>
    <w:rsid w:val="00C66E2C"/>
    <w:rsid w:val="00C66EA4"/>
    <w:rsid w:val="00C67092"/>
    <w:rsid w:val="00C674DC"/>
    <w:rsid w:val="00C67979"/>
    <w:rsid w:val="00C67AAC"/>
    <w:rsid w:val="00C67B93"/>
    <w:rsid w:val="00C7000E"/>
    <w:rsid w:val="00C70519"/>
    <w:rsid w:val="00C706D0"/>
    <w:rsid w:val="00C70735"/>
    <w:rsid w:val="00C70750"/>
    <w:rsid w:val="00C7088C"/>
    <w:rsid w:val="00C70922"/>
    <w:rsid w:val="00C709B1"/>
    <w:rsid w:val="00C7101D"/>
    <w:rsid w:val="00C71283"/>
    <w:rsid w:val="00C71413"/>
    <w:rsid w:val="00C7161F"/>
    <w:rsid w:val="00C718CC"/>
    <w:rsid w:val="00C718D1"/>
    <w:rsid w:val="00C71F2C"/>
    <w:rsid w:val="00C7245D"/>
    <w:rsid w:val="00C724DA"/>
    <w:rsid w:val="00C724EA"/>
    <w:rsid w:val="00C725C5"/>
    <w:rsid w:val="00C727CA"/>
    <w:rsid w:val="00C72814"/>
    <w:rsid w:val="00C72A63"/>
    <w:rsid w:val="00C72DAC"/>
    <w:rsid w:val="00C72DD5"/>
    <w:rsid w:val="00C73150"/>
    <w:rsid w:val="00C73389"/>
    <w:rsid w:val="00C7362C"/>
    <w:rsid w:val="00C7374D"/>
    <w:rsid w:val="00C739CC"/>
    <w:rsid w:val="00C73AEC"/>
    <w:rsid w:val="00C73B50"/>
    <w:rsid w:val="00C744FA"/>
    <w:rsid w:val="00C74690"/>
    <w:rsid w:val="00C74D4C"/>
    <w:rsid w:val="00C74D51"/>
    <w:rsid w:val="00C74D56"/>
    <w:rsid w:val="00C74EC4"/>
    <w:rsid w:val="00C751AF"/>
    <w:rsid w:val="00C751EE"/>
    <w:rsid w:val="00C755B3"/>
    <w:rsid w:val="00C7587F"/>
    <w:rsid w:val="00C75E19"/>
    <w:rsid w:val="00C75E3D"/>
    <w:rsid w:val="00C75E6A"/>
    <w:rsid w:val="00C75E83"/>
    <w:rsid w:val="00C75F69"/>
    <w:rsid w:val="00C76232"/>
    <w:rsid w:val="00C766CC"/>
    <w:rsid w:val="00C76ADF"/>
    <w:rsid w:val="00C76BEA"/>
    <w:rsid w:val="00C76C3D"/>
    <w:rsid w:val="00C76ED4"/>
    <w:rsid w:val="00C77904"/>
    <w:rsid w:val="00C77962"/>
    <w:rsid w:val="00C77A2E"/>
    <w:rsid w:val="00C77BEA"/>
    <w:rsid w:val="00C77C3F"/>
    <w:rsid w:val="00C80233"/>
    <w:rsid w:val="00C8035C"/>
    <w:rsid w:val="00C80606"/>
    <w:rsid w:val="00C806D7"/>
    <w:rsid w:val="00C80920"/>
    <w:rsid w:val="00C809B0"/>
    <w:rsid w:val="00C80A5A"/>
    <w:rsid w:val="00C80FCB"/>
    <w:rsid w:val="00C813D2"/>
    <w:rsid w:val="00C815D0"/>
    <w:rsid w:val="00C81649"/>
    <w:rsid w:val="00C817F6"/>
    <w:rsid w:val="00C819F6"/>
    <w:rsid w:val="00C81AF2"/>
    <w:rsid w:val="00C81EE1"/>
    <w:rsid w:val="00C82141"/>
    <w:rsid w:val="00C82744"/>
    <w:rsid w:val="00C82A10"/>
    <w:rsid w:val="00C82E32"/>
    <w:rsid w:val="00C83006"/>
    <w:rsid w:val="00C83032"/>
    <w:rsid w:val="00C8304A"/>
    <w:rsid w:val="00C83472"/>
    <w:rsid w:val="00C83E38"/>
    <w:rsid w:val="00C83E62"/>
    <w:rsid w:val="00C840BB"/>
    <w:rsid w:val="00C844D9"/>
    <w:rsid w:val="00C84900"/>
    <w:rsid w:val="00C84AC9"/>
    <w:rsid w:val="00C84C4C"/>
    <w:rsid w:val="00C84D32"/>
    <w:rsid w:val="00C84DFE"/>
    <w:rsid w:val="00C85179"/>
    <w:rsid w:val="00C85204"/>
    <w:rsid w:val="00C852AA"/>
    <w:rsid w:val="00C85570"/>
    <w:rsid w:val="00C85684"/>
    <w:rsid w:val="00C8571F"/>
    <w:rsid w:val="00C858A0"/>
    <w:rsid w:val="00C858D8"/>
    <w:rsid w:val="00C85A6F"/>
    <w:rsid w:val="00C85D62"/>
    <w:rsid w:val="00C86086"/>
    <w:rsid w:val="00C8616C"/>
    <w:rsid w:val="00C86191"/>
    <w:rsid w:val="00C861CC"/>
    <w:rsid w:val="00C861EB"/>
    <w:rsid w:val="00C86412"/>
    <w:rsid w:val="00C86EAE"/>
    <w:rsid w:val="00C86ED1"/>
    <w:rsid w:val="00C86F10"/>
    <w:rsid w:val="00C870BF"/>
    <w:rsid w:val="00C87103"/>
    <w:rsid w:val="00C873B3"/>
    <w:rsid w:val="00C8764D"/>
    <w:rsid w:val="00C87758"/>
    <w:rsid w:val="00C87AB3"/>
    <w:rsid w:val="00C87C47"/>
    <w:rsid w:val="00C87D4C"/>
    <w:rsid w:val="00C900EF"/>
    <w:rsid w:val="00C90157"/>
    <w:rsid w:val="00C901E9"/>
    <w:rsid w:val="00C90B33"/>
    <w:rsid w:val="00C90F0B"/>
    <w:rsid w:val="00C91165"/>
    <w:rsid w:val="00C911E3"/>
    <w:rsid w:val="00C91289"/>
    <w:rsid w:val="00C915E9"/>
    <w:rsid w:val="00C917C1"/>
    <w:rsid w:val="00C91D11"/>
    <w:rsid w:val="00C91DCD"/>
    <w:rsid w:val="00C91F44"/>
    <w:rsid w:val="00C920DB"/>
    <w:rsid w:val="00C92625"/>
    <w:rsid w:val="00C92775"/>
    <w:rsid w:val="00C929B5"/>
    <w:rsid w:val="00C92C09"/>
    <w:rsid w:val="00C92D2B"/>
    <w:rsid w:val="00C92EB0"/>
    <w:rsid w:val="00C92EB7"/>
    <w:rsid w:val="00C92EBF"/>
    <w:rsid w:val="00C92F2D"/>
    <w:rsid w:val="00C93024"/>
    <w:rsid w:val="00C933B9"/>
    <w:rsid w:val="00C933CA"/>
    <w:rsid w:val="00C937F3"/>
    <w:rsid w:val="00C93980"/>
    <w:rsid w:val="00C93A61"/>
    <w:rsid w:val="00C93B6D"/>
    <w:rsid w:val="00C93BAF"/>
    <w:rsid w:val="00C93D91"/>
    <w:rsid w:val="00C93F0A"/>
    <w:rsid w:val="00C93F77"/>
    <w:rsid w:val="00C94043"/>
    <w:rsid w:val="00C94163"/>
    <w:rsid w:val="00C941A5"/>
    <w:rsid w:val="00C941F0"/>
    <w:rsid w:val="00C94266"/>
    <w:rsid w:val="00C9472E"/>
    <w:rsid w:val="00C94785"/>
    <w:rsid w:val="00C948CF"/>
    <w:rsid w:val="00C949C0"/>
    <w:rsid w:val="00C94B1A"/>
    <w:rsid w:val="00C94BF7"/>
    <w:rsid w:val="00C94CFC"/>
    <w:rsid w:val="00C951D8"/>
    <w:rsid w:val="00C951EF"/>
    <w:rsid w:val="00C95222"/>
    <w:rsid w:val="00C955ED"/>
    <w:rsid w:val="00C95884"/>
    <w:rsid w:val="00C9591C"/>
    <w:rsid w:val="00C95966"/>
    <w:rsid w:val="00C95986"/>
    <w:rsid w:val="00C9605F"/>
    <w:rsid w:val="00C9644F"/>
    <w:rsid w:val="00C9648A"/>
    <w:rsid w:val="00C965EB"/>
    <w:rsid w:val="00C969AF"/>
    <w:rsid w:val="00C96D16"/>
    <w:rsid w:val="00C96EC2"/>
    <w:rsid w:val="00C970CF"/>
    <w:rsid w:val="00C97293"/>
    <w:rsid w:val="00C9737E"/>
    <w:rsid w:val="00C974D6"/>
    <w:rsid w:val="00C9756E"/>
    <w:rsid w:val="00C97583"/>
    <w:rsid w:val="00C97685"/>
    <w:rsid w:val="00C977C1"/>
    <w:rsid w:val="00C977CA"/>
    <w:rsid w:val="00C97BDB"/>
    <w:rsid w:val="00C97C68"/>
    <w:rsid w:val="00C97EBE"/>
    <w:rsid w:val="00CA0091"/>
    <w:rsid w:val="00CA05C4"/>
    <w:rsid w:val="00CA0B1D"/>
    <w:rsid w:val="00CA0B97"/>
    <w:rsid w:val="00CA0D25"/>
    <w:rsid w:val="00CA0D47"/>
    <w:rsid w:val="00CA13C6"/>
    <w:rsid w:val="00CA1891"/>
    <w:rsid w:val="00CA18DE"/>
    <w:rsid w:val="00CA1F11"/>
    <w:rsid w:val="00CA20DA"/>
    <w:rsid w:val="00CA21F4"/>
    <w:rsid w:val="00CA27B6"/>
    <w:rsid w:val="00CA2821"/>
    <w:rsid w:val="00CA2AF6"/>
    <w:rsid w:val="00CA2F28"/>
    <w:rsid w:val="00CA311B"/>
    <w:rsid w:val="00CA336C"/>
    <w:rsid w:val="00CA35F4"/>
    <w:rsid w:val="00CA38F8"/>
    <w:rsid w:val="00CA3EE0"/>
    <w:rsid w:val="00CA3F84"/>
    <w:rsid w:val="00CA4158"/>
    <w:rsid w:val="00CA462F"/>
    <w:rsid w:val="00CA4793"/>
    <w:rsid w:val="00CA4A16"/>
    <w:rsid w:val="00CA4B3B"/>
    <w:rsid w:val="00CA4C5E"/>
    <w:rsid w:val="00CA4C94"/>
    <w:rsid w:val="00CA4C9B"/>
    <w:rsid w:val="00CA5008"/>
    <w:rsid w:val="00CA5250"/>
    <w:rsid w:val="00CA5388"/>
    <w:rsid w:val="00CA53D1"/>
    <w:rsid w:val="00CA54D7"/>
    <w:rsid w:val="00CA55E5"/>
    <w:rsid w:val="00CA56CA"/>
    <w:rsid w:val="00CA59A7"/>
    <w:rsid w:val="00CA5B27"/>
    <w:rsid w:val="00CA5DC9"/>
    <w:rsid w:val="00CA5F69"/>
    <w:rsid w:val="00CA5F9D"/>
    <w:rsid w:val="00CA5FD8"/>
    <w:rsid w:val="00CA6392"/>
    <w:rsid w:val="00CA6394"/>
    <w:rsid w:val="00CA65C8"/>
    <w:rsid w:val="00CA6CA8"/>
    <w:rsid w:val="00CA706A"/>
    <w:rsid w:val="00CA70F6"/>
    <w:rsid w:val="00CA7142"/>
    <w:rsid w:val="00CA7213"/>
    <w:rsid w:val="00CA7758"/>
    <w:rsid w:val="00CA77B2"/>
    <w:rsid w:val="00CA7DC1"/>
    <w:rsid w:val="00CB0810"/>
    <w:rsid w:val="00CB0AA6"/>
    <w:rsid w:val="00CB0C45"/>
    <w:rsid w:val="00CB0D49"/>
    <w:rsid w:val="00CB1362"/>
    <w:rsid w:val="00CB14A5"/>
    <w:rsid w:val="00CB1519"/>
    <w:rsid w:val="00CB16FE"/>
    <w:rsid w:val="00CB1919"/>
    <w:rsid w:val="00CB19C4"/>
    <w:rsid w:val="00CB1C01"/>
    <w:rsid w:val="00CB23FE"/>
    <w:rsid w:val="00CB2405"/>
    <w:rsid w:val="00CB29E5"/>
    <w:rsid w:val="00CB2EC4"/>
    <w:rsid w:val="00CB34C2"/>
    <w:rsid w:val="00CB37ED"/>
    <w:rsid w:val="00CB3861"/>
    <w:rsid w:val="00CB3BEE"/>
    <w:rsid w:val="00CB3CD1"/>
    <w:rsid w:val="00CB3D3B"/>
    <w:rsid w:val="00CB3E2C"/>
    <w:rsid w:val="00CB4229"/>
    <w:rsid w:val="00CB42CF"/>
    <w:rsid w:val="00CB42D6"/>
    <w:rsid w:val="00CB44C0"/>
    <w:rsid w:val="00CB46B6"/>
    <w:rsid w:val="00CB4930"/>
    <w:rsid w:val="00CB4A86"/>
    <w:rsid w:val="00CB4B95"/>
    <w:rsid w:val="00CB4BBD"/>
    <w:rsid w:val="00CB4C1D"/>
    <w:rsid w:val="00CB4D58"/>
    <w:rsid w:val="00CB5637"/>
    <w:rsid w:val="00CB569B"/>
    <w:rsid w:val="00CB56AD"/>
    <w:rsid w:val="00CB595E"/>
    <w:rsid w:val="00CB5FB2"/>
    <w:rsid w:val="00CB5FBB"/>
    <w:rsid w:val="00CB600B"/>
    <w:rsid w:val="00CB6306"/>
    <w:rsid w:val="00CB67C2"/>
    <w:rsid w:val="00CB6C54"/>
    <w:rsid w:val="00CB6F3B"/>
    <w:rsid w:val="00CB6FE3"/>
    <w:rsid w:val="00CB70D2"/>
    <w:rsid w:val="00CB7198"/>
    <w:rsid w:val="00CB73A0"/>
    <w:rsid w:val="00CB73B6"/>
    <w:rsid w:val="00CB7414"/>
    <w:rsid w:val="00CB7610"/>
    <w:rsid w:val="00CB7DC8"/>
    <w:rsid w:val="00CC0071"/>
    <w:rsid w:val="00CC07BD"/>
    <w:rsid w:val="00CC0A04"/>
    <w:rsid w:val="00CC0A70"/>
    <w:rsid w:val="00CC0B15"/>
    <w:rsid w:val="00CC0F46"/>
    <w:rsid w:val="00CC10B7"/>
    <w:rsid w:val="00CC127D"/>
    <w:rsid w:val="00CC141A"/>
    <w:rsid w:val="00CC1460"/>
    <w:rsid w:val="00CC14F9"/>
    <w:rsid w:val="00CC160D"/>
    <w:rsid w:val="00CC181F"/>
    <w:rsid w:val="00CC1893"/>
    <w:rsid w:val="00CC18F6"/>
    <w:rsid w:val="00CC1B42"/>
    <w:rsid w:val="00CC1BE2"/>
    <w:rsid w:val="00CC1E9D"/>
    <w:rsid w:val="00CC2034"/>
    <w:rsid w:val="00CC2270"/>
    <w:rsid w:val="00CC23DF"/>
    <w:rsid w:val="00CC297F"/>
    <w:rsid w:val="00CC2D04"/>
    <w:rsid w:val="00CC2D79"/>
    <w:rsid w:val="00CC2EA3"/>
    <w:rsid w:val="00CC347A"/>
    <w:rsid w:val="00CC34E0"/>
    <w:rsid w:val="00CC3783"/>
    <w:rsid w:val="00CC3808"/>
    <w:rsid w:val="00CC3BE9"/>
    <w:rsid w:val="00CC3C93"/>
    <w:rsid w:val="00CC3DC4"/>
    <w:rsid w:val="00CC3F2B"/>
    <w:rsid w:val="00CC3F5A"/>
    <w:rsid w:val="00CC413B"/>
    <w:rsid w:val="00CC4906"/>
    <w:rsid w:val="00CC4B80"/>
    <w:rsid w:val="00CC5051"/>
    <w:rsid w:val="00CC5097"/>
    <w:rsid w:val="00CC52DD"/>
    <w:rsid w:val="00CC56F5"/>
    <w:rsid w:val="00CC5DAF"/>
    <w:rsid w:val="00CC6256"/>
    <w:rsid w:val="00CC629F"/>
    <w:rsid w:val="00CC62D3"/>
    <w:rsid w:val="00CC63AC"/>
    <w:rsid w:val="00CC665C"/>
    <w:rsid w:val="00CC6738"/>
    <w:rsid w:val="00CC6752"/>
    <w:rsid w:val="00CC67B8"/>
    <w:rsid w:val="00CC68C2"/>
    <w:rsid w:val="00CC6901"/>
    <w:rsid w:val="00CC6B8D"/>
    <w:rsid w:val="00CC6D4C"/>
    <w:rsid w:val="00CC6D68"/>
    <w:rsid w:val="00CC7021"/>
    <w:rsid w:val="00CC73EA"/>
    <w:rsid w:val="00CC77B9"/>
    <w:rsid w:val="00CC79E9"/>
    <w:rsid w:val="00CC7B89"/>
    <w:rsid w:val="00CC7B8F"/>
    <w:rsid w:val="00CC7E04"/>
    <w:rsid w:val="00CC7F56"/>
    <w:rsid w:val="00CD00F2"/>
    <w:rsid w:val="00CD0197"/>
    <w:rsid w:val="00CD01CE"/>
    <w:rsid w:val="00CD0A16"/>
    <w:rsid w:val="00CD0C64"/>
    <w:rsid w:val="00CD0D01"/>
    <w:rsid w:val="00CD0D29"/>
    <w:rsid w:val="00CD1539"/>
    <w:rsid w:val="00CD1B3E"/>
    <w:rsid w:val="00CD1CE4"/>
    <w:rsid w:val="00CD212E"/>
    <w:rsid w:val="00CD2149"/>
    <w:rsid w:val="00CD2215"/>
    <w:rsid w:val="00CD2221"/>
    <w:rsid w:val="00CD23A1"/>
    <w:rsid w:val="00CD23A5"/>
    <w:rsid w:val="00CD2499"/>
    <w:rsid w:val="00CD2580"/>
    <w:rsid w:val="00CD26BD"/>
    <w:rsid w:val="00CD279A"/>
    <w:rsid w:val="00CD288B"/>
    <w:rsid w:val="00CD2A4E"/>
    <w:rsid w:val="00CD2DD8"/>
    <w:rsid w:val="00CD2EC1"/>
    <w:rsid w:val="00CD3022"/>
    <w:rsid w:val="00CD33D6"/>
    <w:rsid w:val="00CD37F9"/>
    <w:rsid w:val="00CD3AA6"/>
    <w:rsid w:val="00CD3BB6"/>
    <w:rsid w:val="00CD40B7"/>
    <w:rsid w:val="00CD47A7"/>
    <w:rsid w:val="00CD495B"/>
    <w:rsid w:val="00CD4C78"/>
    <w:rsid w:val="00CD56B3"/>
    <w:rsid w:val="00CD59EE"/>
    <w:rsid w:val="00CD5C14"/>
    <w:rsid w:val="00CD6242"/>
    <w:rsid w:val="00CD6920"/>
    <w:rsid w:val="00CD6B0F"/>
    <w:rsid w:val="00CD6B4C"/>
    <w:rsid w:val="00CD6D30"/>
    <w:rsid w:val="00CD7059"/>
    <w:rsid w:val="00CD71C3"/>
    <w:rsid w:val="00CD721C"/>
    <w:rsid w:val="00CD745A"/>
    <w:rsid w:val="00CD75DC"/>
    <w:rsid w:val="00CD7750"/>
    <w:rsid w:val="00CD7756"/>
    <w:rsid w:val="00CD785B"/>
    <w:rsid w:val="00CD78C7"/>
    <w:rsid w:val="00CD7A42"/>
    <w:rsid w:val="00CE0641"/>
    <w:rsid w:val="00CE0859"/>
    <w:rsid w:val="00CE0B0C"/>
    <w:rsid w:val="00CE0DB0"/>
    <w:rsid w:val="00CE1038"/>
    <w:rsid w:val="00CE17F2"/>
    <w:rsid w:val="00CE1D12"/>
    <w:rsid w:val="00CE1E85"/>
    <w:rsid w:val="00CE1F71"/>
    <w:rsid w:val="00CE1FB6"/>
    <w:rsid w:val="00CE24B6"/>
    <w:rsid w:val="00CE2F3E"/>
    <w:rsid w:val="00CE30EE"/>
    <w:rsid w:val="00CE326E"/>
    <w:rsid w:val="00CE3381"/>
    <w:rsid w:val="00CE3518"/>
    <w:rsid w:val="00CE35D2"/>
    <w:rsid w:val="00CE367F"/>
    <w:rsid w:val="00CE3722"/>
    <w:rsid w:val="00CE3A3D"/>
    <w:rsid w:val="00CE3AAF"/>
    <w:rsid w:val="00CE3B23"/>
    <w:rsid w:val="00CE3FEF"/>
    <w:rsid w:val="00CE4030"/>
    <w:rsid w:val="00CE4150"/>
    <w:rsid w:val="00CE4322"/>
    <w:rsid w:val="00CE4535"/>
    <w:rsid w:val="00CE48EC"/>
    <w:rsid w:val="00CE4A0A"/>
    <w:rsid w:val="00CE4C14"/>
    <w:rsid w:val="00CE4CA7"/>
    <w:rsid w:val="00CE4E10"/>
    <w:rsid w:val="00CE4FBA"/>
    <w:rsid w:val="00CE5000"/>
    <w:rsid w:val="00CE50E0"/>
    <w:rsid w:val="00CE586C"/>
    <w:rsid w:val="00CE588B"/>
    <w:rsid w:val="00CE5C82"/>
    <w:rsid w:val="00CE659C"/>
    <w:rsid w:val="00CE6650"/>
    <w:rsid w:val="00CE673A"/>
    <w:rsid w:val="00CE685B"/>
    <w:rsid w:val="00CE6908"/>
    <w:rsid w:val="00CE6E19"/>
    <w:rsid w:val="00CE702D"/>
    <w:rsid w:val="00CE7092"/>
    <w:rsid w:val="00CE7145"/>
    <w:rsid w:val="00CE71FF"/>
    <w:rsid w:val="00CE72FD"/>
    <w:rsid w:val="00CE743F"/>
    <w:rsid w:val="00CE749E"/>
    <w:rsid w:val="00CE74B7"/>
    <w:rsid w:val="00CE76F2"/>
    <w:rsid w:val="00CE7BD5"/>
    <w:rsid w:val="00CE7E51"/>
    <w:rsid w:val="00CF0176"/>
    <w:rsid w:val="00CF01E0"/>
    <w:rsid w:val="00CF0201"/>
    <w:rsid w:val="00CF034B"/>
    <w:rsid w:val="00CF056E"/>
    <w:rsid w:val="00CF0797"/>
    <w:rsid w:val="00CF0DD5"/>
    <w:rsid w:val="00CF0F41"/>
    <w:rsid w:val="00CF0F79"/>
    <w:rsid w:val="00CF16C3"/>
    <w:rsid w:val="00CF1A80"/>
    <w:rsid w:val="00CF1E9E"/>
    <w:rsid w:val="00CF208A"/>
    <w:rsid w:val="00CF20B8"/>
    <w:rsid w:val="00CF223F"/>
    <w:rsid w:val="00CF2565"/>
    <w:rsid w:val="00CF25A2"/>
    <w:rsid w:val="00CF2699"/>
    <w:rsid w:val="00CF26FC"/>
    <w:rsid w:val="00CF2B8F"/>
    <w:rsid w:val="00CF2F0D"/>
    <w:rsid w:val="00CF33CE"/>
    <w:rsid w:val="00CF3542"/>
    <w:rsid w:val="00CF35BC"/>
    <w:rsid w:val="00CF3704"/>
    <w:rsid w:val="00CF38E7"/>
    <w:rsid w:val="00CF3A5E"/>
    <w:rsid w:val="00CF3DB6"/>
    <w:rsid w:val="00CF3E9B"/>
    <w:rsid w:val="00CF416D"/>
    <w:rsid w:val="00CF43F1"/>
    <w:rsid w:val="00CF448A"/>
    <w:rsid w:val="00CF476B"/>
    <w:rsid w:val="00CF4880"/>
    <w:rsid w:val="00CF4936"/>
    <w:rsid w:val="00CF4D44"/>
    <w:rsid w:val="00CF4D70"/>
    <w:rsid w:val="00CF5160"/>
    <w:rsid w:val="00CF52BE"/>
    <w:rsid w:val="00CF548A"/>
    <w:rsid w:val="00CF5634"/>
    <w:rsid w:val="00CF5C7B"/>
    <w:rsid w:val="00CF5C93"/>
    <w:rsid w:val="00CF5DAB"/>
    <w:rsid w:val="00CF5E33"/>
    <w:rsid w:val="00CF6008"/>
    <w:rsid w:val="00CF60B1"/>
    <w:rsid w:val="00CF610B"/>
    <w:rsid w:val="00CF627F"/>
    <w:rsid w:val="00CF62B2"/>
    <w:rsid w:val="00CF64F9"/>
    <w:rsid w:val="00CF65F3"/>
    <w:rsid w:val="00CF67D4"/>
    <w:rsid w:val="00CF69D7"/>
    <w:rsid w:val="00CF6BAB"/>
    <w:rsid w:val="00CF6DA7"/>
    <w:rsid w:val="00CF6DFC"/>
    <w:rsid w:val="00CF7028"/>
    <w:rsid w:val="00CF7157"/>
    <w:rsid w:val="00CF7185"/>
    <w:rsid w:val="00CF72D3"/>
    <w:rsid w:val="00CF738F"/>
    <w:rsid w:val="00CF7574"/>
    <w:rsid w:val="00CF7986"/>
    <w:rsid w:val="00CF7BE6"/>
    <w:rsid w:val="00CF7C15"/>
    <w:rsid w:val="00CF7D64"/>
    <w:rsid w:val="00CF7E91"/>
    <w:rsid w:val="00D00302"/>
    <w:rsid w:val="00D00C9D"/>
    <w:rsid w:val="00D00FF7"/>
    <w:rsid w:val="00D0146F"/>
    <w:rsid w:val="00D0150F"/>
    <w:rsid w:val="00D01C0D"/>
    <w:rsid w:val="00D01C14"/>
    <w:rsid w:val="00D02314"/>
    <w:rsid w:val="00D027F3"/>
    <w:rsid w:val="00D02945"/>
    <w:rsid w:val="00D029CD"/>
    <w:rsid w:val="00D03009"/>
    <w:rsid w:val="00D032B4"/>
    <w:rsid w:val="00D035CF"/>
    <w:rsid w:val="00D037D4"/>
    <w:rsid w:val="00D03944"/>
    <w:rsid w:val="00D0445B"/>
    <w:rsid w:val="00D0451C"/>
    <w:rsid w:val="00D0456A"/>
    <w:rsid w:val="00D04A5D"/>
    <w:rsid w:val="00D04C48"/>
    <w:rsid w:val="00D04E63"/>
    <w:rsid w:val="00D04F49"/>
    <w:rsid w:val="00D0522B"/>
    <w:rsid w:val="00D052DE"/>
    <w:rsid w:val="00D0541D"/>
    <w:rsid w:val="00D05436"/>
    <w:rsid w:val="00D0593B"/>
    <w:rsid w:val="00D05987"/>
    <w:rsid w:val="00D05B1F"/>
    <w:rsid w:val="00D05BB2"/>
    <w:rsid w:val="00D05C9D"/>
    <w:rsid w:val="00D05D05"/>
    <w:rsid w:val="00D05EF9"/>
    <w:rsid w:val="00D05F8D"/>
    <w:rsid w:val="00D062A3"/>
    <w:rsid w:val="00D062E7"/>
    <w:rsid w:val="00D064E4"/>
    <w:rsid w:val="00D06762"/>
    <w:rsid w:val="00D0677C"/>
    <w:rsid w:val="00D0684F"/>
    <w:rsid w:val="00D06BFF"/>
    <w:rsid w:val="00D07027"/>
    <w:rsid w:val="00D07057"/>
    <w:rsid w:val="00D0706F"/>
    <w:rsid w:val="00D0718D"/>
    <w:rsid w:val="00D07426"/>
    <w:rsid w:val="00D07488"/>
    <w:rsid w:val="00D07554"/>
    <w:rsid w:val="00D07BE1"/>
    <w:rsid w:val="00D07C81"/>
    <w:rsid w:val="00D10352"/>
    <w:rsid w:val="00D1083B"/>
    <w:rsid w:val="00D108A9"/>
    <w:rsid w:val="00D10961"/>
    <w:rsid w:val="00D10A40"/>
    <w:rsid w:val="00D10B06"/>
    <w:rsid w:val="00D10C27"/>
    <w:rsid w:val="00D10CBF"/>
    <w:rsid w:val="00D10CDC"/>
    <w:rsid w:val="00D10DDF"/>
    <w:rsid w:val="00D10FE2"/>
    <w:rsid w:val="00D1128D"/>
    <w:rsid w:val="00D1147E"/>
    <w:rsid w:val="00D114CF"/>
    <w:rsid w:val="00D11511"/>
    <w:rsid w:val="00D1178D"/>
    <w:rsid w:val="00D11B1E"/>
    <w:rsid w:val="00D11BA5"/>
    <w:rsid w:val="00D11F29"/>
    <w:rsid w:val="00D11FE5"/>
    <w:rsid w:val="00D12168"/>
    <w:rsid w:val="00D12337"/>
    <w:rsid w:val="00D123BC"/>
    <w:rsid w:val="00D1268B"/>
    <w:rsid w:val="00D1273D"/>
    <w:rsid w:val="00D12855"/>
    <w:rsid w:val="00D12B1D"/>
    <w:rsid w:val="00D12F04"/>
    <w:rsid w:val="00D13088"/>
    <w:rsid w:val="00D130CF"/>
    <w:rsid w:val="00D1355A"/>
    <w:rsid w:val="00D13720"/>
    <w:rsid w:val="00D13D7D"/>
    <w:rsid w:val="00D13D85"/>
    <w:rsid w:val="00D13F6B"/>
    <w:rsid w:val="00D14213"/>
    <w:rsid w:val="00D1431C"/>
    <w:rsid w:val="00D143BF"/>
    <w:rsid w:val="00D149D0"/>
    <w:rsid w:val="00D14E36"/>
    <w:rsid w:val="00D14E8D"/>
    <w:rsid w:val="00D15375"/>
    <w:rsid w:val="00D1542C"/>
    <w:rsid w:val="00D15492"/>
    <w:rsid w:val="00D15668"/>
    <w:rsid w:val="00D15678"/>
    <w:rsid w:val="00D15928"/>
    <w:rsid w:val="00D159FC"/>
    <w:rsid w:val="00D15B80"/>
    <w:rsid w:val="00D15D7A"/>
    <w:rsid w:val="00D1613F"/>
    <w:rsid w:val="00D16572"/>
    <w:rsid w:val="00D170A1"/>
    <w:rsid w:val="00D17233"/>
    <w:rsid w:val="00D17472"/>
    <w:rsid w:val="00D17AA7"/>
    <w:rsid w:val="00D17C06"/>
    <w:rsid w:val="00D17D36"/>
    <w:rsid w:val="00D205D8"/>
    <w:rsid w:val="00D20673"/>
    <w:rsid w:val="00D206EC"/>
    <w:rsid w:val="00D206FB"/>
    <w:rsid w:val="00D20808"/>
    <w:rsid w:val="00D20895"/>
    <w:rsid w:val="00D20FBE"/>
    <w:rsid w:val="00D21677"/>
    <w:rsid w:val="00D2199F"/>
    <w:rsid w:val="00D21CB5"/>
    <w:rsid w:val="00D22015"/>
    <w:rsid w:val="00D22185"/>
    <w:rsid w:val="00D221BE"/>
    <w:rsid w:val="00D22284"/>
    <w:rsid w:val="00D222C0"/>
    <w:rsid w:val="00D22658"/>
    <w:rsid w:val="00D22746"/>
    <w:rsid w:val="00D22A20"/>
    <w:rsid w:val="00D22B63"/>
    <w:rsid w:val="00D22BDE"/>
    <w:rsid w:val="00D22C5E"/>
    <w:rsid w:val="00D22C7C"/>
    <w:rsid w:val="00D22C8B"/>
    <w:rsid w:val="00D22E1A"/>
    <w:rsid w:val="00D22E6B"/>
    <w:rsid w:val="00D22F63"/>
    <w:rsid w:val="00D230F8"/>
    <w:rsid w:val="00D231B6"/>
    <w:rsid w:val="00D234AA"/>
    <w:rsid w:val="00D2355E"/>
    <w:rsid w:val="00D23591"/>
    <w:rsid w:val="00D23839"/>
    <w:rsid w:val="00D238A0"/>
    <w:rsid w:val="00D238ED"/>
    <w:rsid w:val="00D239F7"/>
    <w:rsid w:val="00D239FE"/>
    <w:rsid w:val="00D23A5D"/>
    <w:rsid w:val="00D23EE3"/>
    <w:rsid w:val="00D24088"/>
    <w:rsid w:val="00D240F6"/>
    <w:rsid w:val="00D24303"/>
    <w:rsid w:val="00D24401"/>
    <w:rsid w:val="00D24405"/>
    <w:rsid w:val="00D247A9"/>
    <w:rsid w:val="00D24B0B"/>
    <w:rsid w:val="00D24B8F"/>
    <w:rsid w:val="00D24CB1"/>
    <w:rsid w:val="00D24FAB"/>
    <w:rsid w:val="00D2507A"/>
    <w:rsid w:val="00D254F6"/>
    <w:rsid w:val="00D25565"/>
    <w:rsid w:val="00D25575"/>
    <w:rsid w:val="00D25582"/>
    <w:rsid w:val="00D255D0"/>
    <w:rsid w:val="00D25FC5"/>
    <w:rsid w:val="00D2623B"/>
    <w:rsid w:val="00D26385"/>
    <w:rsid w:val="00D264EE"/>
    <w:rsid w:val="00D267E9"/>
    <w:rsid w:val="00D26A1B"/>
    <w:rsid w:val="00D26A51"/>
    <w:rsid w:val="00D26D88"/>
    <w:rsid w:val="00D274E5"/>
    <w:rsid w:val="00D275DC"/>
    <w:rsid w:val="00D27665"/>
    <w:rsid w:val="00D27685"/>
    <w:rsid w:val="00D27E03"/>
    <w:rsid w:val="00D27EF4"/>
    <w:rsid w:val="00D3015D"/>
    <w:rsid w:val="00D30517"/>
    <w:rsid w:val="00D30CCE"/>
    <w:rsid w:val="00D30EF1"/>
    <w:rsid w:val="00D315ED"/>
    <w:rsid w:val="00D316B4"/>
    <w:rsid w:val="00D316FF"/>
    <w:rsid w:val="00D31CF0"/>
    <w:rsid w:val="00D32111"/>
    <w:rsid w:val="00D32369"/>
    <w:rsid w:val="00D32588"/>
    <w:rsid w:val="00D325CE"/>
    <w:rsid w:val="00D326BB"/>
    <w:rsid w:val="00D32C0A"/>
    <w:rsid w:val="00D32D24"/>
    <w:rsid w:val="00D3316C"/>
    <w:rsid w:val="00D337A8"/>
    <w:rsid w:val="00D33BE5"/>
    <w:rsid w:val="00D33BED"/>
    <w:rsid w:val="00D33E05"/>
    <w:rsid w:val="00D3406E"/>
    <w:rsid w:val="00D34126"/>
    <w:rsid w:val="00D341C2"/>
    <w:rsid w:val="00D3433D"/>
    <w:rsid w:val="00D3499C"/>
    <w:rsid w:val="00D349BE"/>
    <w:rsid w:val="00D34A18"/>
    <w:rsid w:val="00D34AAD"/>
    <w:rsid w:val="00D34ADA"/>
    <w:rsid w:val="00D34B8E"/>
    <w:rsid w:val="00D34F00"/>
    <w:rsid w:val="00D34F40"/>
    <w:rsid w:val="00D35042"/>
    <w:rsid w:val="00D35266"/>
    <w:rsid w:val="00D3549F"/>
    <w:rsid w:val="00D354B9"/>
    <w:rsid w:val="00D3564D"/>
    <w:rsid w:val="00D3567A"/>
    <w:rsid w:val="00D3586E"/>
    <w:rsid w:val="00D35A94"/>
    <w:rsid w:val="00D35CAC"/>
    <w:rsid w:val="00D35EFE"/>
    <w:rsid w:val="00D36211"/>
    <w:rsid w:val="00D36239"/>
    <w:rsid w:val="00D368AE"/>
    <w:rsid w:val="00D36A65"/>
    <w:rsid w:val="00D36E59"/>
    <w:rsid w:val="00D3700B"/>
    <w:rsid w:val="00D37098"/>
    <w:rsid w:val="00D37222"/>
    <w:rsid w:val="00D37600"/>
    <w:rsid w:val="00D3767C"/>
    <w:rsid w:val="00D3783A"/>
    <w:rsid w:val="00D401D3"/>
    <w:rsid w:val="00D40230"/>
    <w:rsid w:val="00D404E0"/>
    <w:rsid w:val="00D406A0"/>
    <w:rsid w:val="00D40836"/>
    <w:rsid w:val="00D40BC9"/>
    <w:rsid w:val="00D40E36"/>
    <w:rsid w:val="00D4102D"/>
    <w:rsid w:val="00D41274"/>
    <w:rsid w:val="00D412E5"/>
    <w:rsid w:val="00D41307"/>
    <w:rsid w:val="00D4130E"/>
    <w:rsid w:val="00D4154C"/>
    <w:rsid w:val="00D41777"/>
    <w:rsid w:val="00D41A0B"/>
    <w:rsid w:val="00D41A1E"/>
    <w:rsid w:val="00D41B67"/>
    <w:rsid w:val="00D41CC2"/>
    <w:rsid w:val="00D421F5"/>
    <w:rsid w:val="00D42228"/>
    <w:rsid w:val="00D424CA"/>
    <w:rsid w:val="00D426A3"/>
    <w:rsid w:val="00D42A1C"/>
    <w:rsid w:val="00D42CCE"/>
    <w:rsid w:val="00D42D46"/>
    <w:rsid w:val="00D42DDD"/>
    <w:rsid w:val="00D42EF8"/>
    <w:rsid w:val="00D4338E"/>
    <w:rsid w:val="00D4348F"/>
    <w:rsid w:val="00D434A3"/>
    <w:rsid w:val="00D4363F"/>
    <w:rsid w:val="00D43CCB"/>
    <w:rsid w:val="00D43CEA"/>
    <w:rsid w:val="00D44040"/>
    <w:rsid w:val="00D4434E"/>
    <w:rsid w:val="00D44514"/>
    <w:rsid w:val="00D4463D"/>
    <w:rsid w:val="00D4467F"/>
    <w:rsid w:val="00D4480F"/>
    <w:rsid w:val="00D4500E"/>
    <w:rsid w:val="00D45294"/>
    <w:rsid w:val="00D4569C"/>
    <w:rsid w:val="00D4575E"/>
    <w:rsid w:val="00D4597B"/>
    <w:rsid w:val="00D459B0"/>
    <w:rsid w:val="00D45B00"/>
    <w:rsid w:val="00D45CB3"/>
    <w:rsid w:val="00D45D7A"/>
    <w:rsid w:val="00D45D97"/>
    <w:rsid w:val="00D45FFF"/>
    <w:rsid w:val="00D4610A"/>
    <w:rsid w:val="00D46459"/>
    <w:rsid w:val="00D46BD9"/>
    <w:rsid w:val="00D46C43"/>
    <w:rsid w:val="00D46EF3"/>
    <w:rsid w:val="00D47012"/>
    <w:rsid w:val="00D47456"/>
    <w:rsid w:val="00D4780D"/>
    <w:rsid w:val="00D47A91"/>
    <w:rsid w:val="00D47C2B"/>
    <w:rsid w:val="00D47E4C"/>
    <w:rsid w:val="00D47FB4"/>
    <w:rsid w:val="00D502A7"/>
    <w:rsid w:val="00D503D4"/>
    <w:rsid w:val="00D50781"/>
    <w:rsid w:val="00D50793"/>
    <w:rsid w:val="00D50843"/>
    <w:rsid w:val="00D50858"/>
    <w:rsid w:val="00D50E44"/>
    <w:rsid w:val="00D51861"/>
    <w:rsid w:val="00D51EBD"/>
    <w:rsid w:val="00D51EC9"/>
    <w:rsid w:val="00D520B1"/>
    <w:rsid w:val="00D522C7"/>
    <w:rsid w:val="00D523AC"/>
    <w:rsid w:val="00D525D3"/>
    <w:rsid w:val="00D529CF"/>
    <w:rsid w:val="00D52A0E"/>
    <w:rsid w:val="00D52B17"/>
    <w:rsid w:val="00D52B57"/>
    <w:rsid w:val="00D52C8D"/>
    <w:rsid w:val="00D5312D"/>
    <w:rsid w:val="00D531D8"/>
    <w:rsid w:val="00D5397B"/>
    <w:rsid w:val="00D53CDE"/>
    <w:rsid w:val="00D53D9E"/>
    <w:rsid w:val="00D542AB"/>
    <w:rsid w:val="00D54581"/>
    <w:rsid w:val="00D545D7"/>
    <w:rsid w:val="00D54682"/>
    <w:rsid w:val="00D54865"/>
    <w:rsid w:val="00D54898"/>
    <w:rsid w:val="00D54978"/>
    <w:rsid w:val="00D54A1C"/>
    <w:rsid w:val="00D54A7D"/>
    <w:rsid w:val="00D54C4A"/>
    <w:rsid w:val="00D54E61"/>
    <w:rsid w:val="00D54E95"/>
    <w:rsid w:val="00D54EA0"/>
    <w:rsid w:val="00D5509A"/>
    <w:rsid w:val="00D550B6"/>
    <w:rsid w:val="00D551C9"/>
    <w:rsid w:val="00D5527C"/>
    <w:rsid w:val="00D55344"/>
    <w:rsid w:val="00D55B03"/>
    <w:rsid w:val="00D55CAC"/>
    <w:rsid w:val="00D55D40"/>
    <w:rsid w:val="00D55F2E"/>
    <w:rsid w:val="00D560A6"/>
    <w:rsid w:val="00D56273"/>
    <w:rsid w:val="00D5652C"/>
    <w:rsid w:val="00D56577"/>
    <w:rsid w:val="00D56934"/>
    <w:rsid w:val="00D5698B"/>
    <w:rsid w:val="00D56A5A"/>
    <w:rsid w:val="00D56B6D"/>
    <w:rsid w:val="00D56C07"/>
    <w:rsid w:val="00D56DB2"/>
    <w:rsid w:val="00D57083"/>
    <w:rsid w:val="00D57291"/>
    <w:rsid w:val="00D57303"/>
    <w:rsid w:val="00D5740F"/>
    <w:rsid w:val="00D57410"/>
    <w:rsid w:val="00D57A6B"/>
    <w:rsid w:val="00D57C46"/>
    <w:rsid w:val="00D6013F"/>
    <w:rsid w:val="00D6019D"/>
    <w:rsid w:val="00D60B64"/>
    <w:rsid w:val="00D60D00"/>
    <w:rsid w:val="00D60D60"/>
    <w:rsid w:val="00D60EA9"/>
    <w:rsid w:val="00D610BC"/>
    <w:rsid w:val="00D6140B"/>
    <w:rsid w:val="00D61595"/>
    <w:rsid w:val="00D61698"/>
    <w:rsid w:val="00D61711"/>
    <w:rsid w:val="00D619B4"/>
    <w:rsid w:val="00D61D25"/>
    <w:rsid w:val="00D61D8C"/>
    <w:rsid w:val="00D61EB8"/>
    <w:rsid w:val="00D61F0A"/>
    <w:rsid w:val="00D620A5"/>
    <w:rsid w:val="00D6226F"/>
    <w:rsid w:val="00D62368"/>
    <w:rsid w:val="00D625E6"/>
    <w:rsid w:val="00D6292E"/>
    <w:rsid w:val="00D62A59"/>
    <w:rsid w:val="00D62CD1"/>
    <w:rsid w:val="00D62D9A"/>
    <w:rsid w:val="00D63029"/>
    <w:rsid w:val="00D6331C"/>
    <w:rsid w:val="00D6377D"/>
    <w:rsid w:val="00D63A27"/>
    <w:rsid w:val="00D63C3B"/>
    <w:rsid w:val="00D640A7"/>
    <w:rsid w:val="00D64526"/>
    <w:rsid w:val="00D64727"/>
    <w:rsid w:val="00D6488C"/>
    <w:rsid w:val="00D64955"/>
    <w:rsid w:val="00D64F3D"/>
    <w:rsid w:val="00D64FF0"/>
    <w:rsid w:val="00D65104"/>
    <w:rsid w:val="00D65215"/>
    <w:rsid w:val="00D652DC"/>
    <w:rsid w:val="00D65354"/>
    <w:rsid w:val="00D653CB"/>
    <w:rsid w:val="00D6547F"/>
    <w:rsid w:val="00D65D31"/>
    <w:rsid w:val="00D65D83"/>
    <w:rsid w:val="00D65E88"/>
    <w:rsid w:val="00D65FD4"/>
    <w:rsid w:val="00D66495"/>
    <w:rsid w:val="00D6656C"/>
    <w:rsid w:val="00D665F5"/>
    <w:rsid w:val="00D666C1"/>
    <w:rsid w:val="00D66B0F"/>
    <w:rsid w:val="00D66CC7"/>
    <w:rsid w:val="00D67087"/>
    <w:rsid w:val="00D670AD"/>
    <w:rsid w:val="00D67412"/>
    <w:rsid w:val="00D67458"/>
    <w:rsid w:val="00D6778B"/>
    <w:rsid w:val="00D677C0"/>
    <w:rsid w:val="00D67915"/>
    <w:rsid w:val="00D67E7D"/>
    <w:rsid w:val="00D67F40"/>
    <w:rsid w:val="00D702AD"/>
    <w:rsid w:val="00D70344"/>
    <w:rsid w:val="00D7034E"/>
    <w:rsid w:val="00D706EC"/>
    <w:rsid w:val="00D70979"/>
    <w:rsid w:val="00D70BEC"/>
    <w:rsid w:val="00D70C29"/>
    <w:rsid w:val="00D70DFD"/>
    <w:rsid w:val="00D70ED9"/>
    <w:rsid w:val="00D71002"/>
    <w:rsid w:val="00D71388"/>
    <w:rsid w:val="00D71956"/>
    <w:rsid w:val="00D71994"/>
    <w:rsid w:val="00D71D9A"/>
    <w:rsid w:val="00D71E07"/>
    <w:rsid w:val="00D71F9E"/>
    <w:rsid w:val="00D71FEC"/>
    <w:rsid w:val="00D720DA"/>
    <w:rsid w:val="00D72314"/>
    <w:rsid w:val="00D724EF"/>
    <w:rsid w:val="00D725CA"/>
    <w:rsid w:val="00D72674"/>
    <w:rsid w:val="00D7277C"/>
    <w:rsid w:val="00D7280D"/>
    <w:rsid w:val="00D7281B"/>
    <w:rsid w:val="00D72CBD"/>
    <w:rsid w:val="00D72E05"/>
    <w:rsid w:val="00D72E0B"/>
    <w:rsid w:val="00D72F35"/>
    <w:rsid w:val="00D730EF"/>
    <w:rsid w:val="00D732DD"/>
    <w:rsid w:val="00D73363"/>
    <w:rsid w:val="00D7347F"/>
    <w:rsid w:val="00D73497"/>
    <w:rsid w:val="00D73749"/>
    <w:rsid w:val="00D73974"/>
    <w:rsid w:val="00D73C38"/>
    <w:rsid w:val="00D73DC2"/>
    <w:rsid w:val="00D73F8D"/>
    <w:rsid w:val="00D74071"/>
    <w:rsid w:val="00D7456D"/>
    <w:rsid w:val="00D74698"/>
    <w:rsid w:val="00D74F56"/>
    <w:rsid w:val="00D74FE6"/>
    <w:rsid w:val="00D7503D"/>
    <w:rsid w:val="00D756B7"/>
    <w:rsid w:val="00D75C03"/>
    <w:rsid w:val="00D75D03"/>
    <w:rsid w:val="00D75DB7"/>
    <w:rsid w:val="00D75E37"/>
    <w:rsid w:val="00D760A7"/>
    <w:rsid w:val="00D7649F"/>
    <w:rsid w:val="00D765BD"/>
    <w:rsid w:val="00D76806"/>
    <w:rsid w:val="00D769DA"/>
    <w:rsid w:val="00D77039"/>
    <w:rsid w:val="00D770DE"/>
    <w:rsid w:val="00D7716F"/>
    <w:rsid w:val="00D771DF"/>
    <w:rsid w:val="00D77378"/>
    <w:rsid w:val="00D77437"/>
    <w:rsid w:val="00D777F6"/>
    <w:rsid w:val="00D77858"/>
    <w:rsid w:val="00D77C28"/>
    <w:rsid w:val="00D77D1B"/>
    <w:rsid w:val="00D80184"/>
    <w:rsid w:val="00D804C4"/>
    <w:rsid w:val="00D8050C"/>
    <w:rsid w:val="00D806F0"/>
    <w:rsid w:val="00D80DC4"/>
    <w:rsid w:val="00D80F06"/>
    <w:rsid w:val="00D81024"/>
    <w:rsid w:val="00D811A1"/>
    <w:rsid w:val="00D811DF"/>
    <w:rsid w:val="00D81376"/>
    <w:rsid w:val="00D81397"/>
    <w:rsid w:val="00D81ECC"/>
    <w:rsid w:val="00D81F1E"/>
    <w:rsid w:val="00D8226D"/>
    <w:rsid w:val="00D8231E"/>
    <w:rsid w:val="00D82592"/>
    <w:rsid w:val="00D825B9"/>
    <w:rsid w:val="00D82614"/>
    <w:rsid w:val="00D82617"/>
    <w:rsid w:val="00D8276A"/>
    <w:rsid w:val="00D829E5"/>
    <w:rsid w:val="00D831CB"/>
    <w:rsid w:val="00D83313"/>
    <w:rsid w:val="00D83591"/>
    <w:rsid w:val="00D83B5C"/>
    <w:rsid w:val="00D83F09"/>
    <w:rsid w:val="00D8409E"/>
    <w:rsid w:val="00D842BA"/>
    <w:rsid w:val="00D847FB"/>
    <w:rsid w:val="00D84AB8"/>
    <w:rsid w:val="00D84D63"/>
    <w:rsid w:val="00D84E13"/>
    <w:rsid w:val="00D85264"/>
    <w:rsid w:val="00D856FE"/>
    <w:rsid w:val="00D857DA"/>
    <w:rsid w:val="00D8591A"/>
    <w:rsid w:val="00D85AF2"/>
    <w:rsid w:val="00D86067"/>
    <w:rsid w:val="00D86396"/>
    <w:rsid w:val="00D86480"/>
    <w:rsid w:val="00D8657D"/>
    <w:rsid w:val="00D86735"/>
    <w:rsid w:val="00D86A2E"/>
    <w:rsid w:val="00D86B74"/>
    <w:rsid w:val="00D86C08"/>
    <w:rsid w:val="00D86E53"/>
    <w:rsid w:val="00D86E62"/>
    <w:rsid w:val="00D86EB7"/>
    <w:rsid w:val="00D8714C"/>
    <w:rsid w:val="00D874CE"/>
    <w:rsid w:val="00D875F4"/>
    <w:rsid w:val="00D878A7"/>
    <w:rsid w:val="00D878AA"/>
    <w:rsid w:val="00D878E8"/>
    <w:rsid w:val="00D87B98"/>
    <w:rsid w:val="00D9037B"/>
    <w:rsid w:val="00D903E4"/>
    <w:rsid w:val="00D9082C"/>
    <w:rsid w:val="00D90A91"/>
    <w:rsid w:val="00D90B66"/>
    <w:rsid w:val="00D90CAF"/>
    <w:rsid w:val="00D90EE3"/>
    <w:rsid w:val="00D90FE6"/>
    <w:rsid w:val="00D91045"/>
    <w:rsid w:val="00D911E1"/>
    <w:rsid w:val="00D9151B"/>
    <w:rsid w:val="00D91658"/>
    <w:rsid w:val="00D91D7C"/>
    <w:rsid w:val="00D91FFF"/>
    <w:rsid w:val="00D920A8"/>
    <w:rsid w:val="00D9221E"/>
    <w:rsid w:val="00D923E8"/>
    <w:rsid w:val="00D9277D"/>
    <w:rsid w:val="00D92804"/>
    <w:rsid w:val="00D928C7"/>
    <w:rsid w:val="00D92CCE"/>
    <w:rsid w:val="00D92CE6"/>
    <w:rsid w:val="00D930BE"/>
    <w:rsid w:val="00D930CA"/>
    <w:rsid w:val="00D93256"/>
    <w:rsid w:val="00D93271"/>
    <w:rsid w:val="00D93277"/>
    <w:rsid w:val="00D932CC"/>
    <w:rsid w:val="00D93320"/>
    <w:rsid w:val="00D9350E"/>
    <w:rsid w:val="00D9364E"/>
    <w:rsid w:val="00D936CC"/>
    <w:rsid w:val="00D936CD"/>
    <w:rsid w:val="00D937EE"/>
    <w:rsid w:val="00D93977"/>
    <w:rsid w:val="00D93A6D"/>
    <w:rsid w:val="00D93ACE"/>
    <w:rsid w:val="00D93AD0"/>
    <w:rsid w:val="00D93CC5"/>
    <w:rsid w:val="00D93D36"/>
    <w:rsid w:val="00D93F0F"/>
    <w:rsid w:val="00D9413A"/>
    <w:rsid w:val="00D948EC"/>
    <w:rsid w:val="00D95EDD"/>
    <w:rsid w:val="00D95F02"/>
    <w:rsid w:val="00D96144"/>
    <w:rsid w:val="00D9691D"/>
    <w:rsid w:val="00D9694C"/>
    <w:rsid w:val="00D96B9A"/>
    <w:rsid w:val="00D96D49"/>
    <w:rsid w:val="00D96DE4"/>
    <w:rsid w:val="00D9703B"/>
    <w:rsid w:val="00D974D7"/>
    <w:rsid w:val="00D97C7E"/>
    <w:rsid w:val="00D97E2D"/>
    <w:rsid w:val="00DA0299"/>
    <w:rsid w:val="00DA0426"/>
    <w:rsid w:val="00DA0595"/>
    <w:rsid w:val="00DA0803"/>
    <w:rsid w:val="00DA0907"/>
    <w:rsid w:val="00DA0CCE"/>
    <w:rsid w:val="00DA137E"/>
    <w:rsid w:val="00DA14B5"/>
    <w:rsid w:val="00DA1CD0"/>
    <w:rsid w:val="00DA1D1A"/>
    <w:rsid w:val="00DA1D78"/>
    <w:rsid w:val="00DA209A"/>
    <w:rsid w:val="00DA2244"/>
    <w:rsid w:val="00DA22C6"/>
    <w:rsid w:val="00DA23FB"/>
    <w:rsid w:val="00DA282B"/>
    <w:rsid w:val="00DA29A5"/>
    <w:rsid w:val="00DA2EB4"/>
    <w:rsid w:val="00DA307B"/>
    <w:rsid w:val="00DA32E7"/>
    <w:rsid w:val="00DA3A06"/>
    <w:rsid w:val="00DA3BC1"/>
    <w:rsid w:val="00DA3C8C"/>
    <w:rsid w:val="00DA3D75"/>
    <w:rsid w:val="00DA3E01"/>
    <w:rsid w:val="00DA431A"/>
    <w:rsid w:val="00DA43D9"/>
    <w:rsid w:val="00DA44AA"/>
    <w:rsid w:val="00DA4608"/>
    <w:rsid w:val="00DA467D"/>
    <w:rsid w:val="00DA4BB3"/>
    <w:rsid w:val="00DA4C11"/>
    <w:rsid w:val="00DA4D76"/>
    <w:rsid w:val="00DA4E4C"/>
    <w:rsid w:val="00DA4E67"/>
    <w:rsid w:val="00DA561D"/>
    <w:rsid w:val="00DA5A96"/>
    <w:rsid w:val="00DA5B86"/>
    <w:rsid w:val="00DA5BA9"/>
    <w:rsid w:val="00DA5C39"/>
    <w:rsid w:val="00DA5FDE"/>
    <w:rsid w:val="00DA6570"/>
    <w:rsid w:val="00DA668C"/>
    <w:rsid w:val="00DA67BA"/>
    <w:rsid w:val="00DA6850"/>
    <w:rsid w:val="00DA690E"/>
    <w:rsid w:val="00DA69AA"/>
    <w:rsid w:val="00DA69B6"/>
    <w:rsid w:val="00DA6C80"/>
    <w:rsid w:val="00DA6C86"/>
    <w:rsid w:val="00DA6F5B"/>
    <w:rsid w:val="00DA7249"/>
    <w:rsid w:val="00DA752B"/>
    <w:rsid w:val="00DA758A"/>
    <w:rsid w:val="00DA78B5"/>
    <w:rsid w:val="00DA78D1"/>
    <w:rsid w:val="00DA7A0D"/>
    <w:rsid w:val="00DA7F63"/>
    <w:rsid w:val="00DA7FD4"/>
    <w:rsid w:val="00DB01C1"/>
    <w:rsid w:val="00DB01E6"/>
    <w:rsid w:val="00DB027C"/>
    <w:rsid w:val="00DB07A3"/>
    <w:rsid w:val="00DB08D9"/>
    <w:rsid w:val="00DB0E26"/>
    <w:rsid w:val="00DB0E4C"/>
    <w:rsid w:val="00DB0EAB"/>
    <w:rsid w:val="00DB0F9C"/>
    <w:rsid w:val="00DB0F9F"/>
    <w:rsid w:val="00DB10F3"/>
    <w:rsid w:val="00DB1364"/>
    <w:rsid w:val="00DB1434"/>
    <w:rsid w:val="00DB18C1"/>
    <w:rsid w:val="00DB19EC"/>
    <w:rsid w:val="00DB1A3A"/>
    <w:rsid w:val="00DB1B11"/>
    <w:rsid w:val="00DB1B67"/>
    <w:rsid w:val="00DB1EB2"/>
    <w:rsid w:val="00DB1F54"/>
    <w:rsid w:val="00DB1FA1"/>
    <w:rsid w:val="00DB21B9"/>
    <w:rsid w:val="00DB2254"/>
    <w:rsid w:val="00DB2535"/>
    <w:rsid w:val="00DB2646"/>
    <w:rsid w:val="00DB2797"/>
    <w:rsid w:val="00DB285D"/>
    <w:rsid w:val="00DB2BCE"/>
    <w:rsid w:val="00DB2ECB"/>
    <w:rsid w:val="00DB3037"/>
    <w:rsid w:val="00DB31DA"/>
    <w:rsid w:val="00DB321B"/>
    <w:rsid w:val="00DB348E"/>
    <w:rsid w:val="00DB3590"/>
    <w:rsid w:val="00DB3BA8"/>
    <w:rsid w:val="00DB3C05"/>
    <w:rsid w:val="00DB3CE8"/>
    <w:rsid w:val="00DB40C7"/>
    <w:rsid w:val="00DB4869"/>
    <w:rsid w:val="00DB4A4B"/>
    <w:rsid w:val="00DB4F63"/>
    <w:rsid w:val="00DB5319"/>
    <w:rsid w:val="00DB54B4"/>
    <w:rsid w:val="00DB58CF"/>
    <w:rsid w:val="00DB5987"/>
    <w:rsid w:val="00DB598E"/>
    <w:rsid w:val="00DB5A31"/>
    <w:rsid w:val="00DB5C40"/>
    <w:rsid w:val="00DB608A"/>
    <w:rsid w:val="00DB60FC"/>
    <w:rsid w:val="00DB61A3"/>
    <w:rsid w:val="00DB64F0"/>
    <w:rsid w:val="00DB6533"/>
    <w:rsid w:val="00DB68D5"/>
    <w:rsid w:val="00DB69F5"/>
    <w:rsid w:val="00DB6A9A"/>
    <w:rsid w:val="00DB6B3A"/>
    <w:rsid w:val="00DB6D4C"/>
    <w:rsid w:val="00DB6FD6"/>
    <w:rsid w:val="00DB7101"/>
    <w:rsid w:val="00DB7361"/>
    <w:rsid w:val="00DB745F"/>
    <w:rsid w:val="00DB7559"/>
    <w:rsid w:val="00DB7796"/>
    <w:rsid w:val="00DB77AF"/>
    <w:rsid w:val="00DB77E0"/>
    <w:rsid w:val="00DB7909"/>
    <w:rsid w:val="00DB790E"/>
    <w:rsid w:val="00DB7EE9"/>
    <w:rsid w:val="00DC044F"/>
    <w:rsid w:val="00DC04D3"/>
    <w:rsid w:val="00DC058C"/>
    <w:rsid w:val="00DC06E9"/>
    <w:rsid w:val="00DC0744"/>
    <w:rsid w:val="00DC07CE"/>
    <w:rsid w:val="00DC088F"/>
    <w:rsid w:val="00DC0983"/>
    <w:rsid w:val="00DC0AD4"/>
    <w:rsid w:val="00DC0AD5"/>
    <w:rsid w:val="00DC0AF3"/>
    <w:rsid w:val="00DC0B34"/>
    <w:rsid w:val="00DC0CF2"/>
    <w:rsid w:val="00DC0DA2"/>
    <w:rsid w:val="00DC0DE6"/>
    <w:rsid w:val="00DC0DF3"/>
    <w:rsid w:val="00DC0FFD"/>
    <w:rsid w:val="00DC1258"/>
    <w:rsid w:val="00DC12B1"/>
    <w:rsid w:val="00DC1B19"/>
    <w:rsid w:val="00DC2011"/>
    <w:rsid w:val="00DC20BB"/>
    <w:rsid w:val="00DC2B3D"/>
    <w:rsid w:val="00DC2C6C"/>
    <w:rsid w:val="00DC2EF3"/>
    <w:rsid w:val="00DC30C9"/>
    <w:rsid w:val="00DC3172"/>
    <w:rsid w:val="00DC34CB"/>
    <w:rsid w:val="00DC3797"/>
    <w:rsid w:val="00DC38CF"/>
    <w:rsid w:val="00DC3ABF"/>
    <w:rsid w:val="00DC3B66"/>
    <w:rsid w:val="00DC3B8A"/>
    <w:rsid w:val="00DC3F76"/>
    <w:rsid w:val="00DC3F9C"/>
    <w:rsid w:val="00DC44DE"/>
    <w:rsid w:val="00DC44F2"/>
    <w:rsid w:val="00DC45EC"/>
    <w:rsid w:val="00DC45F6"/>
    <w:rsid w:val="00DC51C9"/>
    <w:rsid w:val="00DC57BB"/>
    <w:rsid w:val="00DC5A31"/>
    <w:rsid w:val="00DC5A43"/>
    <w:rsid w:val="00DC6099"/>
    <w:rsid w:val="00DC6356"/>
    <w:rsid w:val="00DC65D8"/>
    <w:rsid w:val="00DC6615"/>
    <w:rsid w:val="00DC6789"/>
    <w:rsid w:val="00DC688E"/>
    <w:rsid w:val="00DC69BA"/>
    <w:rsid w:val="00DC71A0"/>
    <w:rsid w:val="00DC71A7"/>
    <w:rsid w:val="00DC7347"/>
    <w:rsid w:val="00DC748F"/>
    <w:rsid w:val="00DC77AC"/>
    <w:rsid w:val="00DC782E"/>
    <w:rsid w:val="00DC7914"/>
    <w:rsid w:val="00DC7B63"/>
    <w:rsid w:val="00DC7BE8"/>
    <w:rsid w:val="00DC7CE5"/>
    <w:rsid w:val="00DD002A"/>
    <w:rsid w:val="00DD00A4"/>
    <w:rsid w:val="00DD0352"/>
    <w:rsid w:val="00DD05BD"/>
    <w:rsid w:val="00DD07C6"/>
    <w:rsid w:val="00DD08F8"/>
    <w:rsid w:val="00DD0918"/>
    <w:rsid w:val="00DD097C"/>
    <w:rsid w:val="00DD0BFB"/>
    <w:rsid w:val="00DD118F"/>
    <w:rsid w:val="00DD14A4"/>
    <w:rsid w:val="00DD14E0"/>
    <w:rsid w:val="00DD19A6"/>
    <w:rsid w:val="00DD1AF5"/>
    <w:rsid w:val="00DD1BCC"/>
    <w:rsid w:val="00DD1D91"/>
    <w:rsid w:val="00DD1F42"/>
    <w:rsid w:val="00DD1F6F"/>
    <w:rsid w:val="00DD20F1"/>
    <w:rsid w:val="00DD2B38"/>
    <w:rsid w:val="00DD3183"/>
    <w:rsid w:val="00DD3185"/>
    <w:rsid w:val="00DD3564"/>
    <w:rsid w:val="00DD36A7"/>
    <w:rsid w:val="00DD383C"/>
    <w:rsid w:val="00DD39C2"/>
    <w:rsid w:val="00DD3B23"/>
    <w:rsid w:val="00DD3C5A"/>
    <w:rsid w:val="00DD4033"/>
    <w:rsid w:val="00DD4483"/>
    <w:rsid w:val="00DD47FC"/>
    <w:rsid w:val="00DD49CD"/>
    <w:rsid w:val="00DD4E2F"/>
    <w:rsid w:val="00DD51F6"/>
    <w:rsid w:val="00DD530A"/>
    <w:rsid w:val="00DD582B"/>
    <w:rsid w:val="00DD5946"/>
    <w:rsid w:val="00DD5D07"/>
    <w:rsid w:val="00DD5D5C"/>
    <w:rsid w:val="00DD5D79"/>
    <w:rsid w:val="00DD624B"/>
    <w:rsid w:val="00DD6460"/>
    <w:rsid w:val="00DD6CA6"/>
    <w:rsid w:val="00DD6F64"/>
    <w:rsid w:val="00DD7332"/>
    <w:rsid w:val="00DD757E"/>
    <w:rsid w:val="00DD765D"/>
    <w:rsid w:val="00DD76B0"/>
    <w:rsid w:val="00DD771C"/>
    <w:rsid w:val="00DD7B51"/>
    <w:rsid w:val="00DD7C0C"/>
    <w:rsid w:val="00DD7D51"/>
    <w:rsid w:val="00DE0032"/>
    <w:rsid w:val="00DE0043"/>
    <w:rsid w:val="00DE0070"/>
    <w:rsid w:val="00DE0185"/>
    <w:rsid w:val="00DE02E4"/>
    <w:rsid w:val="00DE0367"/>
    <w:rsid w:val="00DE03F8"/>
    <w:rsid w:val="00DE0523"/>
    <w:rsid w:val="00DE07C6"/>
    <w:rsid w:val="00DE0B72"/>
    <w:rsid w:val="00DE0C94"/>
    <w:rsid w:val="00DE11F2"/>
    <w:rsid w:val="00DE1204"/>
    <w:rsid w:val="00DE13B3"/>
    <w:rsid w:val="00DE13BC"/>
    <w:rsid w:val="00DE142E"/>
    <w:rsid w:val="00DE1C2D"/>
    <w:rsid w:val="00DE1FB0"/>
    <w:rsid w:val="00DE2320"/>
    <w:rsid w:val="00DE23CC"/>
    <w:rsid w:val="00DE2A1C"/>
    <w:rsid w:val="00DE2A6E"/>
    <w:rsid w:val="00DE2C94"/>
    <w:rsid w:val="00DE2CE7"/>
    <w:rsid w:val="00DE3152"/>
    <w:rsid w:val="00DE350F"/>
    <w:rsid w:val="00DE354D"/>
    <w:rsid w:val="00DE3585"/>
    <w:rsid w:val="00DE39B7"/>
    <w:rsid w:val="00DE3AC1"/>
    <w:rsid w:val="00DE3E4E"/>
    <w:rsid w:val="00DE42F1"/>
    <w:rsid w:val="00DE4444"/>
    <w:rsid w:val="00DE447B"/>
    <w:rsid w:val="00DE4594"/>
    <w:rsid w:val="00DE45B7"/>
    <w:rsid w:val="00DE4601"/>
    <w:rsid w:val="00DE4703"/>
    <w:rsid w:val="00DE4D8F"/>
    <w:rsid w:val="00DE4E7F"/>
    <w:rsid w:val="00DE52AD"/>
    <w:rsid w:val="00DE56E2"/>
    <w:rsid w:val="00DE5730"/>
    <w:rsid w:val="00DE5940"/>
    <w:rsid w:val="00DE59AD"/>
    <w:rsid w:val="00DE5A2F"/>
    <w:rsid w:val="00DE5C2E"/>
    <w:rsid w:val="00DE64B9"/>
    <w:rsid w:val="00DE6520"/>
    <w:rsid w:val="00DE6623"/>
    <w:rsid w:val="00DE664F"/>
    <w:rsid w:val="00DE6AD7"/>
    <w:rsid w:val="00DE6AFB"/>
    <w:rsid w:val="00DE6BFF"/>
    <w:rsid w:val="00DE6C64"/>
    <w:rsid w:val="00DE71BD"/>
    <w:rsid w:val="00DE7311"/>
    <w:rsid w:val="00DE74F9"/>
    <w:rsid w:val="00DE7555"/>
    <w:rsid w:val="00DE7629"/>
    <w:rsid w:val="00DE770F"/>
    <w:rsid w:val="00DE79ED"/>
    <w:rsid w:val="00DE7A27"/>
    <w:rsid w:val="00DE7C1E"/>
    <w:rsid w:val="00DE7E27"/>
    <w:rsid w:val="00DF00A1"/>
    <w:rsid w:val="00DF010D"/>
    <w:rsid w:val="00DF027E"/>
    <w:rsid w:val="00DF0312"/>
    <w:rsid w:val="00DF0689"/>
    <w:rsid w:val="00DF0B90"/>
    <w:rsid w:val="00DF0C48"/>
    <w:rsid w:val="00DF0C7D"/>
    <w:rsid w:val="00DF1448"/>
    <w:rsid w:val="00DF14F8"/>
    <w:rsid w:val="00DF1559"/>
    <w:rsid w:val="00DF192A"/>
    <w:rsid w:val="00DF1BCB"/>
    <w:rsid w:val="00DF22EA"/>
    <w:rsid w:val="00DF23CF"/>
    <w:rsid w:val="00DF23F2"/>
    <w:rsid w:val="00DF23F8"/>
    <w:rsid w:val="00DF24BF"/>
    <w:rsid w:val="00DF264A"/>
    <w:rsid w:val="00DF2748"/>
    <w:rsid w:val="00DF29FB"/>
    <w:rsid w:val="00DF2A11"/>
    <w:rsid w:val="00DF2C02"/>
    <w:rsid w:val="00DF2C9D"/>
    <w:rsid w:val="00DF2E0C"/>
    <w:rsid w:val="00DF301D"/>
    <w:rsid w:val="00DF30A3"/>
    <w:rsid w:val="00DF32E9"/>
    <w:rsid w:val="00DF366E"/>
    <w:rsid w:val="00DF4027"/>
    <w:rsid w:val="00DF4068"/>
    <w:rsid w:val="00DF445B"/>
    <w:rsid w:val="00DF4BD0"/>
    <w:rsid w:val="00DF4D19"/>
    <w:rsid w:val="00DF4EDB"/>
    <w:rsid w:val="00DF5185"/>
    <w:rsid w:val="00DF5278"/>
    <w:rsid w:val="00DF53F2"/>
    <w:rsid w:val="00DF55C7"/>
    <w:rsid w:val="00DF568A"/>
    <w:rsid w:val="00DF598B"/>
    <w:rsid w:val="00DF5EEE"/>
    <w:rsid w:val="00DF5F4B"/>
    <w:rsid w:val="00DF5FE6"/>
    <w:rsid w:val="00DF6037"/>
    <w:rsid w:val="00DF65C3"/>
    <w:rsid w:val="00DF66A1"/>
    <w:rsid w:val="00DF6E97"/>
    <w:rsid w:val="00DF6FF8"/>
    <w:rsid w:val="00DF70DF"/>
    <w:rsid w:val="00DF7276"/>
    <w:rsid w:val="00DF748E"/>
    <w:rsid w:val="00DF7658"/>
    <w:rsid w:val="00DF7845"/>
    <w:rsid w:val="00DF7867"/>
    <w:rsid w:val="00DF793C"/>
    <w:rsid w:val="00DF7AC7"/>
    <w:rsid w:val="00E0010F"/>
    <w:rsid w:val="00E00144"/>
    <w:rsid w:val="00E0066A"/>
    <w:rsid w:val="00E00861"/>
    <w:rsid w:val="00E0086A"/>
    <w:rsid w:val="00E00A55"/>
    <w:rsid w:val="00E00A87"/>
    <w:rsid w:val="00E00C6D"/>
    <w:rsid w:val="00E00D33"/>
    <w:rsid w:val="00E00D43"/>
    <w:rsid w:val="00E010BC"/>
    <w:rsid w:val="00E011DC"/>
    <w:rsid w:val="00E019BD"/>
    <w:rsid w:val="00E019CF"/>
    <w:rsid w:val="00E01A58"/>
    <w:rsid w:val="00E01AE3"/>
    <w:rsid w:val="00E01D7C"/>
    <w:rsid w:val="00E01E00"/>
    <w:rsid w:val="00E02631"/>
    <w:rsid w:val="00E02739"/>
    <w:rsid w:val="00E02A68"/>
    <w:rsid w:val="00E02AAB"/>
    <w:rsid w:val="00E02AC8"/>
    <w:rsid w:val="00E02AD9"/>
    <w:rsid w:val="00E02B58"/>
    <w:rsid w:val="00E02C4E"/>
    <w:rsid w:val="00E03382"/>
    <w:rsid w:val="00E034DA"/>
    <w:rsid w:val="00E036BC"/>
    <w:rsid w:val="00E03872"/>
    <w:rsid w:val="00E039D0"/>
    <w:rsid w:val="00E03BF5"/>
    <w:rsid w:val="00E03DF5"/>
    <w:rsid w:val="00E03E98"/>
    <w:rsid w:val="00E04010"/>
    <w:rsid w:val="00E0413B"/>
    <w:rsid w:val="00E0459B"/>
    <w:rsid w:val="00E0464E"/>
    <w:rsid w:val="00E04694"/>
    <w:rsid w:val="00E046BB"/>
    <w:rsid w:val="00E04D56"/>
    <w:rsid w:val="00E0544E"/>
    <w:rsid w:val="00E054DF"/>
    <w:rsid w:val="00E0560A"/>
    <w:rsid w:val="00E05755"/>
    <w:rsid w:val="00E0580C"/>
    <w:rsid w:val="00E059F1"/>
    <w:rsid w:val="00E05BBA"/>
    <w:rsid w:val="00E05C94"/>
    <w:rsid w:val="00E05E76"/>
    <w:rsid w:val="00E05EBC"/>
    <w:rsid w:val="00E05ECD"/>
    <w:rsid w:val="00E05F3E"/>
    <w:rsid w:val="00E05F88"/>
    <w:rsid w:val="00E06064"/>
    <w:rsid w:val="00E0620E"/>
    <w:rsid w:val="00E066F3"/>
    <w:rsid w:val="00E0682C"/>
    <w:rsid w:val="00E06CD0"/>
    <w:rsid w:val="00E06FD8"/>
    <w:rsid w:val="00E0716A"/>
    <w:rsid w:val="00E073E9"/>
    <w:rsid w:val="00E07522"/>
    <w:rsid w:val="00E07C18"/>
    <w:rsid w:val="00E07DA5"/>
    <w:rsid w:val="00E101F0"/>
    <w:rsid w:val="00E10320"/>
    <w:rsid w:val="00E103D2"/>
    <w:rsid w:val="00E10856"/>
    <w:rsid w:val="00E109EF"/>
    <w:rsid w:val="00E10B64"/>
    <w:rsid w:val="00E10CF8"/>
    <w:rsid w:val="00E10DA1"/>
    <w:rsid w:val="00E10E9E"/>
    <w:rsid w:val="00E1183E"/>
    <w:rsid w:val="00E11A4D"/>
    <w:rsid w:val="00E11C5F"/>
    <w:rsid w:val="00E1241D"/>
    <w:rsid w:val="00E125CA"/>
    <w:rsid w:val="00E1263F"/>
    <w:rsid w:val="00E129D9"/>
    <w:rsid w:val="00E130C5"/>
    <w:rsid w:val="00E130E6"/>
    <w:rsid w:val="00E13342"/>
    <w:rsid w:val="00E13403"/>
    <w:rsid w:val="00E13A8D"/>
    <w:rsid w:val="00E13D27"/>
    <w:rsid w:val="00E1402C"/>
    <w:rsid w:val="00E14073"/>
    <w:rsid w:val="00E14518"/>
    <w:rsid w:val="00E148C8"/>
    <w:rsid w:val="00E148C9"/>
    <w:rsid w:val="00E14C1C"/>
    <w:rsid w:val="00E14D8B"/>
    <w:rsid w:val="00E14DED"/>
    <w:rsid w:val="00E14F40"/>
    <w:rsid w:val="00E1500C"/>
    <w:rsid w:val="00E152B5"/>
    <w:rsid w:val="00E152C7"/>
    <w:rsid w:val="00E15760"/>
    <w:rsid w:val="00E15826"/>
    <w:rsid w:val="00E1588E"/>
    <w:rsid w:val="00E158AE"/>
    <w:rsid w:val="00E15DC3"/>
    <w:rsid w:val="00E15E39"/>
    <w:rsid w:val="00E164C3"/>
    <w:rsid w:val="00E16D7C"/>
    <w:rsid w:val="00E16DBB"/>
    <w:rsid w:val="00E171AD"/>
    <w:rsid w:val="00E17331"/>
    <w:rsid w:val="00E173E6"/>
    <w:rsid w:val="00E1793C"/>
    <w:rsid w:val="00E17A0C"/>
    <w:rsid w:val="00E17A5E"/>
    <w:rsid w:val="00E17AA8"/>
    <w:rsid w:val="00E20143"/>
    <w:rsid w:val="00E201B9"/>
    <w:rsid w:val="00E205C1"/>
    <w:rsid w:val="00E20877"/>
    <w:rsid w:val="00E20D22"/>
    <w:rsid w:val="00E213C3"/>
    <w:rsid w:val="00E2148A"/>
    <w:rsid w:val="00E21B2C"/>
    <w:rsid w:val="00E21CB8"/>
    <w:rsid w:val="00E21DD5"/>
    <w:rsid w:val="00E220A0"/>
    <w:rsid w:val="00E2283D"/>
    <w:rsid w:val="00E2294F"/>
    <w:rsid w:val="00E22B76"/>
    <w:rsid w:val="00E22F36"/>
    <w:rsid w:val="00E22F80"/>
    <w:rsid w:val="00E23166"/>
    <w:rsid w:val="00E23715"/>
    <w:rsid w:val="00E23C28"/>
    <w:rsid w:val="00E23CEA"/>
    <w:rsid w:val="00E241C2"/>
    <w:rsid w:val="00E2424C"/>
    <w:rsid w:val="00E2434A"/>
    <w:rsid w:val="00E246CF"/>
    <w:rsid w:val="00E24797"/>
    <w:rsid w:val="00E24928"/>
    <w:rsid w:val="00E249BE"/>
    <w:rsid w:val="00E24A3A"/>
    <w:rsid w:val="00E24BD0"/>
    <w:rsid w:val="00E24EEE"/>
    <w:rsid w:val="00E24F03"/>
    <w:rsid w:val="00E24FF8"/>
    <w:rsid w:val="00E25028"/>
    <w:rsid w:val="00E2543E"/>
    <w:rsid w:val="00E25443"/>
    <w:rsid w:val="00E25457"/>
    <w:rsid w:val="00E25D46"/>
    <w:rsid w:val="00E25E20"/>
    <w:rsid w:val="00E25F2F"/>
    <w:rsid w:val="00E25F38"/>
    <w:rsid w:val="00E260BE"/>
    <w:rsid w:val="00E263D8"/>
    <w:rsid w:val="00E26454"/>
    <w:rsid w:val="00E26489"/>
    <w:rsid w:val="00E2678E"/>
    <w:rsid w:val="00E2688E"/>
    <w:rsid w:val="00E2696F"/>
    <w:rsid w:val="00E26BC2"/>
    <w:rsid w:val="00E26C2D"/>
    <w:rsid w:val="00E26EC9"/>
    <w:rsid w:val="00E2719A"/>
    <w:rsid w:val="00E2725E"/>
    <w:rsid w:val="00E27760"/>
    <w:rsid w:val="00E2778C"/>
    <w:rsid w:val="00E27BB3"/>
    <w:rsid w:val="00E30159"/>
    <w:rsid w:val="00E30422"/>
    <w:rsid w:val="00E30789"/>
    <w:rsid w:val="00E30B6D"/>
    <w:rsid w:val="00E30CE1"/>
    <w:rsid w:val="00E30D90"/>
    <w:rsid w:val="00E310D0"/>
    <w:rsid w:val="00E31298"/>
    <w:rsid w:val="00E31E2E"/>
    <w:rsid w:val="00E32165"/>
    <w:rsid w:val="00E32374"/>
    <w:rsid w:val="00E3238F"/>
    <w:rsid w:val="00E32451"/>
    <w:rsid w:val="00E3257E"/>
    <w:rsid w:val="00E3285C"/>
    <w:rsid w:val="00E32C7F"/>
    <w:rsid w:val="00E32E62"/>
    <w:rsid w:val="00E331A4"/>
    <w:rsid w:val="00E336E6"/>
    <w:rsid w:val="00E33937"/>
    <w:rsid w:val="00E33A82"/>
    <w:rsid w:val="00E33AD3"/>
    <w:rsid w:val="00E33BA7"/>
    <w:rsid w:val="00E33FD7"/>
    <w:rsid w:val="00E34053"/>
    <w:rsid w:val="00E34294"/>
    <w:rsid w:val="00E34429"/>
    <w:rsid w:val="00E34553"/>
    <w:rsid w:val="00E34BE1"/>
    <w:rsid w:val="00E35013"/>
    <w:rsid w:val="00E351F4"/>
    <w:rsid w:val="00E352C0"/>
    <w:rsid w:val="00E35407"/>
    <w:rsid w:val="00E35636"/>
    <w:rsid w:val="00E356DE"/>
    <w:rsid w:val="00E35971"/>
    <w:rsid w:val="00E35A3F"/>
    <w:rsid w:val="00E360B0"/>
    <w:rsid w:val="00E363EF"/>
    <w:rsid w:val="00E3696B"/>
    <w:rsid w:val="00E3696C"/>
    <w:rsid w:val="00E36A77"/>
    <w:rsid w:val="00E36BAD"/>
    <w:rsid w:val="00E36EAB"/>
    <w:rsid w:val="00E36ED8"/>
    <w:rsid w:val="00E3712B"/>
    <w:rsid w:val="00E374FB"/>
    <w:rsid w:val="00E3757C"/>
    <w:rsid w:val="00E377A3"/>
    <w:rsid w:val="00E37A94"/>
    <w:rsid w:val="00E37BE3"/>
    <w:rsid w:val="00E37D4F"/>
    <w:rsid w:val="00E37E20"/>
    <w:rsid w:val="00E37E53"/>
    <w:rsid w:val="00E40421"/>
    <w:rsid w:val="00E405EB"/>
    <w:rsid w:val="00E406EB"/>
    <w:rsid w:val="00E40BA9"/>
    <w:rsid w:val="00E40CBA"/>
    <w:rsid w:val="00E40F51"/>
    <w:rsid w:val="00E40F99"/>
    <w:rsid w:val="00E412FD"/>
    <w:rsid w:val="00E4145E"/>
    <w:rsid w:val="00E41581"/>
    <w:rsid w:val="00E415E9"/>
    <w:rsid w:val="00E415F7"/>
    <w:rsid w:val="00E4189F"/>
    <w:rsid w:val="00E41A7F"/>
    <w:rsid w:val="00E42495"/>
    <w:rsid w:val="00E424BF"/>
    <w:rsid w:val="00E4290A"/>
    <w:rsid w:val="00E429AE"/>
    <w:rsid w:val="00E42B5B"/>
    <w:rsid w:val="00E42B79"/>
    <w:rsid w:val="00E42F5D"/>
    <w:rsid w:val="00E43219"/>
    <w:rsid w:val="00E43265"/>
    <w:rsid w:val="00E432C6"/>
    <w:rsid w:val="00E432F1"/>
    <w:rsid w:val="00E43489"/>
    <w:rsid w:val="00E43556"/>
    <w:rsid w:val="00E43558"/>
    <w:rsid w:val="00E435A2"/>
    <w:rsid w:val="00E435AA"/>
    <w:rsid w:val="00E4382D"/>
    <w:rsid w:val="00E43AE4"/>
    <w:rsid w:val="00E43EFF"/>
    <w:rsid w:val="00E44065"/>
    <w:rsid w:val="00E44116"/>
    <w:rsid w:val="00E44132"/>
    <w:rsid w:val="00E442BC"/>
    <w:rsid w:val="00E44374"/>
    <w:rsid w:val="00E443A4"/>
    <w:rsid w:val="00E44823"/>
    <w:rsid w:val="00E44896"/>
    <w:rsid w:val="00E44BAE"/>
    <w:rsid w:val="00E44BC2"/>
    <w:rsid w:val="00E44BEE"/>
    <w:rsid w:val="00E4518E"/>
    <w:rsid w:val="00E451C4"/>
    <w:rsid w:val="00E45475"/>
    <w:rsid w:val="00E45663"/>
    <w:rsid w:val="00E456E0"/>
    <w:rsid w:val="00E45901"/>
    <w:rsid w:val="00E45918"/>
    <w:rsid w:val="00E4597C"/>
    <w:rsid w:val="00E45997"/>
    <w:rsid w:val="00E45A97"/>
    <w:rsid w:val="00E45BFE"/>
    <w:rsid w:val="00E45D4E"/>
    <w:rsid w:val="00E461D2"/>
    <w:rsid w:val="00E46281"/>
    <w:rsid w:val="00E46734"/>
    <w:rsid w:val="00E4699E"/>
    <w:rsid w:val="00E469ED"/>
    <w:rsid w:val="00E46E87"/>
    <w:rsid w:val="00E470F5"/>
    <w:rsid w:val="00E472EF"/>
    <w:rsid w:val="00E4735E"/>
    <w:rsid w:val="00E47361"/>
    <w:rsid w:val="00E47378"/>
    <w:rsid w:val="00E47467"/>
    <w:rsid w:val="00E4777B"/>
    <w:rsid w:val="00E47AAC"/>
    <w:rsid w:val="00E47AD0"/>
    <w:rsid w:val="00E47BCC"/>
    <w:rsid w:val="00E47E07"/>
    <w:rsid w:val="00E47EAE"/>
    <w:rsid w:val="00E5013B"/>
    <w:rsid w:val="00E502C7"/>
    <w:rsid w:val="00E50633"/>
    <w:rsid w:val="00E5063E"/>
    <w:rsid w:val="00E506B9"/>
    <w:rsid w:val="00E50769"/>
    <w:rsid w:val="00E508DF"/>
    <w:rsid w:val="00E50C31"/>
    <w:rsid w:val="00E50C70"/>
    <w:rsid w:val="00E512E3"/>
    <w:rsid w:val="00E51615"/>
    <w:rsid w:val="00E51626"/>
    <w:rsid w:val="00E51A3A"/>
    <w:rsid w:val="00E51BAB"/>
    <w:rsid w:val="00E51C4D"/>
    <w:rsid w:val="00E51D98"/>
    <w:rsid w:val="00E51E83"/>
    <w:rsid w:val="00E52394"/>
    <w:rsid w:val="00E52488"/>
    <w:rsid w:val="00E524F3"/>
    <w:rsid w:val="00E527BF"/>
    <w:rsid w:val="00E5282C"/>
    <w:rsid w:val="00E52860"/>
    <w:rsid w:val="00E52870"/>
    <w:rsid w:val="00E52AD6"/>
    <w:rsid w:val="00E53268"/>
    <w:rsid w:val="00E53376"/>
    <w:rsid w:val="00E53385"/>
    <w:rsid w:val="00E5340C"/>
    <w:rsid w:val="00E537B9"/>
    <w:rsid w:val="00E537F7"/>
    <w:rsid w:val="00E538D6"/>
    <w:rsid w:val="00E53995"/>
    <w:rsid w:val="00E53BD9"/>
    <w:rsid w:val="00E53D04"/>
    <w:rsid w:val="00E53DD1"/>
    <w:rsid w:val="00E53E25"/>
    <w:rsid w:val="00E53E98"/>
    <w:rsid w:val="00E53F54"/>
    <w:rsid w:val="00E54175"/>
    <w:rsid w:val="00E54323"/>
    <w:rsid w:val="00E5436B"/>
    <w:rsid w:val="00E5444D"/>
    <w:rsid w:val="00E545B3"/>
    <w:rsid w:val="00E5475D"/>
    <w:rsid w:val="00E5489E"/>
    <w:rsid w:val="00E54C2F"/>
    <w:rsid w:val="00E54E42"/>
    <w:rsid w:val="00E54EC8"/>
    <w:rsid w:val="00E550B0"/>
    <w:rsid w:val="00E55112"/>
    <w:rsid w:val="00E55571"/>
    <w:rsid w:val="00E556F2"/>
    <w:rsid w:val="00E56134"/>
    <w:rsid w:val="00E56208"/>
    <w:rsid w:val="00E562FB"/>
    <w:rsid w:val="00E562FF"/>
    <w:rsid w:val="00E565BC"/>
    <w:rsid w:val="00E565F4"/>
    <w:rsid w:val="00E56814"/>
    <w:rsid w:val="00E56A7C"/>
    <w:rsid w:val="00E56E43"/>
    <w:rsid w:val="00E56EAD"/>
    <w:rsid w:val="00E57318"/>
    <w:rsid w:val="00E573FE"/>
    <w:rsid w:val="00E5750E"/>
    <w:rsid w:val="00E575C3"/>
    <w:rsid w:val="00E576A8"/>
    <w:rsid w:val="00E57985"/>
    <w:rsid w:val="00E57BC8"/>
    <w:rsid w:val="00E57D78"/>
    <w:rsid w:val="00E60027"/>
    <w:rsid w:val="00E6009C"/>
    <w:rsid w:val="00E603FD"/>
    <w:rsid w:val="00E60490"/>
    <w:rsid w:val="00E6072E"/>
    <w:rsid w:val="00E60AB2"/>
    <w:rsid w:val="00E610A4"/>
    <w:rsid w:val="00E61272"/>
    <w:rsid w:val="00E614B8"/>
    <w:rsid w:val="00E617E6"/>
    <w:rsid w:val="00E618C2"/>
    <w:rsid w:val="00E61E0A"/>
    <w:rsid w:val="00E62158"/>
    <w:rsid w:val="00E62558"/>
    <w:rsid w:val="00E62A77"/>
    <w:rsid w:val="00E63237"/>
    <w:rsid w:val="00E632BD"/>
    <w:rsid w:val="00E63715"/>
    <w:rsid w:val="00E63807"/>
    <w:rsid w:val="00E6380F"/>
    <w:rsid w:val="00E63B84"/>
    <w:rsid w:val="00E64229"/>
    <w:rsid w:val="00E642AA"/>
    <w:rsid w:val="00E64955"/>
    <w:rsid w:val="00E64960"/>
    <w:rsid w:val="00E64AEC"/>
    <w:rsid w:val="00E64C00"/>
    <w:rsid w:val="00E64DCB"/>
    <w:rsid w:val="00E64DCD"/>
    <w:rsid w:val="00E64E6A"/>
    <w:rsid w:val="00E654B4"/>
    <w:rsid w:val="00E6569C"/>
    <w:rsid w:val="00E65833"/>
    <w:rsid w:val="00E65896"/>
    <w:rsid w:val="00E65928"/>
    <w:rsid w:val="00E65B1D"/>
    <w:rsid w:val="00E65BC5"/>
    <w:rsid w:val="00E65E74"/>
    <w:rsid w:val="00E65ED1"/>
    <w:rsid w:val="00E65F36"/>
    <w:rsid w:val="00E661FF"/>
    <w:rsid w:val="00E66252"/>
    <w:rsid w:val="00E6636A"/>
    <w:rsid w:val="00E665AA"/>
    <w:rsid w:val="00E665F4"/>
    <w:rsid w:val="00E669F0"/>
    <w:rsid w:val="00E66A15"/>
    <w:rsid w:val="00E66FC7"/>
    <w:rsid w:val="00E66FF1"/>
    <w:rsid w:val="00E672F4"/>
    <w:rsid w:val="00E67566"/>
    <w:rsid w:val="00E67D96"/>
    <w:rsid w:val="00E67E4D"/>
    <w:rsid w:val="00E70142"/>
    <w:rsid w:val="00E70392"/>
    <w:rsid w:val="00E70AD8"/>
    <w:rsid w:val="00E70C19"/>
    <w:rsid w:val="00E70C9F"/>
    <w:rsid w:val="00E70F3B"/>
    <w:rsid w:val="00E7107B"/>
    <w:rsid w:val="00E71162"/>
    <w:rsid w:val="00E711B9"/>
    <w:rsid w:val="00E71351"/>
    <w:rsid w:val="00E71860"/>
    <w:rsid w:val="00E71876"/>
    <w:rsid w:val="00E71938"/>
    <w:rsid w:val="00E71A15"/>
    <w:rsid w:val="00E71D2B"/>
    <w:rsid w:val="00E71E04"/>
    <w:rsid w:val="00E72237"/>
    <w:rsid w:val="00E72303"/>
    <w:rsid w:val="00E7239E"/>
    <w:rsid w:val="00E72971"/>
    <w:rsid w:val="00E7299D"/>
    <w:rsid w:val="00E72EDC"/>
    <w:rsid w:val="00E73232"/>
    <w:rsid w:val="00E733C5"/>
    <w:rsid w:val="00E73446"/>
    <w:rsid w:val="00E73B91"/>
    <w:rsid w:val="00E73D03"/>
    <w:rsid w:val="00E73EAC"/>
    <w:rsid w:val="00E73ED0"/>
    <w:rsid w:val="00E741E2"/>
    <w:rsid w:val="00E74445"/>
    <w:rsid w:val="00E7449B"/>
    <w:rsid w:val="00E747C6"/>
    <w:rsid w:val="00E7488F"/>
    <w:rsid w:val="00E7494E"/>
    <w:rsid w:val="00E74A2D"/>
    <w:rsid w:val="00E74BFE"/>
    <w:rsid w:val="00E75400"/>
    <w:rsid w:val="00E7557F"/>
    <w:rsid w:val="00E757C3"/>
    <w:rsid w:val="00E759F4"/>
    <w:rsid w:val="00E75B94"/>
    <w:rsid w:val="00E75BBC"/>
    <w:rsid w:val="00E75BDC"/>
    <w:rsid w:val="00E760B8"/>
    <w:rsid w:val="00E762F4"/>
    <w:rsid w:val="00E76330"/>
    <w:rsid w:val="00E76538"/>
    <w:rsid w:val="00E765C8"/>
    <w:rsid w:val="00E768D6"/>
    <w:rsid w:val="00E76A58"/>
    <w:rsid w:val="00E76CF5"/>
    <w:rsid w:val="00E76E0B"/>
    <w:rsid w:val="00E7721E"/>
    <w:rsid w:val="00E77883"/>
    <w:rsid w:val="00E7797A"/>
    <w:rsid w:val="00E77DA3"/>
    <w:rsid w:val="00E77FB6"/>
    <w:rsid w:val="00E800FB"/>
    <w:rsid w:val="00E803B1"/>
    <w:rsid w:val="00E80A1C"/>
    <w:rsid w:val="00E80C45"/>
    <w:rsid w:val="00E80C79"/>
    <w:rsid w:val="00E80DEF"/>
    <w:rsid w:val="00E80F06"/>
    <w:rsid w:val="00E80FBB"/>
    <w:rsid w:val="00E81168"/>
    <w:rsid w:val="00E813C3"/>
    <w:rsid w:val="00E813F0"/>
    <w:rsid w:val="00E81979"/>
    <w:rsid w:val="00E81CEE"/>
    <w:rsid w:val="00E820A0"/>
    <w:rsid w:val="00E820F3"/>
    <w:rsid w:val="00E82156"/>
    <w:rsid w:val="00E8227A"/>
    <w:rsid w:val="00E82459"/>
    <w:rsid w:val="00E82922"/>
    <w:rsid w:val="00E82AFA"/>
    <w:rsid w:val="00E82E94"/>
    <w:rsid w:val="00E83014"/>
    <w:rsid w:val="00E8305B"/>
    <w:rsid w:val="00E832B1"/>
    <w:rsid w:val="00E835CA"/>
    <w:rsid w:val="00E83688"/>
    <w:rsid w:val="00E8399A"/>
    <w:rsid w:val="00E83CC9"/>
    <w:rsid w:val="00E83DEE"/>
    <w:rsid w:val="00E83E1F"/>
    <w:rsid w:val="00E84237"/>
    <w:rsid w:val="00E84513"/>
    <w:rsid w:val="00E84766"/>
    <w:rsid w:val="00E8506E"/>
    <w:rsid w:val="00E85091"/>
    <w:rsid w:val="00E851DF"/>
    <w:rsid w:val="00E8595D"/>
    <w:rsid w:val="00E85B34"/>
    <w:rsid w:val="00E85C2A"/>
    <w:rsid w:val="00E85CC1"/>
    <w:rsid w:val="00E85EBC"/>
    <w:rsid w:val="00E85EF5"/>
    <w:rsid w:val="00E85FD0"/>
    <w:rsid w:val="00E86099"/>
    <w:rsid w:val="00E86431"/>
    <w:rsid w:val="00E86439"/>
    <w:rsid w:val="00E865A6"/>
    <w:rsid w:val="00E869E4"/>
    <w:rsid w:val="00E86DC2"/>
    <w:rsid w:val="00E86FE1"/>
    <w:rsid w:val="00E871EA"/>
    <w:rsid w:val="00E8746C"/>
    <w:rsid w:val="00E874B0"/>
    <w:rsid w:val="00E876E5"/>
    <w:rsid w:val="00E87927"/>
    <w:rsid w:val="00E8796C"/>
    <w:rsid w:val="00E87C6C"/>
    <w:rsid w:val="00E87E2C"/>
    <w:rsid w:val="00E900FB"/>
    <w:rsid w:val="00E9020E"/>
    <w:rsid w:val="00E90719"/>
    <w:rsid w:val="00E908B5"/>
    <w:rsid w:val="00E90B56"/>
    <w:rsid w:val="00E90BAB"/>
    <w:rsid w:val="00E90F4D"/>
    <w:rsid w:val="00E90F79"/>
    <w:rsid w:val="00E90FDB"/>
    <w:rsid w:val="00E9100F"/>
    <w:rsid w:val="00E9118D"/>
    <w:rsid w:val="00E91228"/>
    <w:rsid w:val="00E912A3"/>
    <w:rsid w:val="00E9146B"/>
    <w:rsid w:val="00E91599"/>
    <w:rsid w:val="00E91603"/>
    <w:rsid w:val="00E916D2"/>
    <w:rsid w:val="00E91A3D"/>
    <w:rsid w:val="00E91B43"/>
    <w:rsid w:val="00E91EEA"/>
    <w:rsid w:val="00E92403"/>
    <w:rsid w:val="00E924C1"/>
    <w:rsid w:val="00E92654"/>
    <w:rsid w:val="00E92C8E"/>
    <w:rsid w:val="00E92C94"/>
    <w:rsid w:val="00E92CC6"/>
    <w:rsid w:val="00E92CCB"/>
    <w:rsid w:val="00E9301F"/>
    <w:rsid w:val="00E932F8"/>
    <w:rsid w:val="00E93528"/>
    <w:rsid w:val="00E936DF"/>
    <w:rsid w:val="00E93948"/>
    <w:rsid w:val="00E93A4B"/>
    <w:rsid w:val="00E93DE4"/>
    <w:rsid w:val="00E942AA"/>
    <w:rsid w:val="00E942DC"/>
    <w:rsid w:val="00E94441"/>
    <w:rsid w:val="00E94602"/>
    <w:rsid w:val="00E94700"/>
    <w:rsid w:val="00E949F4"/>
    <w:rsid w:val="00E94D0D"/>
    <w:rsid w:val="00E94E21"/>
    <w:rsid w:val="00E95454"/>
    <w:rsid w:val="00E955AC"/>
    <w:rsid w:val="00E958D4"/>
    <w:rsid w:val="00E958D5"/>
    <w:rsid w:val="00E95A6F"/>
    <w:rsid w:val="00E95A84"/>
    <w:rsid w:val="00E95A91"/>
    <w:rsid w:val="00E95BD0"/>
    <w:rsid w:val="00E95CF0"/>
    <w:rsid w:val="00E962C7"/>
    <w:rsid w:val="00E965CA"/>
    <w:rsid w:val="00E9665D"/>
    <w:rsid w:val="00E96AEA"/>
    <w:rsid w:val="00E97076"/>
    <w:rsid w:val="00E9714A"/>
    <w:rsid w:val="00E97205"/>
    <w:rsid w:val="00E9721F"/>
    <w:rsid w:val="00E9730B"/>
    <w:rsid w:val="00E97401"/>
    <w:rsid w:val="00E974D5"/>
    <w:rsid w:val="00E975F3"/>
    <w:rsid w:val="00E97B39"/>
    <w:rsid w:val="00E97C1D"/>
    <w:rsid w:val="00E97E44"/>
    <w:rsid w:val="00EA028E"/>
    <w:rsid w:val="00EA06FB"/>
    <w:rsid w:val="00EA079D"/>
    <w:rsid w:val="00EA0A48"/>
    <w:rsid w:val="00EA0B28"/>
    <w:rsid w:val="00EA0C8B"/>
    <w:rsid w:val="00EA0D72"/>
    <w:rsid w:val="00EA0F07"/>
    <w:rsid w:val="00EA109B"/>
    <w:rsid w:val="00EA15BA"/>
    <w:rsid w:val="00EA1930"/>
    <w:rsid w:val="00EA197C"/>
    <w:rsid w:val="00EA1D79"/>
    <w:rsid w:val="00EA1E81"/>
    <w:rsid w:val="00EA20A2"/>
    <w:rsid w:val="00EA232B"/>
    <w:rsid w:val="00EA243E"/>
    <w:rsid w:val="00EA24C7"/>
    <w:rsid w:val="00EA25C3"/>
    <w:rsid w:val="00EA2B10"/>
    <w:rsid w:val="00EA2BA9"/>
    <w:rsid w:val="00EA3339"/>
    <w:rsid w:val="00EA3421"/>
    <w:rsid w:val="00EA3CDC"/>
    <w:rsid w:val="00EA3D60"/>
    <w:rsid w:val="00EA3FC3"/>
    <w:rsid w:val="00EA401C"/>
    <w:rsid w:val="00EA410F"/>
    <w:rsid w:val="00EA4231"/>
    <w:rsid w:val="00EA4554"/>
    <w:rsid w:val="00EA458E"/>
    <w:rsid w:val="00EA4A26"/>
    <w:rsid w:val="00EA4B30"/>
    <w:rsid w:val="00EA4D0B"/>
    <w:rsid w:val="00EA4F0F"/>
    <w:rsid w:val="00EA4F16"/>
    <w:rsid w:val="00EA50FD"/>
    <w:rsid w:val="00EA51FF"/>
    <w:rsid w:val="00EA53AA"/>
    <w:rsid w:val="00EA55DA"/>
    <w:rsid w:val="00EA5807"/>
    <w:rsid w:val="00EA59F3"/>
    <w:rsid w:val="00EA5DDE"/>
    <w:rsid w:val="00EA60A6"/>
    <w:rsid w:val="00EA62B8"/>
    <w:rsid w:val="00EA63CF"/>
    <w:rsid w:val="00EA6485"/>
    <w:rsid w:val="00EA6650"/>
    <w:rsid w:val="00EA677F"/>
    <w:rsid w:val="00EA6D21"/>
    <w:rsid w:val="00EA6DB3"/>
    <w:rsid w:val="00EA703D"/>
    <w:rsid w:val="00EA7051"/>
    <w:rsid w:val="00EA7215"/>
    <w:rsid w:val="00EA7497"/>
    <w:rsid w:val="00EA773A"/>
    <w:rsid w:val="00EA783E"/>
    <w:rsid w:val="00EA78A1"/>
    <w:rsid w:val="00EA7925"/>
    <w:rsid w:val="00EA7944"/>
    <w:rsid w:val="00EA797D"/>
    <w:rsid w:val="00EA7A40"/>
    <w:rsid w:val="00EB00F1"/>
    <w:rsid w:val="00EB02EE"/>
    <w:rsid w:val="00EB03B6"/>
    <w:rsid w:val="00EB0A08"/>
    <w:rsid w:val="00EB0CF3"/>
    <w:rsid w:val="00EB0EC5"/>
    <w:rsid w:val="00EB0F51"/>
    <w:rsid w:val="00EB0FBE"/>
    <w:rsid w:val="00EB1091"/>
    <w:rsid w:val="00EB15EE"/>
    <w:rsid w:val="00EB1861"/>
    <w:rsid w:val="00EB1883"/>
    <w:rsid w:val="00EB189F"/>
    <w:rsid w:val="00EB1970"/>
    <w:rsid w:val="00EB1A7C"/>
    <w:rsid w:val="00EB1D48"/>
    <w:rsid w:val="00EB2088"/>
    <w:rsid w:val="00EB2157"/>
    <w:rsid w:val="00EB2216"/>
    <w:rsid w:val="00EB23AC"/>
    <w:rsid w:val="00EB25E0"/>
    <w:rsid w:val="00EB2606"/>
    <w:rsid w:val="00EB2A67"/>
    <w:rsid w:val="00EB2CC0"/>
    <w:rsid w:val="00EB2CE5"/>
    <w:rsid w:val="00EB2DDE"/>
    <w:rsid w:val="00EB2E2D"/>
    <w:rsid w:val="00EB334E"/>
    <w:rsid w:val="00EB3B95"/>
    <w:rsid w:val="00EB3CEF"/>
    <w:rsid w:val="00EB3E86"/>
    <w:rsid w:val="00EB413A"/>
    <w:rsid w:val="00EB4227"/>
    <w:rsid w:val="00EB4438"/>
    <w:rsid w:val="00EB479A"/>
    <w:rsid w:val="00EB4983"/>
    <w:rsid w:val="00EB4B5E"/>
    <w:rsid w:val="00EB50D3"/>
    <w:rsid w:val="00EB5416"/>
    <w:rsid w:val="00EB55CA"/>
    <w:rsid w:val="00EB5637"/>
    <w:rsid w:val="00EB5829"/>
    <w:rsid w:val="00EB589D"/>
    <w:rsid w:val="00EB59B8"/>
    <w:rsid w:val="00EB5CB3"/>
    <w:rsid w:val="00EB5FB9"/>
    <w:rsid w:val="00EB6061"/>
    <w:rsid w:val="00EB6096"/>
    <w:rsid w:val="00EB61E5"/>
    <w:rsid w:val="00EB61EC"/>
    <w:rsid w:val="00EB645F"/>
    <w:rsid w:val="00EB64CC"/>
    <w:rsid w:val="00EB6683"/>
    <w:rsid w:val="00EB697C"/>
    <w:rsid w:val="00EB6A89"/>
    <w:rsid w:val="00EB6ACC"/>
    <w:rsid w:val="00EB6C23"/>
    <w:rsid w:val="00EB6CB8"/>
    <w:rsid w:val="00EB7EA3"/>
    <w:rsid w:val="00EC0416"/>
    <w:rsid w:val="00EC04A6"/>
    <w:rsid w:val="00EC067B"/>
    <w:rsid w:val="00EC06F1"/>
    <w:rsid w:val="00EC0A5E"/>
    <w:rsid w:val="00EC0B8D"/>
    <w:rsid w:val="00EC112E"/>
    <w:rsid w:val="00EC1477"/>
    <w:rsid w:val="00EC14B2"/>
    <w:rsid w:val="00EC1876"/>
    <w:rsid w:val="00EC193B"/>
    <w:rsid w:val="00EC2105"/>
    <w:rsid w:val="00EC23E9"/>
    <w:rsid w:val="00EC2452"/>
    <w:rsid w:val="00EC26F7"/>
    <w:rsid w:val="00EC284E"/>
    <w:rsid w:val="00EC28D0"/>
    <w:rsid w:val="00EC2D3F"/>
    <w:rsid w:val="00EC2F16"/>
    <w:rsid w:val="00EC2F86"/>
    <w:rsid w:val="00EC35AC"/>
    <w:rsid w:val="00EC3616"/>
    <w:rsid w:val="00EC37AE"/>
    <w:rsid w:val="00EC38EA"/>
    <w:rsid w:val="00EC3F06"/>
    <w:rsid w:val="00EC40C7"/>
    <w:rsid w:val="00EC45FC"/>
    <w:rsid w:val="00EC48FC"/>
    <w:rsid w:val="00EC49F9"/>
    <w:rsid w:val="00EC4A49"/>
    <w:rsid w:val="00EC4ADD"/>
    <w:rsid w:val="00EC5270"/>
    <w:rsid w:val="00EC5604"/>
    <w:rsid w:val="00EC57D4"/>
    <w:rsid w:val="00EC5891"/>
    <w:rsid w:val="00EC5F0C"/>
    <w:rsid w:val="00EC6092"/>
    <w:rsid w:val="00EC619A"/>
    <w:rsid w:val="00EC6380"/>
    <w:rsid w:val="00EC67D3"/>
    <w:rsid w:val="00EC68A0"/>
    <w:rsid w:val="00EC68A5"/>
    <w:rsid w:val="00EC6AFF"/>
    <w:rsid w:val="00EC6C8E"/>
    <w:rsid w:val="00EC7213"/>
    <w:rsid w:val="00EC7218"/>
    <w:rsid w:val="00EC73BA"/>
    <w:rsid w:val="00EC75B7"/>
    <w:rsid w:val="00EC7D37"/>
    <w:rsid w:val="00EC7D73"/>
    <w:rsid w:val="00ED009B"/>
    <w:rsid w:val="00ED02F8"/>
    <w:rsid w:val="00ED042E"/>
    <w:rsid w:val="00ED0686"/>
    <w:rsid w:val="00ED088B"/>
    <w:rsid w:val="00ED08A6"/>
    <w:rsid w:val="00ED0A08"/>
    <w:rsid w:val="00ED0DF9"/>
    <w:rsid w:val="00ED0E64"/>
    <w:rsid w:val="00ED11FC"/>
    <w:rsid w:val="00ED1226"/>
    <w:rsid w:val="00ED1362"/>
    <w:rsid w:val="00ED153E"/>
    <w:rsid w:val="00ED1992"/>
    <w:rsid w:val="00ED1AE2"/>
    <w:rsid w:val="00ED1D69"/>
    <w:rsid w:val="00ED1FCB"/>
    <w:rsid w:val="00ED25E6"/>
    <w:rsid w:val="00ED2865"/>
    <w:rsid w:val="00ED2B79"/>
    <w:rsid w:val="00ED2C12"/>
    <w:rsid w:val="00ED2E47"/>
    <w:rsid w:val="00ED2E4A"/>
    <w:rsid w:val="00ED2EB9"/>
    <w:rsid w:val="00ED2F77"/>
    <w:rsid w:val="00ED2F95"/>
    <w:rsid w:val="00ED3104"/>
    <w:rsid w:val="00ED337C"/>
    <w:rsid w:val="00ED3638"/>
    <w:rsid w:val="00ED3A76"/>
    <w:rsid w:val="00ED3BD4"/>
    <w:rsid w:val="00ED3C18"/>
    <w:rsid w:val="00ED3E90"/>
    <w:rsid w:val="00ED4452"/>
    <w:rsid w:val="00ED4464"/>
    <w:rsid w:val="00ED48F9"/>
    <w:rsid w:val="00ED510F"/>
    <w:rsid w:val="00ED514B"/>
    <w:rsid w:val="00ED516F"/>
    <w:rsid w:val="00ED51C3"/>
    <w:rsid w:val="00ED543A"/>
    <w:rsid w:val="00ED571F"/>
    <w:rsid w:val="00ED588D"/>
    <w:rsid w:val="00ED5990"/>
    <w:rsid w:val="00ED5B41"/>
    <w:rsid w:val="00ED6312"/>
    <w:rsid w:val="00ED65BF"/>
    <w:rsid w:val="00ED65F7"/>
    <w:rsid w:val="00ED6761"/>
    <w:rsid w:val="00ED6DA3"/>
    <w:rsid w:val="00ED6E14"/>
    <w:rsid w:val="00ED70C4"/>
    <w:rsid w:val="00ED70ED"/>
    <w:rsid w:val="00ED7425"/>
    <w:rsid w:val="00ED760B"/>
    <w:rsid w:val="00ED770F"/>
    <w:rsid w:val="00ED787B"/>
    <w:rsid w:val="00ED7FEB"/>
    <w:rsid w:val="00EE019E"/>
    <w:rsid w:val="00EE01FE"/>
    <w:rsid w:val="00EE068B"/>
    <w:rsid w:val="00EE06C6"/>
    <w:rsid w:val="00EE08AF"/>
    <w:rsid w:val="00EE0EED"/>
    <w:rsid w:val="00EE0F9E"/>
    <w:rsid w:val="00EE1340"/>
    <w:rsid w:val="00EE16DD"/>
    <w:rsid w:val="00EE1750"/>
    <w:rsid w:val="00EE1758"/>
    <w:rsid w:val="00EE18E1"/>
    <w:rsid w:val="00EE1D70"/>
    <w:rsid w:val="00EE1F3E"/>
    <w:rsid w:val="00EE1F85"/>
    <w:rsid w:val="00EE2202"/>
    <w:rsid w:val="00EE229E"/>
    <w:rsid w:val="00EE22E0"/>
    <w:rsid w:val="00EE2666"/>
    <w:rsid w:val="00EE2794"/>
    <w:rsid w:val="00EE27DD"/>
    <w:rsid w:val="00EE2802"/>
    <w:rsid w:val="00EE285F"/>
    <w:rsid w:val="00EE308F"/>
    <w:rsid w:val="00EE3213"/>
    <w:rsid w:val="00EE3444"/>
    <w:rsid w:val="00EE346D"/>
    <w:rsid w:val="00EE353F"/>
    <w:rsid w:val="00EE36F2"/>
    <w:rsid w:val="00EE38C1"/>
    <w:rsid w:val="00EE39ED"/>
    <w:rsid w:val="00EE3D3F"/>
    <w:rsid w:val="00EE3DFF"/>
    <w:rsid w:val="00EE3F36"/>
    <w:rsid w:val="00EE4121"/>
    <w:rsid w:val="00EE41DC"/>
    <w:rsid w:val="00EE4287"/>
    <w:rsid w:val="00EE434D"/>
    <w:rsid w:val="00EE4E01"/>
    <w:rsid w:val="00EE4E46"/>
    <w:rsid w:val="00EE5051"/>
    <w:rsid w:val="00EE5057"/>
    <w:rsid w:val="00EE5082"/>
    <w:rsid w:val="00EE50FD"/>
    <w:rsid w:val="00EE53A3"/>
    <w:rsid w:val="00EE56E6"/>
    <w:rsid w:val="00EE60F9"/>
    <w:rsid w:val="00EE612D"/>
    <w:rsid w:val="00EE6177"/>
    <w:rsid w:val="00EE61B0"/>
    <w:rsid w:val="00EE61EA"/>
    <w:rsid w:val="00EE6354"/>
    <w:rsid w:val="00EE6726"/>
    <w:rsid w:val="00EE6A3F"/>
    <w:rsid w:val="00EE6CB6"/>
    <w:rsid w:val="00EE703D"/>
    <w:rsid w:val="00EE71FC"/>
    <w:rsid w:val="00EE72A1"/>
    <w:rsid w:val="00EE72BD"/>
    <w:rsid w:val="00EE73C1"/>
    <w:rsid w:val="00EE757C"/>
    <w:rsid w:val="00EE77DE"/>
    <w:rsid w:val="00EE7BAA"/>
    <w:rsid w:val="00EF00FA"/>
    <w:rsid w:val="00EF01A7"/>
    <w:rsid w:val="00EF0AEB"/>
    <w:rsid w:val="00EF0DD1"/>
    <w:rsid w:val="00EF0EB7"/>
    <w:rsid w:val="00EF0FFE"/>
    <w:rsid w:val="00EF10D2"/>
    <w:rsid w:val="00EF132A"/>
    <w:rsid w:val="00EF19E5"/>
    <w:rsid w:val="00EF1EA0"/>
    <w:rsid w:val="00EF1FEF"/>
    <w:rsid w:val="00EF203B"/>
    <w:rsid w:val="00EF2167"/>
    <w:rsid w:val="00EF23D4"/>
    <w:rsid w:val="00EF25C5"/>
    <w:rsid w:val="00EF2913"/>
    <w:rsid w:val="00EF2C8D"/>
    <w:rsid w:val="00EF2CCF"/>
    <w:rsid w:val="00EF2CDA"/>
    <w:rsid w:val="00EF2E13"/>
    <w:rsid w:val="00EF2E48"/>
    <w:rsid w:val="00EF2EC3"/>
    <w:rsid w:val="00EF3223"/>
    <w:rsid w:val="00EF32AE"/>
    <w:rsid w:val="00EF3403"/>
    <w:rsid w:val="00EF3753"/>
    <w:rsid w:val="00EF3918"/>
    <w:rsid w:val="00EF395E"/>
    <w:rsid w:val="00EF3A9F"/>
    <w:rsid w:val="00EF3AF0"/>
    <w:rsid w:val="00EF3D10"/>
    <w:rsid w:val="00EF3E89"/>
    <w:rsid w:val="00EF3F60"/>
    <w:rsid w:val="00EF3F70"/>
    <w:rsid w:val="00EF4188"/>
    <w:rsid w:val="00EF43DE"/>
    <w:rsid w:val="00EF4809"/>
    <w:rsid w:val="00EF492A"/>
    <w:rsid w:val="00EF4CEA"/>
    <w:rsid w:val="00EF4EE1"/>
    <w:rsid w:val="00EF5AC6"/>
    <w:rsid w:val="00EF5D8D"/>
    <w:rsid w:val="00EF6052"/>
    <w:rsid w:val="00EF60A9"/>
    <w:rsid w:val="00EF61FC"/>
    <w:rsid w:val="00EF626D"/>
    <w:rsid w:val="00EF628B"/>
    <w:rsid w:val="00EF63A1"/>
    <w:rsid w:val="00EF66A9"/>
    <w:rsid w:val="00EF6721"/>
    <w:rsid w:val="00EF6A89"/>
    <w:rsid w:val="00EF6ABE"/>
    <w:rsid w:val="00EF6DB6"/>
    <w:rsid w:val="00EF6E44"/>
    <w:rsid w:val="00EF7346"/>
    <w:rsid w:val="00EF74E5"/>
    <w:rsid w:val="00EF782D"/>
    <w:rsid w:val="00EF789B"/>
    <w:rsid w:val="00EF78D2"/>
    <w:rsid w:val="00EF79A8"/>
    <w:rsid w:val="00EF7B6E"/>
    <w:rsid w:val="00EF7C13"/>
    <w:rsid w:val="00EF7CBB"/>
    <w:rsid w:val="00EF7D82"/>
    <w:rsid w:val="00EF7DAA"/>
    <w:rsid w:val="00EF7E11"/>
    <w:rsid w:val="00EF7F11"/>
    <w:rsid w:val="00F001B8"/>
    <w:rsid w:val="00F00F6D"/>
    <w:rsid w:val="00F00FBD"/>
    <w:rsid w:val="00F013E6"/>
    <w:rsid w:val="00F01466"/>
    <w:rsid w:val="00F0167E"/>
    <w:rsid w:val="00F01C17"/>
    <w:rsid w:val="00F01D2F"/>
    <w:rsid w:val="00F01E1D"/>
    <w:rsid w:val="00F02121"/>
    <w:rsid w:val="00F02731"/>
    <w:rsid w:val="00F02E80"/>
    <w:rsid w:val="00F0318D"/>
    <w:rsid w:val="00F03233"/>
    <w:rsid w:val="00F03467"/>
    <w:rsid w:val="00F0383D"/>
    <w:rsid w:val="00F03DAB"/>
    <w:rsid w:val="00F03ED5"/>
    <w:rsid w:val="00F040E8"/>
    <w:rsid w:val="00F0441C"/>
    <w:rsid w:val="00F04710"/>
    <w:rsid w:val="00F0472B"/>
    <w:rsid w:val="00F049DC"/>
    <w:rsid w:val="00F04A63"/>
    <w:rsid w:val="00F04B0D"/>
    <w:rsid w:val="00F04D8D"/>
    <w:rsid w:val="00F04EDB"/>
    <w:rsid w:val="00F05014"/>
    <w:rsid w:val="00F050B7"/>
    <w:rsid w:val="00F051B6"/>
    <w:rsid w:val="00F05356"/>
    <w:rsid w:val="00F056D2"/>
    <w:rsid w:val="00F058AF"/>
    <w:rsid w:val="00F05A71"/>
    <w:rsid w:val="00F05B6D"/>
    <w:rsid w:val="00F063A8"/>
    <w:rsid w:val="00F06852"/>
    <w:rsid w:val="00F06C07"/>
    <w:rsid w:val="00F06CD4"/>
    <w:rsid w:val="00F07208"/>
    <w:rsid w:val="00F0728F"/>
    <w:rsid w:val="00F072C4"/>
    <w:rsid w:val="00F07472"/>
    <w:rsid w:val="00F075F9"/>
    <w:rsid w:val="00F077F7"/>
    <w:rsid w:val="00F07AC0"/>
    <w:rsid w:val="00F07D58"/>
    <w:rsid w:val="00F07EFB"/>
    <w:rsid w:val="00F07FB2"/>
    <w:rsid w:val="00F10259"/>
    <w:rsid w:val="00F10575"/>
    <w:rsid w:val="00F10602"/>
    <w:rsid w:val="00F10655"/>
    <w:rsid w:val="00F1068F"/>
    <w:rsid w:val="00F107E2"/>
    <w:rsid w:val="00F10933"/>
    <w:rsid w:val="00F10AA7"/>
    <w:rsid w:val="00F10DAC"/>
    <w:rsid w:val="00F10E39"/>
    <w:rsid w:val="00F10EA4"/>
    <w:rsid w:val="00F110B8"/>
    <w:rsid w:val="00F11156"/>
    <w:rsid w:val="00F111A4"/>
    <w:rsid w:val="00F114DD"/>
    <w:rsid w:val="00F116A7"/>
    <w:rsid w:val="00F11A4B"/>
    <w:rsid w:val="00F11C65"/>
    <w:rsid w:val="00F11D99"/>
    <w:rsid w:val="00F11D9C"/>
    <w:rsid w:val="00F12077"/>
    <w:rsid w:val="00F12095"/>
    <w:rsid w:val="00F120A2"/>
    <w:rsid w:val="00F12215"/>
    <w:rsid w:val="00F12383"/>
    <w:rsid w:val="00F12798"/>
    <w:rsid w:val="00F12A29"/>
    <w:rsid w:val="00F12A72"/>
    <w:rsid w:val="00F13390"/>
    <w:rsid w:val="00F137EB"/>
    <w:rsid w:val="00F13B8D"/>
    <w:rsid w:val="00F13BE8"/>
    <w:rsid w:val="00F141A5"/>
    <w:rsid w:val="00F144BA"/>
    <w:rsid w:val="00F14720"/>
    <w:rsid w:val="00F149D8"/>
    <w:rsid w:val="00F149EC"/>
    <w:rsid w:val="00F14B05"/>
    <w:rsid w:val="00F14C82"/>
    <w:rsid w:val="00F14E33"/>
    <w:rsid w:val="00F14F0A"/>
    <w:rsid w:val="00F14F42"/>
    <w:rsid w:val="00F14FD6"/>
    <w:rsid w:val="00F151BF"/>
    <w:rsid w:val="00F15293"/>
    <w:rsid w:val="00F1551F"/>
    <w:rsid w:val="00F157B5"/>
    <w:rsid w:val="00F15C29"/>
    <w:rsid w:val="00F15EAA"/>
    <w:rsid w:val="00F164D6"/>
    <w:rsid w:val="00F16AB7"/>
    <w:rsid w:val="00F16ADB"/>
    <w:rsid w:val="00F16BFE"/>
    <w:rsid w:val="00F16DBE"/>
    <w:rsid w:val="00F16F8A"/>
    <w:rsid w:val="00F17036"/>
    <w:rsid w:val="00F17648"/>
    <w:rsid w:val="00F1780D"/>
    <w:rsid w:val="00F179F8"/>
    <w:rsid w:val="00F17B40"/>
    <w:rsid w:val="00F17BE0"/>
    <w:rsid w:val="00F17C06"/>
    <w:rsid w:val="00F17C7C"/>
    <w:rsid w:val="00F17CB4"/>
    <w:rsid w:val="00F17EF9"/>
    <w:rsid w:val="00F20027"/>
    <w:rsid w:val="00F2065A"/>
    <w:rsid w:val="00F207B3"/>
    <w:rsid w:val="00F20C09"/>
    <w:rsid w:val="00F210EB"/>
    <w:rsid w:val="00F214E9"/>
    <w:rsid w:val="00F21905"/>
    <w:rsid w:val="00F21923"/>
    <w:rsid w:val="00F21AB0"/>
    <w:rsid w:val="00F21B55"/>
    <w:rsid w:val="00F21CC0"/>
    <w:rsid w:val="00F21DC4"/>
    <w:rsid w:val="00F21DC8"/>
    <w:rsid w:val="00F21E94"/>
    <w:rsid w:val="00F21FF7"/>
    <w:rsid w:val="00F221AB"/>
    <w:rsid w:val="00F222AC"/>
    <w:rsid w:val="00F2232E"/>
    <w:rsid w:val="00F2293D"/>
    <w:rsid w:val="00F22A44"/>
    <w:rsid w:val="00F22BAB"/>
    <w:rsid w:val="00F22D12"/>
    <w:rsid w:val="00F22E35"/>
    <w:rsid w:val="00F23168"/>
    <w:rsid w:val="00F23302"/>
    <w:rsid w:val="00F2341D"/>
    <w:rsid w:val="00F2368B"/>
    <w:rsid w:val="00F23811"/>
    <w:rsid w:val="00F239ED"/>
    <w:rsid w:val="00F23DCC"/>
    <w:rsid w:val="00F23E5B"/>
    <w:rsid w:val="00F23ED0"/>
    <w:rsid w:val="00F2428E"/>
    <w:rsid w:val="00F2439C"/>
    <w:rsid w:val="00F2456B"/>
    <w:rsid w:val="00F24814"/>
    <w:rsid w:val="00F24A85"/>
    <w:rsid w:val="00F24D2C"/>
    <w:rsid w:val="00F24E11"/>
    <w:rsid w:val="00F24EFF"/>
    <w:rsid w:val="00F25231"/>
    <w:rsid w:val="00F25294"/>
    <w:rsid w:val="00F252CA"/>
    <w:rsid w:val="00F2553A"/>
    <w:rsid w:val="00F25A2A"/>
    <w:rsid w:val="00F25B3B"/>
    <w:rsid w:val="00F25C27"/>
    <w:rsid w:val="00F25CF9"/>
    <w:rsid w:val="00F25DBB"/>
    <w:rsid w:val="00F26016"/>
    <w:rsid w:val="00F2602E"/>
    <w:rsid w:val="00F26164"/>
    <w:rsid w:val="00F26410"/>
    <w:rsid w:val="00F265A4"/>
    <w:rsid w:val="00F266DC"/>
    <w:rsid w:val="00F269C8"/>
    <w:rsid w:val="00F269F3"/>
    <w:rsid w:val="00F26B3B"/>
    <w:rsid w:val="00F26D32"/>
    <w:rsid w:val="00F26EA5"/>
    <w:rsid w:val="00F2712C"/>
    <w:rsid w:val="00F27189"/>
    <w:rsid w:val="00F2741F"/>
    <w:rsid w:val="00F2754B"/>
    <w:rsid w:val="00F276CC"/>
    <w:rsid w:val="00F27863"/>
    <w:rsid w:val="00F27BB3"/>
    <w:rsid w:val="00F27F62"/>
    <w:rsid w:val="00F2C5FC"/>
    <w:rsid w:val="00F3009F"/>
    <w:rsid w:val="00F30152"/>
    <w:rsid w:val="00F30274"/>
    <w:rsid w:val="00F303B6"/>
    <w:rsid w:val="00F30752"/>
    <w:rsid w:val="00F30A0E"/>
    <w:rsid w:val="00F30B12"/>
    <w:rsid w:val="00F30D77"/>
    <w:rsid w:val="00F30E27"/>
    <w:rsid w:val="00F30EAF"/>
    <w:rsid w:val="00F30EBF"/>
    <w:rsid w:val="00F31027"/>
    <w:rsid w:val="00F31094"/>
    <w:rsid w:val="00F31336"/>
    <w:rsid w:val="00F3166E"/>
    <w:rsid w:val="00F316E1"/>
    <w:rsid w:val="00F31CD9"/>
    <w:rsid w:val="00F31EB8"/>
    <w:rsid w:val="00F31F07"/>
    <w:rsid w:val="00F3231D"/>
    <w:rsid w:val="00F324B3"/>
    <w:rsid w:val="00F3285F"/>
    <w:rsid w:val="00F32B48"/>
    <w:rsid w:val="00F32D22"/>
    <w:rsid w:val="00F33050"/>
    <w:rsid w:val="00F333BE"/>
    <w:rsid w:val="00F334BB"/>
    <w:rsid w:val="00F33697"/>
    <w:rsid w:val="00F33758"/>
    <w:rsid w:val="00F339CD"/>
    <w:rsid w:val="00F33F8E"/>
    <w:rsid w:val="00F3415C"/>
    <w:rsid w:val="00F34295"/>
    <w:rsid w:val="00F342D5"/>
    <w:rsid w:val="00F34558"/>
    <w:rsid w:val="00F345B5"/>
    <w:rsid w:val="00F3466F"/>
    <w:rsid w:val="00F3477E"/>
    <w:rsid w:val="00F349A5"/>
    <w:rsid w:val="00F349B9"/>
    <w:rsid w:val="00F34A52"/>
    <w:rsid w:val="00F34A7B"/>
    <w:rsid w:val="00F34DCD"/>
    <w:rsid w:val="00F34E2D"/>
    <w:rsid w:val="00F35048"/>
    <w:rsid w:val="00F3533C"/>
    <w:rsid w:val="00F358A5"/>
    <w:rsid w:val="00F35A04"/>
    <w:rsid w:val="00F35A60"/>
    <w:rsid w:val="00F35D38"/>
    <w:rsid w:val="00F36030"/>
    <w:rsid w:val="00F36522"/>
    <w:rsid w:val="00F36649"/>
    <w:rsid w:val="00F36955"/>
    <w:rsid w:val="00F36C49"/>
    <w:rsid w:val="00F37100"/>
    <w:rsid w:val="00F372CF"/>
    <w:rsid w:val="00F3743B"/>
    <w:rsid w:val="00F37796"/>
    <w:rsid w:val="00F3785E"/>
    <w:rsid w:val="00F378BE"/>
    <w:rsid w:val="00F37C0B"/>
    <w:rsid w:val="00F37E3F"/>
    <w:rsid w:val="00F37F82"/>
    <w:rsid w:val="00F4075D"/>
    <w:rsid w:val="00F40A35"/>
    <w:rsid w:val="00F40AF3"/>
    <w:rsid w:val="00F40B9C"/>
    <w:rsid w:val="00F40BA7"/>
    <w:rsid w:val="00F4118D"/>
    <w:rsid w:val="00F412E0"/>
    <w:rsid w:val="00F413E4"/>
    <w:rsid w:val="00F41404"/>
    <w:rsid w:val="00F4141D"/>
    <w:rsid w:val="00F4154D"/>
    <w:rsid w:val="00F416A7"/>
    <w:rsid w:val="00F4170E"/>
    <w:rsid w:val="00F41729"/>
    <w:rsid w:val="00F41745"/>
    <w:rsid w:val="00F41754"/>
    <w:rsid w:val="00F41776"/>
    <w:rsid w:val="00F418EB"/>
    <w:rsid w:val="00F41A03"/>
    <w:rsid w:val="00F41B88"/>
    <w:rsid w:val="00F41C5A"/>
    <w:rsid w:val="00F41C63"/>
    <w:rsid w:val="00F41D02"/>
    <w:rsid w:val="00F42335"/>
    <w:rsid w:val="00F42810"/>
    <w:rsid w:val="00F42E04"/>
    <w:rsid w:val="00F42E4C"/>
    <w:rsid w:val="00F42ECB"/>
    <w:rsid w:val="00F43406"/>
    <w:rsid w:val="00F4357B"/>
    <w:rsid w:val="00F4362E"/>
    <w:rsid w:val="00F437B6"/>
    <w:rsid w:val="00F43D22"/>
    <w:rsid w:val="00F441D1"/>
    <w:rsid w:val="00F44549"/>
    <w:rsid w:val="00F4454D"/>
    <w:rsid w:val="00F4467A"/>
    <w:rsid w:val="00F44690"/>
    <w:rsid w:val="00F447CC"/>
    <w:rsid w:val="00F4484A"/>
    <w:rsid w:val="00F4493A"/>
    <w:rsid w:val="00F44960"/>
    <w:rsid w:val="00F44C28"/>
    <w:rsid w:val="00F44F5F"/>
    <w:rsid w:val="00F45244"/>
    <w:rsid w:val="00F455FC"/>
    <w:rsid w:val="00F45B65"/>
    <w:rsid w:val="00F45C1E"/>
    <w:rsid w:val="00F45E31"/>
    <w:rsid w:val="00F4609D"/>
    <w:rsid w:val="00F4614B"/>
    <w:rsid w:val="00F46226"/>
    <w:rsid w:val="00F4622E"/>
    <w:rsid w:val="00F46255"/>
    <w:rsid w:val="00F4627A"/>
    <w:rsid w:val="00F46AF2"/>
    <w:rsid w:val="00F46B46"/>
    <w:rsid w:val="00F46D08"/>
    <w:rsid w:val="00F46D57"/>
    <w:rsid w:val="00F46E7E"/>
    <w:rsid w:val="00F46ED0"/>
    <w:rsid w:val="00F46F90"/>
    <w:rsid w:val="00F471D4"/>
    <w:rsid w:val="00F471FF"/>
    <w:rsid w:val="00F4779A"/>
    <w:rsid w:val="00F4787A"/>
    <w:rsid w:val="00F4797D"/>
    <w:rsid w:val="00F47A19"/>
    <w:rsid w:val="00F47A29"/>
    <w:rsid w:val="00F47F9D"/>
    <w:rsid w:val="00F50007"/>
    <w:rsid w:val="00F50212"/>
    <w:rsid w:val="00F50292"/>
    <w:rsid w:val="00F5076E"/>
    <w:rsid w:val="00F50796"/>
    <w:rsid w:val="00F50A71"/>
    <w:rsid w:val="00F50E02"/>
    <w:rsid w:val="00F50FB8"/>
    <w:rsid w:val="00F5100A"/>
    <w:rsid w:val="00F510EC"/>
    <w:rsid w:val="00F51148"/>
    <w:rsid w:val="00F51203"/>
    <w:rsid w:val="00F512FE"/>
    <w:rsid w:val="00F51389"/>
    <w:rsid w:val="00F51583"/>
    <w:rsid w:val="00F51593"/>
    <w:rsid w:val="00F5161E"/>
    <w:rsid w:val="00F51916"/>
    <w:rsid w:val="00F51987"/>
    <w:rsid w:val="00F51AC3"/>
    <w:rsid w:val="00F51B7B"/>
    <w:rsid w:val="00F51BB4"/>
    <w:rsid w:val="00F51E26"/>
    <w:rsid w:val="00F5210D"/>
    <w:rsid w:val="00F5219A"/>
    <w:rsid w:val="00F52414"/>
    <w:rsid w:val="00F52712"/>
    <w:rsid w:val="00F52736"/>
    <w:rsid w:val="00F52C6C"/>
    <w:rsid w:val="00F52E41"/>
    <w:rsid w:val="00F53182"/>
    <w:rsid w:val="00F532BC"/>
    <w:rsid w:val="00F535F0"/>
    <w:rsid w:val="00F536FB"/>
    <w:rsid w:val="00F537ED"/>
    <w:rsid w:val="00F53997"/>
    <w:rsid w:val="00F53DB9"/>
    <w:rsid w:val="00F53DBB"/>
    <w:rsid w:val="00F540A1"/>
    <w:rsid w:val="00F5414F"/>
    <w:rsid w:val="00F541C4"/>
    <w:rsid w:val="00F54856"/>
    <w:rsid w:val="00F54A30"/>
    <w:rsid w:val="00F54E61"/>
    <w:rsid w:val="00F54F75"/>
    <w:rsid w:val="00F55595"/>
    <w:rsid w:val="00F556EF"/>
    <w:rsid w:val="00F55718"/>
    <w:rsid w:val="00F5574A"/>
    <w:rsid w:val="00F55896"/>
    <w:rsid w:val="00F559BC"/>
    <w:rsid w:val="00F55C22"/>
    <w:rsid w:val="00F56392"/>
    <w:rsid w:val="00F563BB"/>
    <w:rsid w:val="00F563BD"/>
    <w:rsid w:val="00F56622"/>
    <w:rsid w:val="00F569FC"/>
    <w:rsid w:val="00F56A14"/>
    <w:rsid w:val="00F56DF7"/>
    <w:rsid w:val="00F57011"/>
    <w:rsid w:val="00F570AC"/>
    <w:rsid w:val="00F570C5"/>
    <w:rsid w:val="00F572B7"/>
    <w:rsid w:val="00F572FB"/>
    <w:rsid w:val="00F57713"/>
    <w:rsid w:val="00F5798E"/>
    <w:rsid w:val="00F57C17"/>
    <w:rsid w:val="00F57F10"/>
    <w:rsid w:val="00F57FAA"/>
    <w:rsid w:val="00F5F738"/>
    <w:rsid w:val="00F600FC"/>
    <w:rsid w:val="00F60B47"/>
    <w:rsid w:val="00F60EAC"/>
    <w:rsid w:val="00F60F6C"/>
    <w:rsid w:val="00F6105E"/>
    <w:rsid w:val="00F61148"/>
    <w:rsid w:val="00F612C4"/>
    <w:rsid w:val="00F614BC"/>
    <w:rsid w:val="00F616B1"/>
    <w:rsid w:val="00F616B7"/>
    <w:rsid w:val="00F61793"/>
    <w:rsid w:val="00F6191E"/>
    <w:rsid w:val="00F61A93"/>
    <w:rsid w:val="00F61C8D"/>
    <w:rsid w:val="00F61D93"/>
    <w:rsid w:val="00F61D99"/>
    <w:rsid w:val="00F61F31"/>
    <w:rsid w:val="00F61FAE"/>
    <w:rsid w:val="00F62167"/>
    <w:rsid w:val="00F62CC2"/>
    <w:rsid w:val="00F62DD0"/>
    <w:rsid w:val="00F62DEF"/>
    <w:rsid w:val="00F62F4B"/>
    <w:rsid w:val="00F630EE"/>
    <w:rsid w:val="00F631F2"/>
    <w:rsid w:val="00F6346D"/>
    <w:rsid w:val="00F63DAE"/>
    <w:rsid w:val="00F63E9E"/>
    <w:rsid w:val="00F63EDD"/>
    <w:rsid w:val="00F63F82"/>
    <w:rsid w:val="00F642BC"/>
    <w:rsid w:val="00F642C3"/>
    <w:rsid w:val="00F643D3"/>
    <w:rsid w:val="00F643EC"/>
    <w:rsid w:val="00F64654"/>
    <w:rsid w:val="00F6465D"/>
    <w:rsid w:val="00F64708"/>
    <w:rsid w:val="00F647C6"/>
    <w:rsid w:val="00F64DC7"/>
    <w:rsid w:val="00F64E19"/>
    <w:rsid w:val="00F650CA"/>
    <w:rsid w:val="00F65187"/>
    <w:rsid w:val="00F653BD"/>
    <w:rsid w:val="00F6542D"/>
    <w:rsid w:val="00F659B6"/>
    <w:rsid w:val="00F65D32"/>
    <w:rsid w:val="00F65E2D"/>
    <w:rsid w:val="00F65FB2"/>
    <w:rsid w:val="00F66656"/>
    <w:rsid w:val="00F66EB5"/>
    <w:rsid w:val="00F67139"/>
    <w:rsid w:val="00F672C6"/>
    <w:rsid w:val="00F673FD"/>
    <w:rsid w:val="00F67755"/>
    <w:rsid w:val="00F67B9F"/>
    <w:rsid w:val="00F67BA8"/>
    <w:rsid w:val="00F67C76"/>
    <w:rsid w:val="00F67CDF"/>
    <w:rsid w:val="00F67DF4"/>
    <w:rsid w:val="00F67DF8"/>
    <w:rsid w:val="00F7054D"/>
    <w:rsid w:val="00F706BF"/>
    <w:rsid w:val="00F70834"/>
    <w:rsid w:val="00F7085C"/>
    <w:rsid w:val="00F711AD"/>
    <w:rsid w:val="00F71382"/>
    <w:rsid w:val="00F715BA"/>
    <w:rsid w:val="00F71CC4"/>
    <w:rsid w:val="00F71E01"/>
    <w:rsid w:val="00F71F81"/>
    <w:rsid w:val="00F72155"/>
    <w:rsid w:val="00F72401"/>
    <w:rsid w:val="00F72813"/>
    <w:rsid w:val="00F72AA1"/>
    <w:rsid w:val="00F72BC6"/>
    <w:rsid w:val="00F72BE9"/>
    <w:rsid w:val="00F72EE7"/>
    <w:rsid w:val="00F72F30"/>
    <w:rsid w:val="00F7344A"/>
    <w:rsid w:val="00F73BB6"/>
    <w:rsid w:val="00F73D4D"/>
    <w:rsid w:val="00F73D6F"/>
    <w:rsid w:val="00F73DA3"/>
    <w:rsid w:val="00F73DE8"/>
    <w:rsid w:val="00F73FC2"/>
    <w:rsid w:val="00F740A8"/>
    <w:rsid w:val="00F742AB"/>
    <w:rsid w:val="00F7444E"/>
    <w:rsid w:val="00F744E0"/>
    <w:rsid w:val="00F74C1B"/>
    <w:rsid w:val="00F74D3C"/>
    <w:rsid w:val="00F74DE6"/>
    <w:rsid w:val="00F753BC"/>
    <w:rsid w:val="00F758B0"/>
    <w:rsid w:val="00F75D72"/>
    <w:rsid w:val="00F75DC5"/>
    <w:rsid w:val="00F75EC5"/>
    <w:rsid w:val="00F75F9C"/>
    <w:rsid w:val="00F761AC"/>
    <w:rsid w:val="00F76266"/>
    <w:rsid w:val="00F76304"/>
    <w:rsid w:val="00F76454"/>
    <w:rsid w:val="00F7648B"/>
    <w:rsid w:val="00F764F4"/>
    <w:rsid w:val="00F76651"/>
    <w:rsid w:val="00F76656"/>
    <w:rsid w:val="00F76AD2"/>
    <w:rsid w:val="00F76C9D"/>
    <w:rsid w:val="00F771B1"/>
    <w:rsid w:val="00F774AE"/>
    <w:rsid w:val="00F7759C"/>
    <w:rsid w:val="00F77686"/>
    <w:rsid w:val="00F7789F"/>
    <w:rsid w:val="00F7798D"/>
    <w:rsid w:val="00F77A45"/>
    <w:rsid w:val="00F77B4B"/>
    <w:rsid w:val="00F77BAF"/>
    <w:rsid w:val="00F77C5B"/>
    <w:rsid w:val="00F80201"/>
    <w:rsid w:val="00F80279"/>
    <w:rsid w:val="00F80802"/>
    <w:rsid w:val="00F80902"/>
    <w:rsid w:val="00F809E9"/>
    <w:rsid w:val="00F80A91"/>
    <w:rsid w:val="00F80F46"/>
    <w:rsid w:val="00F80F7B"/>
    <w:rsid w:val="00F80F87"/>
    <w:rsid w:val="00F810FB"/>
    <w:rsid w:val="00F81165"/>
    <w:rsid w:val="00F812FC"/>
    <w:rsid w:val="00F813F5"/>
    <w:rsid w:val="00F814FF"/>
    <w:rsid w:val="00F81671"/>
    <w:rsid w:val="00F81EC2"/>
    <w:rsid w:val="00F81ED9"/>
    <w:rsid w:val="00F81F1E"/>
    <w:rsid w:val="00F821FD"/>
    <w:rsid w:val="00F836EB"/>
    <w:rsid w:val="00F8374A"/>
    <w:rsid w:val="00F8378A"/>
    <w:rsid w:val="00F839CB"/>
    <w:rsid w:val="00F83BBD"/>
    <w:rsid w:val="00F83CA6"/>
    <w:rsid w:val="00F83D50"/>
    <w:rsid w:val="00F83D6C"/>
    <w:rsid w:val="00F83E2A"/>
    <w:rsid w:val="00F83F8B"/>
    <w:rsid w:val="00F84000"/>
    <w:rsid w:val="00F84267"/>
    <w:rsid w:val="00F84991"/>
    <w:rsid w:val="00F84D2E"/>
    <w:rsid w:val="00F8579E"/>
    <w:rsid w:val="00F85930"/>
    <w:rsid w:val="00F85E27"/>
    <w:rsid w:val="00F85F5F"/>
    <w:rsid w:val="00F85FAC"/>
    <w:rsid w:val="00F86222"/>
    <w:rsid w:val="00F868A5"/>
    <w:rsid w:val="00F86C72"/>
    <w:rsid w:val="00F86DFC"/>
    <w:rsid w:val="00F86ED6"/>
    <w:rsid w:val="00F86F9A"/>
    <w:rsid w:val="00F870C9"/>
    <w:rsid w:val="00F87419"/>
    <w:rsid w:val="00F874B0"/>
    <w:rsid w:val="00F8798E"/>
    <w:rsid w:val="00F87AFD"/>
    <w:rsid w:val="00F87D17"/>
    <w:rsid w:val="00F87F34"/>
    <w:rsid w:val="00F90418"/>
    <w:rsid w:val="00F9086A"/>
    <w:rsid w:val="00F908C3"/>
    <w:rsid w:val="00F909A4"/>
    <w:rsid w:val="00F90CD0"/>
    <w:rsid w:val="00F9113F"/>
    <w:rsid w:val="00F911A7"/>
    <w:rsid w:val="00F91224"/>
    <w:rsid w:val="00F91411"/>
    <w:rsid w:val="00F9163E"/>
    <w:rsid w:val="00F918E3"/>
    <w:rsid w:val="00F91A38"/>
    <w:rsid w:val="00F91BCD"/>
    <w:rsid w:val="00F91D31"/>
    <w:rsid w:val="00F91D79"/>
    <w:rsid w:val="00F92017"/>
    <w:rsid w:val="00F92085"/>
    <w:rsid w:val="00F92380"/>
    <w:rsid w:val="00F923BA"/>
    <w:rsid w:val="00F924CD"/>
    <w:rsid w:val="00F92BB9"/>
    <w:rsid w:val="00F92D11"/>
    <w:rsid w:val="00F92EA7"/>
    <w:rsid w:val="00F93093"/>
    <w:rsid w:val="00F93543"/>
    <w:rsid w:val="00F93BA9"/>
    <w:rsid w:val="00F93C53"/>
    <w:rsid w:val="00F93D12"/>
    <w:rsid w:val="00F93D61"/>
    <w:rsid w:val="00F93E95"/>
    <w:rsid w:val="00F941FD"/>
    <w:rsid w:val="00F94540"/>
    <w:rsid w:val="00F94617"/>
    <w:rsid w:val="00F94644"/>
    <w:rsid w:val="00F94AAF"/>
    <w:rsid w:val="00F94AD0"/>
    <w:rsid w:val="00F94C4D"/>
    <w:rsid w:val="00F94E4F"/>
    <w:rsid w:val="00F94F80"/>
    <w:rsid w:val="00F9539E"/>
    <w:rsid w:val="00F956EC"/>
    <w:rsid w:val="00F956F1"/>
    <w:rsid w:val="00F959F6"/>
    <w:rsid w:val="00F95A80"/>
    <w:rsid w:val="00F95BC3"/>
    <w:rsid w:val="00F95C5E"/>
    <w:rsid w:val="00F95D8F"/>
    <w:rsid w:val="00F95E91"/>
    <w:rsid w:val="00F96361"/>
    <w:rsid w:val="00F96484"/>
    <w:rsid w:val="00F9662D"/>
    <w:rsid w:val="00F966CB"/>
    <w:rsid w:val="00F96777"/>
    <w:rsid w:val="00F96903"/>
    <w:rsid w:val="00F96A50"/>
    <w:rsid w:val="00F96BB6"/>
    <w:rsid w:val="00F96D4B"/>
    <w:rsid w:val="00F975D9"/>
    <w:rsid w:val="00F97674"/>
    <w:rsid w:val="00F976C0"/>
    <w:rsid w:val="00F978A4"/>
    <w:rsid w:val="00F97B49"/>
    <w:rsid w:val="00F97BE8"/>
    <w:rsid w:val="00FA0012"/>
    <w:rsid w:val="00FA0442"/>
    <w:rsid w:val="00FA053A"/>
    <w:rsid w:val="00FA05ED"/>
    <w:rsid w:val="00FA0B66"/>
    <w:rsid w:val="00FA0E5A"/>
    <w:rsid w:val="00FA0EF8"/>
    <w:rsid w:val="00FA1041"/>
    <w:rsid w:val="00FA12AC"/>
    <w:rsid w:val="00FA13B1"/>
    <w:rsid w:val="00FA1597"/>
    <w:rsid w:val="00FA1823"/>
    <w:rsid w:val="00FA19D3"/>
    <w:rsid w:val="00FA1A79"/>
    <w:rsid w:val="00FA1E4A"/>
    <w:rsid w:val="00FA1F0E"/>
    <w:rsid w:val="00FA1FE9"/>
    <w:rsid w:val="00FA2070"/>
    <w:rsid w:val="00FA20EB"/>
    <w:rsid w:val="00FA22AB"/>
    <w:rsid w:val="00FA242B"/>
    <w:rsid w:val="00FA24E7"/>
    <w:rsid w:val="00FA257C"/>
    <w:rsid w:val="00FA2715"/>
    <w:rsid w:val="00FA29CD"/>
    <w:rsid w:val="00FA29FD"/>
    <w:rsid w:val="00FA2AAF"/>
    <w:rsid w:val="00FA2DAB"/>
    <w:rsid w:val="00FA32F3"/>
    <w:rsid w:val="00FA34D0"/>
    <w:rsid w:val="00FA34D4"/>
    <w:rsid w:val="00FA3888"/>
    <w:rsid w:val="00FA38B5"/>
    <w:rsid w:val="00FA394A"/>
    <w:rsid w:val="00FA394C"/>
    <w:rsid w:val="00FA3B18"/>
    <w:rsid w:val="00FA3CAE"/>
    <w:rsid w:val="00FA4303"/>
    <w:rsid w:val="00FA4708"/>
    <w:rsid w:val="00FA4729"/>
    <w:rsid w:val="00FA484A"/>
    <w:rsid w:val="00FA487C"/>
    <w:rsid w:val="00FA4A1B"/>
    <w:rsid w:val="00FA4C51"/>
    <w:rsid w:val="00FA53F7"/>
    <w:rsid w:val="00FA56E3"/>
    <w:rsid w:val="00FA5941"/>
    <w:rsid w:val="00FA5AE9"/>
    <w:rsid w:val="00FA5B11"/>
    <w:rsid w:val="00FA5B78"/>
    <w:rsid w:val="00FA5DBA"/>
    <w:rsid w:val="00FA5E76"/>
    <w:rsid w:val="00FA5FE8"/>
    <w:rsid w:val="00FA619B"/>
    <w:rsid w:val="00FA66F5"/>
    <w:rsid w:val="00FA675E"/>
    <w:rsid w:val="00FA6939"/>
    <w:rsid w:val="00FA6F1F"/>
    <w:rsid w:val="00FA6FD8"/>
    <w:rsid w:val="00FA710D"/>
    <w:rsid w:val="00FA740F"/>
    <w:rsid w:val="00FA7511"/>
    <w:rsid w:val="00FA7531"/>
    <w:rsid w:val="00FA7537"/>
    <w:rsid w:val="00FA7746"/>
    <w:rsid w:val="00FA7CB7"/>
    <w:rsid w:val="00FB0082"/>
    <w:rsid w:val="00FB0C4A"/>
    <w:rsid w:val="00FB0D51"/>
    <w:rsid w:val="00FB0E18"/>
    <w:rsid w:val="00FB0F21"/>
    <w:rsid w:val="00FB107C"/>
    <w:rsid w:val="00FB1235"/>
    <w:rsid w:val="00FB1657"/>
    <w:rsid w:val="00FB1750"/>
    <w:rsid w:val="00FB17E0"/>
    <w:rsid w:val="00FB1ECD"/>
    <w:rsid w:val="00FB2103"/>
    <w:rsid w:val="00FB2151"/>
    <w:rsid w:val="00FB2595"/>
    <w:rsid w:val="00FB2908"/>
    <w:rsid w:val="00FB29F8"/>
    <w:rsid w:val="00FB2A6F"/>
    <w:rsid w:val="00FB2B8E"/>
    <w:rsid w:val="00FB2D0E"/>
    <w:rsid w:val="00FB2DF1"/>
    <w:rsid w:val="00FB3368"/>
    <w:rsid w:val="00FB34EC"/>
    <w:rsid w:val="00FB35FF"/>
    <w:rsid w:val="00FB3638"/>
    <w:rsid w:val="00FB3970"/>
    <w:rsid w:val="00FB3B97"/>
    <w:rsid w:val="00FB404B"/>
    <w:rsid w:val="00FB4122"/>
    <w:rsid w:val="00FB426B"/>
    <w:rsid w:val="00FB42FF"/>
    <w:rsid w:val="00FB43A3"/>
    <w:rsid w:val="00FB457A"/>
    <w:rsid w:val="00FB4676"/>
    <w:rsid w:val="00FB4772"/>
    <w:rsid w:val="00FB47B2"/>
    <w:rsid w:val="00FB48EA"/>
    <w:rsid w:val="00FB4E12"/>
    <w:rsid w:val="00FB5080"/>
    <w:rsid w:val="00FB5238"/>
    <w:rsid w:val="00FB55FD"/>
    <w:rsid w:val="00FB571D"/>
    <w:rsid w:val="00FB57B6"/>
    <w:rsid w:val="00FB58C0"/>
    <w:rsid w:val="00FB58CE"/>
    <w:rsid w:val="00FB5B59"/>
    <w:rsid w:val="00FB5B7D"/>
    <w:rsid w:val="00FB5E0B"/>
    <w:rsid w:val="00FB6138"/>
    <w:rsid w:val="00FB63C7"/>
    <w:rsid w:val="00FB64C9"/>
    <w:rsid w:val="00FB6638"/>
    <w:rsid w:val="00FB67C0"/>
    <w:rsid w:val="00FB67CD"/>
    <w:rsid w:val="00FB696A"/>
    <w:rsid w:val="00FB6EAE"/>
    <w:rsid w:val="00FB6F0B"/>
    <w:rsid w:val="00FB7082"/>
    <w:rsid w:val="00FB71D7"/>
    <w:rsid w:val="00FB74C0"/>
    <w:rsid w:val="00FB75E5"/>
    <w:rsid w:val="00FB795E"/>
    <w:rsid w:val="00FB7A6E"/>
    <w:rsid w:val="00FB7AE0"/>
    <w:rsid w:val="00FB7C7C"/>
    <w:rsid w:val="00FB7F65"/>
    <w:rsid w:val="00FC0227"/>
    <w:rsid w:val="00FC0328"/>
    <w:rsid w:val="00FC03FB"/>
    <w:rsid w:val="00FC058F"/>
    <w:rsid w:val="00FC09B7"/>
    <w:rsid w:val="00FC0BCD"/>
    <w:rsid w:val="00FC0D82"/>
    <w:rsid w:val="00FC119C"/>
    <w:rsid w:val="00FC134B"/>
    <w:rsid w:val="00FC17C3"/>
    <w:rsid w:val="00FC18DF"/>
    <w:rsid w:val="00FC1996"/>
    <w:rsid w:val="00FC1A90"/>
    <w:rsid w:val="00FC1AD5"/>
    <w:rsid w:val="00FC232A"/>
    <w:rsid w:val="00FC245F"/>
    <w:rsid w:val="00FC2586"/>
    <w:rsid w:val="00FC26E2"/>
    <w:rsid w:val="00FC28C7"/>
    <w:rsid w:val="00FC2B7F"/>
    <w:rsid w:val="00FC2C17"/>
    <w:rsid w:val="00FC2C59"/>
    <w:rsid w:val="00FC2D84"/>
    <w:rsid w:val="00FC3237"/>
    <w:rsid w:val="00FC3328"/>
    <w:rsid w:val="00FC33DB"/>
    <w:rsid w:val="00FC33DC"/>
    <w:rsid w:val="00FC3585"/>
    <w:rsid w:val="00FC3EB7"/>
    <w:rsid w:val="00FC4046"/>
    <w:rsid w:val="00FC41BB"/>
    <w:rsid w:val="00FC4268"/>
    <w:rsid w:val="00FC4332"/>
    <w:rsid w:val="00FC447B"/>
    <w:rsid w:val="00FC4752"/>
    <w:rsid w:val="00FC48D4"/>
    <w:rsid w:val="00FC4A58"/>
    <w:rsid w:val="00FC4A99"/>
    <w:rsid w:val="00FC4D4C"/>
    <w:rsid w:val="00FC51C4"/>
    <w:rsid w:val="00FC5361"/>
    <w:rsid w:val="00FC5366"/>
    <w:rsid w:val="00FC53D6"/>
    <w:rsid w:val="00FC5784"/>
    <w:rsid w:val="00FC57A6"/>
    <w:rsid w:val="00FC5820"/>
    <w:rsid w:val="00FC5870"/>
    <w:rsid w:val="00FC5A9C"/>
    <w:rsid w:val="00FC5C14"/>
    <w:rsid w:val="00FC5C2A"/>
    <w:rsid w:val="00FC6440"/>
    <w:rsid w:val="00FC6845"/>
    <w:rsid w:val="00FC6870"/>
    <w:rsid w:val="00FC6887"/>
    <w:rsid w:val="00FC688A"/>
    <w:rsid w:val="00FC6CBF"/>
    <w:rsid w:val="00FC75FA"/>
    <w:rsid w:val="00FC767D"/>
    <w:rsid w:val="00FC7A9F"/>
    <w:rsid w:val="00FC7DEE"/>
    <w:rsid w:val="00FC7E90"/>
    <w:rsid w:val="00FC7EB0"/>
    <w:rsid w:val="00FD004B"/>
    <w:rsid w:val="00FD019A"/>
    <w:rsid w:val="00FD0228"/>
    <w:rsid w:val="00FD02F8"/>
    <w:rsid w:val="00FD087D"/>
    <w:rsid w:val="00FD08BD"/>
    <w:rsid w:val="00FD08EC"/>
    <w:rsid w:val="00FD0A50"/>
    <w:rsid w:val="00FD100C"/>
    <w:rsid w:val="00FD12F9"/>
    <w:rsid w:val="00FD1A09"/>
    <w:rsid w:val="00FD1C50"/>
    <w:rsid w:val="00FD2226"/>
    <w:rsid w:val="00FD26A5"/>
    <w:rsid w:val="00FD2725"/>
    <w:rsid w:val="00FD2C36"/>
    <w:rsid w:val="00FD2E11"/>
    <w:rsid w:val="00FD2FBD"/>
    <w:rsid w:val="00FD33A8"/>
    <w:rsid w:val="00FD3623"/>
    <w:rsid w:val="00FD36A3"/>
    <w:rsid w:val="00FD3D2D"/>
    <w:rsid w:val="00FD3D6F"/>
    <w:rsid w:val="00FD3FFF"/>
    <w:rsid w:val="00FD41AD"/>
    <w:rsid w:val="00FD4221"/>
    <w:rsid w:val="00FD43FE"/>
    <w:rsid w:val="00FD4783"/>
    <w:rsid w:val="00FD47AB"/>
    <w:rsid w:val="00FD492E"/>
    <w:rsid w:val="00FD50DF"/>
    <w:rsid w:val="00FD5259"/>
    <w:rsid w:val="00FD52C3"/>
    <w:rsid w:val="00FD548E"/>
    <w:rsid w:val="00FD54C9"/>
    <w:rsid w:val="00FD5540"/>
    <w:rsid w:val="00FD56B3"/>
    <w:rsid w:val="00FD58BA"/>
    <w:rsid w:val="00FD59D2"/>
    <w:rsid w:val="00FD5CD4"/>
    <w:rsid w:val="00FD5E24"/>
    <w:rsid w:val="00FD5E71"/>
    <w:rsid w:val="00FD5FB0"/>
    <w:rsid w:val="00FD631F"/>
    <w:rsid w:val="00FD6420"/>
    <w:rsid w:val="00FD6462"/>
    <w:rsid w:val="00FD6463"/>
    <w:rsid w:val="00FD6563"/>
    <w:rsid w:val="00FD6769"/>
    <w:rsid w:val="00FD6C55"/>
    <w:rsid w:val="00FD717B"/>
    <w:rsid w:val="00FD73CC"/>
    <w:rsid w:val="00FD7826"/>
    <w:rsid w:val="00FD7906"/>
    <w:rsid w:val="00FD79A2"/>
    <w:rsid w:val="00FD79A7"/>
    <w:rsid w:val="00FD79D8"/>
    <w:rsid w:val="00FD79DE"/>
    <w:rsid w:val="00FD7C30"/>
    <w:rsid w:val="00FE0090"/>
    <w:rsid w:val="00FE00B9"/>
    <w:rsid w:val="00FE0133"/>
    <w:rsid w:val="00FE0218"/>
    <w:rsid w:val="00FE02A2"/>
    <w:rsid w:val="00FE04CF"/>
    <w:rsid w:val="00FE06E3"/>
    <w:rsid w:val="00FE0758"/>
    <w:rsid w:val="00FE07C7"/>
    <w:rsid w:val="00FE08DD"/>
    <w:rsid w:val="00FE0987"/>
    <w:rsid w:val="00FE0C23"/>
    <w:rsid w:val="00FE0D15"/>
    <w:rsid w:val="00FE12B3"/>
    <w:rsid w:val="00FE140B"/>
    <w:rsid w:val="00FE1460"/>
    <w:rsid w:val="00FE1505"/>
    <w:rsid w:val="00FE18B2"/>
    <w:rsid w:val="00FE2505"/>
    <w:rsid w:val="00FE28B7"/>
    <w:rsid w:val="00FE2D22"/>
    <w:rsid w:val="00FE352C"/>
    <w:rsid w:val="00FE373B"/>
    <w:rsid w:val="00FE3909"/>
    <w:rsid w:val="00FE39B3"/>
    <w:rsid w:val="00FE3B79"/>
    <w:rsid w:val="00FE3CF7"/>
    <w:rsid w:val="00FE3FC5"/>
    <w:rsid w:val="00FE411B"/>
    <w:rsid w:val="00FE445A"/>
    <w:rsid w:val="00FE4559"/>
    <w:rsid w:val="00FE4683"/>
    <w:rsid w:val="00FE46F4"/>
    <w:rsid w:val="00FE4818"/>
    <w:rsid w:val="00FE4899"/>
    <w:rsid w:val="00FE4962"/>
    <w:rsid w:val="00FE49BD"/>
    <w:rsid w:val="00FE4B25"/>
    <w:rsid w:val="00FE5189"/>
    <w:rsid w:val="00FE53EB"/>
    <w:rsid w:val="00FE55C0"/>
    <w:rsid w:val="00FE55DC"/>
    <w:rsid w:val="00FE5716"/>
    <w:rsid w:val="00FE5985"/>
    <w:rsid w:val="00FE5C0A"/>
    <w:rsid w:val="00FE5DE0"/>
    <w:rsid w:val="00FE5E7D"/>
    <w:rsid w:val="00FE653E"/>
    <w:rsid w:val="00FE6731"/>
    <w:rsid w:val="00FE6768"/>
    <w:rsid w:val="00FE6981"/>
    <w:rsid w:val="00FE6B48"/>
    <w:rsid w:val="00FE6E18"/>
    <w:rsid w:val="00FE6F84"/>
    <w:rsid w:val="00FE6FDD"/>
    <w:rsid w:val="00FE701B"/>
    <w:rsid w:val="00FE7050"/>
    <w:rsid w:val="00FE7357"/>
    <w:rsid w:val="00FE754B"/>
    <w:rsid w:val="00FE7722"/>
    <w:rsid w:val="00FE7AEA"/>
    <w:rsid w:val="00FE7ECC"/>
    <w:rsid w:val="00FE7F19"/>
    <w:rsid w:val="00FE7FD9"/>
    <w:rsid w:val="00FF011F"/>
    <w:rsid w:val="00FF0173"/>
    <w:rsid w:val="00FF064F"/>
    <w:rsid w:val="00FF06C2"/>
    <w:rsid w:val="00FF0A09"/>
    <w:rsid w:val="00FF0AA6"/>
    <w:rsid w:val="00FF0B2D"/>
    <w:rsid w:val="00FF0C51"/>
    <w:rsid w:val="00FF0CDD"/>
    <w:rsid w:val="00FF0E6C"/>
    <w:rsid w:val="00FF100D"/>
    <w:rsid w:val="00FF122D"/>
    <w:rsid w:val="00FF13C9"/>
    <w:rsid w:val="00FF1677"/>
    <w:rsid w:val="00FF1F45"/>
    <w:rsid w:val="00FF1F93"/>
    <w:rsid w:val="00FF2394"/>
    <w:rsid w:val="00FF243A"/>
    <w:rsid w:val="00FF2636"/>
    <w:rsid w:val="00FF28DB"/>
    <w:rsid w:val="00FF2EEE"/>
    <w:rsid w:val="00FF3025"/>
    <w:rsid w:val="00FF3058"/>
    <w:rsid w:val="00FF3691"/>
    <w:rsid w:val="00FF375B"/>
    <w:rsid w:val="00FF3C32"/>
    <w:rsid w:val="00FF3D64"/>
    <w:rsid w:val="00FF4145"/>
    <w:rsid w:val="00FF433F"/>
    <w:rsid w:val="00FF4463"/>
    <w:rsid w:val="00FF4564"/>
    <w:rsid w:val="00FF4852"/>
    <w:rsid w:val="00FF49DE"/>
    <w:rsid w:val="00FF4B62"/>
    <w:rsid w:val="00FF4C3D"/>
    <w:rsid w:val="00FF4F1F"/>
    <w:rsid w:val="00FF4F5D"/>
    <w:rsid w:val="00FF5193"/>
    <w:rsid w:val="00FF51D6"/>
    <w:rsid w:val="00FF5227"/>
    <w:rsid w:val="00FF58D4"/>
    <w:rsid w:val="00FF5E1C"/>
    <w:rsid w:val="00FF6013"/>
    <w:rsid w:val="00FF6052"/>
    <w:rsid w:val="00FF6299"/>
    <w:rsid w:val="00FF6300"/>
    <w:rsid w:val="00FF647A"/>
    <w:rsid w:val="00FF6536"/>
    <w:rsid w:val="00FF6648"/>
    <w:rsid w:val="00FF68DF"/>
    <w:rsid w:val="00FF6F3F"/>
    <w:rsid w:val="00FF6F86"/>
    <w:rsid w:val="00FF7002"/>
    <w:rsid w:val="00FF7282"/>
    <w:rsid w:val="00FF7799"/>
    <w:rsid w:val="00FF779F"/>
    <w:rsid w:val="00FF7D5C"/>
    <w:rsid w:val="00FF7F42"/>
    <w:rsid w:val="010326E0"/>
    <w:rsid w:val="011FCCE2"/>
    <w:rsid w:val="012DD51D"/>
    <w:rsid w:val="0133D886"/>
    <w:rsid w:val="014A4917"/>
    <w:rsid w:val="0157036B"/>
    <w:rsid w:val="0167C064"/>
    <w:rsid w:val="01738CCB"/>
    <w:rsid w:val="01A9281B"/>
    <w:rsid w:val="01C9C7AB"/>
    <w:rsid w:val="01D8BFF7"/>
    <w:rsid w:val="01DA0844"/>
    <w:rsid w:val="01EC405C"/>
    <w:rsid w:val="01F869CF"/>
    <w:rsid w:val="020E3C18"/>
    <w:rsid w:val="021905E9"/>
    <w:rsid w:val="022EC0FC"/>
    <w:rsid w:val="02301EC6"/>
    <w:rsid w:val="025174F1"/>
    <w:rsid w:val="02538066"/>
    <w:rsid w:val="0262D98B"/>
    <w:rsid w:val="026861B5"/>
    <w:rsid w:val="026863C4"/>
    <w:rsid w:val="0269959C"/>
    <w:rsid w:val="0284E1BF"/>
    <w:rsid w:val="0289524D"/>
    <w:rsid w:val="02A96C8D"/>
    <w:rsid w:val="030B01BF"/>
    <w:rsid w:val="031826D2"/>
    <w:rsid w:val="033A984F"/>
    <w:rsid w:val="034F19C8"/>
    <w:rsid w:val="038A3B38"/>
    <w:rsid w:val="039D4CA1"/>
    <w:rsid w:val="039E9706"/>
    <w:rsid w:val="03A95AED"/>
    <w:rsid w:val="03BB19AA"/>
    <w:rsid w:val="03C0C552"/>
    <w:rsid w:val="03FE6877"/>
    <w:rsid w:val="04244478"/>
    <w:rsid w:val="04267043"/>
    <w:rsid w:val="042EDF43"/>
    <w:rsid w:val="04314104"/>
    <w:rsid w:val="0432A977"/>
    <w:rsid w:val="043DF143"/>
    <w:rsid w:val="04467B84"/>
    <w:rsid w:val="044FFB67"/>
    <w:rsid w:val="0456A29F"/>
    <w:rsid w:val="047837E1"/>
    <w:rsid w:val="048995CE"/>
    <w:rsid w:val="049152A9"/>
    <w:rsid w:val="049E2F38"/>
    <w:rsid w:val="04A13725"/>
    <w:rsid w:val="04D365BC"/>
    <w:rsid w:val="04E3378C"/>
    <w:rsid w:val="04EA64A9"/>
    <w:rsid w:val="05025FF9"/>
    <w:rsid w:val="051B7C61"/>
    <w:rsid w:val="052ED26A"/>
    <w:rsid w:val="05457BBA"/>
    <w:rsid w:val="05460E8A"/>
    <w:rsid w:val="05472F2B"/>
    <w:rsid w:val="057AF181"/>
    <w:rsid w:val="057CF50B"/>
    <w:rsid w:val="0580EE81"/>
    <w:rsid w:val="058D86B5"/>
    <w:rsid w:val="05B182D7"/>
    <w:rsid w:val="05B7E5C6"/>
    <w:rsid w:val="05CC929A"/>
    <w:rsid w:val="05F5D0E3"/>
    <w:rsid w:val="06120499"/>
    <w:rsid w:val="06138440"/>
    <w:rsid w:val="06174847"/>
    <w:rsid w:val="0626C9EC"/>
    <w:rsid w:val="062A6053"/>
    <w:rsid w:val="062FDFBE"/>
    <w:rsid w:val="06347A7B"/>
    <w:rsid w:val="06449711"/>
    <w:rsid w:val="065C45C6"/>
    <w:rsid w:val="065F053D"/>
    <w:rsid w:val="066E6758"/>
    <w:rsid w:val="067D04A4"/>
    <w:rsid w:val="06807C71"/>
    <w:rsid w:val="068C0756"/>
    <w:rsid w:val="069B4AA6"/>
    <w:rsid w:val="06AA3F7D"/>
    <w:rsid w:val="06ACA404"/>
    <w:rsid w:val="06B142B8"/>
    <w:rsid w:val="06C0A6A1"/>
    <w:rsid w:val="06CA0D75"/>
    <w:rsid w:val="06CCFFA3"/>
    <w:rsid w:val="06F898EA"/>
    <w:rsid w:val="070CC45F"/>
    <w:rsid w:val="071782BE"/>
    <w:rsid w:val="07275F96"/>
    <w:rsid w:val="0735820A"/>
    <w:rsid w:val="07435FC3"/>
    <w:rsid w:val="07551D5A"/>
    <w:rsid w:val="075E550F"/>
    <w:rsid w:val="07A323EE"/>
    <w:rsid w:val="07DDC97F"/>
    <w:rsid w:val="07FE252E"/>
    <w:rsid w:val="080A1E2E"/>
    <w:rsid w:val="08123A4B"/>
    <w:rsid w:val="081A0554"/>
    <w:rsid w:val="081D9712"/>
    <w:rsid w:val="08241149"/>
    <w:rsid w:val="0835CE1A"/>
    <w:rsid w:val="083EAE3F"/>
    <w:rsid w:val="0841A57D"/>
    <w:rsid w:val="0843CB12"/>
    <w:rsid w:val="0852DBBF"/>
    <w:rsid w:val="0868E16B"/>
    <w:rsid w:val="08777083"/>
    <w:rsid w:val="08864E7B"/>
    <w:rsid w:val="088F29FC"/>
    <w:rsid w:val="089E26E3"/>
    <w:rsid w:val="08B5DB79"/>
    <w:rsid w:val="08D3EE7D"/>
    <w:rsid w:val="08D6A80E"/>
    <w:rsid w:val="08DCF062"/>
    <w:rsid w:val="0906F4D8"/>
    <w:rsid w:val="09130362"/>
    <w:rsid w:val="0914150E"/>
    <w:rsid w:val="09462279"/>
    <w:rsid w:val="097EE020"/>
    <w:rsid w:val="09A2FA7F"/>
    <w:rsid w:val="09AE1E6C"/>
    <w:rsid w:val="09AEF1F7"/>
    <w:rsid w:val="09B53FC9"/>
    <w:rsid w:val="09B68497"/>
    <w:rsid w:val="09CAF9B8"/>
    <w:rsid w:val="09D96F19"/>
    <w:rsid w:val="09E61CD1"/>
    <w:rsid w:val="09E938AB"/>
    <w:rsid w:val="0A092125"/>
    <w:rsid w:val="0A1AD596"/>
    <w:rsid w:val="0A2A7633"/>
    <w:rsid w:val="0A3B610D"/>
    <w:rsid w:val="0A455E2D"/>
    <w:rsid w:val="0A51D662"/>
    <w:rsid w:val="0A750A3B"/>
    <w:rsid w:val="0A82A99F"/>
    <w:rsid w:val="0A83DE8D"/>
    <w:rsid w:val="0A88D956"/>
    <w:rsid w:val="0A89C95E"/>
    <w:rsid w:val="0A9BFFD3"/>
    <w:rsid w:val="0AAFD9CE"/>
    <w:rsid w:val="0AB6119B"/>
    <w:rsid w:val="0AEFB575"/>
    <w:rsid w:val="0B3B536D"/>
    <w:rsid w:val="0B3E31E5"/>
    <w:rsid w:val="0B41D33A"/>
    <w:rsid w:val="0B4591D4"/>
    <w:rsid w:val="0B57496B"/>
    <w:rsid w:val="0B5AE7E9"/>
    <w:rsid w:val="0B65B30D"/>
    <w:rsid w:val="0B6D7603"/>
    <w:rsid w:val="0B768D48"/>
    <w:rsid w:val="0B76E44F"/>
    <w:rsid w:val="0B9DDCD3"/>
    <w:rsid w:val="0BA160E0"/>
    <w:rsid w:val="0BAA0E08"/>
    <w:rsid w:val="0BBA140A"/>
    <w:rsid w:val="0BBDF52B"/>
    <w:rsid w:val="0BC0CFF9"/>
    <w:rsid w:val="0C1C029C"/>
    <w:rsid w:val="0C236FD4"/>
    <w:rsid w:val="0C803278"/>
    <w:rsid w:val="0C951609"/>
    <w:rsid w:val="0C9871A7"/>
    <w:rsid w:val="0C9E532E"/>
    <w:rsid w:val="0CA16722"/>
    <w:rsid w:val="0CA3E148"/>
    <w:rsid w:val="0CC27A29"/>
    <w:rsid w:val="0CEEE611"/>
    <w:rsid w:val="0CFDF00A"/>
    <w:rsid w:val="0D28E7D7"/>
    <w:rsid w:val="0D2DAC02"/>
    <w:rsid w:val="0D3D5A12"/>
    <w:rsid w:val="0D3E80DE"/>
    <w:rsid w:val="0D69D2D4"/>
    <w:rsid w:val="0D830EFE"/>
    <w:rsid w:val="0D843795"/>
    <w:rsid w:val="0D878776"/>
    <w:rsid w:val="0D9262A5"/>
    <w:rsid w:val="0DB201A3"/>
    <w:rsid w:val="0DCCB682"/>
    <w:rsid w:val="0DE2DAB6"/>
    <w:rsid w:val="0DEE0BC7"/>
    <w:rsid w:val="0E16AA8D"/>
    <w:rsid w:val="0E288BFB"/>
    <w:rsid w:val="0E2C87DD"/>
    <w:rsid w:val="0E61479E"/>
    <w:rsid w:val="0E633C7A"/>
    <w:rsid w:val="0E662850"/>
    <w:rsid w:val="0E7AF352"/>
    <w:rsid w:val="0E811673"/>
    <w:rsid w:val="0E8E52BA"/>
    <w:rsid w:val="0E923058"/>
    <w:rsid w:val="0EB3B9EC"/>
    <w:rsid w:val="0EC5D3D7"/>
    <w:rsid w:val="0EC937EB"/>
    <w:rsid w:val="0EF4DC58"/>
    <w:rsid w:val="0F00900D"/>
    <w:rsid w:val="0F068F6E"/>
    <w:rsid w:val="0F25832E"/>
    <w:rsid w:val="0F25DBB8"/>
    <w:rsid w:val="0F2B6FD4"/>
    <w:rsid w:val="0F2F0A2F"/>
    <w:rsid w:val="0F38E591"/>
    <w:rsid w:val="0F407E1A"/>
    <w:rsid w:val="0F643503"/>
    <w:rsid w:val="0F9C5AEF"/>
    <w:rsid w:val="0F9F7E84"/>
    <w:rsid w:val="0FA5AAB4"/>
    <w:rsid w:val="0FAAAF36"/>
    <w:rsid w:val="0FC6253B"/>
    <w:rsid w:val="0FE1E302"/>
    <w:rsid w:val="0FE8F4C1"/>
    <w:rsid w:val="0FF98073"/>
    <w:rsid w:val="0FFE3F12"/>
    <w:rsid w:val="102007DC"/>
    <w:rsid w:val="102AA131"/>
    <w:rsid w:val="1038DB3B"/>
    <w:rsid w:val="1075B7A9"/>
    <w:rsid w:val="107B69B3"/>
    <w:rsid w:val="10881296"/>
    <w:rsid w:val="108CC2C3"/>
    <w:rsid w:val="108E1CE1"/>
    <w:rsid w:val="10A937C8"/>
    <w:rsid w:val="10B2F3BC"/>
    <w:rsid w:val="10B99A2A"/>
    <w:rsid w:val="10D09B52"/>
    <w:rsid w:val="10D0E631"/>
    <w:rsid w:val="10E0AAEC"/>
    <w:rsid w:val="10F42280"/>
    <w:rsid w:val="1104B670"/>
    <w:rsid w:val="112986D5"/>
    <w:rsid w:val="1137342E"/>
    <w:rsid w:val="113D4C2A"/>
    <w:rsid w:val="1161CAD9"/>
    <w:rsid w:val="11808205"/>
    <w:rsid w:val="118D4686"/>
    <w:rsid w:val="1199FC9C"/>
    <w:rsid w:val="11A224C0"/>
    <w:rsid w:val="11AB44CA"/>
    <w:rsid w:val="11AD748D"/>
    <w:rsid w:val="11B33877"/>
    <w:rsid w:val="11D7AA7C"/>
    <w:rsid w:val="11ECCE04"/>
    <w:rsid w:val="11FEA23A"/>
    <w:rsid w:val="120744A9"/>
    <w:rsid w:val="1207B72E"/>
    <w:rsid w:val="1211499E"/>
    <w:rsid w:val="121F7026"/>
    <w:rsid w:val="1221DEFF"/>
    <w:rsid w:val="123AB4C4"/>
    <w:rsid w:val="12481DA1"/>
    <w:rsid w:val="124E0978"/>
    <w:rsid w:val="125115C5"/>
    <w:rsid w:val="12576922"/>
    <w:rsid w:val="1270CB6A"/>
    <w:rsid w:val="127E4ED5"/>
    <w:rsid w:val="12A14C12"/>
    <w:rsid w:val="12B474BE"/>
    <w:rsid w:val="12CF2DAC"/>
    <w:rsid w:val="12D527D3"/>
    <w:rsid w:val="12E4B2F4"/>
    <w:rsid w:val="1304570E"/>
    <w:rsid w:val="1323E620"/>
    <w:rsid w:val="13280536"/>
    <w:rsid w:val="1339675C"/>
    <w:rsid w:val="13576B68"/>
    <w:rsid w:val="136F48FB"/>
    <w:rsid w:val="137730DC"/>
    <w:rsid w:val="13ACD3A4"/>
    <w:rsid w:val="13B3232E"/>
    <w:rsid w:val="13D91EFD"/>
    <w:rsid w:val="13F0E22F"/>
    <w:rsid w:val="13F7401D"/>
    <w:rsid w:val="14138886"/>
    <w:rsid w:val="1432F94B"/>
    <w:rsid w:val="1434A69E"/>
    <w:rsid w:val="14354E42"/>
    <w:rsid w:val="1451CE46"/>
    <w:rsid w:val="14684D35"/>
    <w:rsid w:val="14891EB4"/>
    <w:rsid w:val="1489B808"/>
    <w:rsid w:val="14B3A44B"/>
    <w:rsid w:val="14B6BCEB"/>
    <w:rsid w:val="14C89CE1"/>
    <w:rsid w:val="14E78368"/>
    <w:rsid w:val="14F056C3"/>
    <w:rsid w:val="14F7209D"/>
    <w:rsid w:val="15036C89"/>
    <w:rsid w:val="154C03BA"/>
    <w:rsid w:val="156A223E"/>
    <w:rsid w:val="156D15FE"/>
    <w:rsid w:val="15738AC1"/>
    <w:rsid w:val="158F20FD"/>
    <w:rsid w:val="159DFBC5"/>
    <w:rsid w:val="15A6EA0A"/>
    <w:rsid w:val="15AD0C12"/>
    <w:rsid w:val="15D33EB3"/>
    <w:rsid w:val="15E37D07"/>
    <w:rsid w:val="15E43825"/>
    <w:rsid w:val="160740C5"/>
    <w:rsid w:val="160C4073"/>
    <w:rsid w:val="161885B3"/>
    <w:rsid w:val="161C8651"/>
    <w:rsid w:val="16354F12"/>
    <w:rsid w:val="164ACFC0"/>
    <w:rsid w:val="1652CAB2"/>
    <w:rsid w:val="1682BF48"/>
    <w:rsid w:val="16833F5E"/>
    <w:rsid w:val="16922291"/>
    <w:rsid w:val="16B22C29"/>
    <w:rsid w:val="16B8E6F1"/>
    <w:rsid w:val="16C74FAA"/>
    <w:rsid w:val="16D3867C"/>
    <w:rsid w:val="16D741E8"/>
    <w:rsid w:val="16D916B3"/>
    <w:rsid w:val="16D92D2D"/>
    <w:rsid w:val="16E51153"/>
    <w:rsid w:val="16F2C59F"/>
    <w:rsid w:val="16FC2C50"/>
    <w:rsid w:val="16FFE1F4"/>
    <w:rsid w:val="17020530"/>
    <w:rsid w:val="1710CCEA"/>
    <w:rsid w:val="17158DF7"/>
    <w:rsid w:val="173582AF"/>
    <w:rsid w:val="1741AEF6"/>
    <w:rsid w:val="17589713"/>
    <w:rsid w:val="1785FEF4"/>
    <w:rsid w:val="179539B7"/>
    <w:rsid w:val="17A4472B"/>
    <w:rsid w:val="17B3BEB1"/>
    <w:rsid w:val="17B97544"/>
    <w:rsid w:val="17DFC9D6"/>
    <w:rsid w:val="17E5411A"/>
    <w:rsid w:val="17F0D442"/>
    <w:rsid w:val="17F84AA3"/>
    <w:rsid w:val="18035D09"/>
    <w:rsid w:val="1822DACA"/>
    <w:rsid w:val="182A1CB3"/>
    <w:rsid w:val="1832B34C"/>
    <w:rsid w:val="183E9354"/>
    <w:rsid w:val="1847C89F"/>
    <w:rsid w:val="18483454"/>
    <w:rsid w:val="186484F3"/>
    <w:rsid w:val="186E95F7"/>
    <w:rsid w:val="187FA1D2"/>
    <w:rsid w:val="188060CB"/>
    <w:rsid w:val="18A43EB8"/>
    <w:rsid w:val="18B3867C"/>
    <w:rsid w:val="18C2BE25"/>
    <w:rsid w:val="18F94495"/>
    <w:rsid w:val="1949F0A7"/>
    <w:rsid w:val="194E5457"/>
    <w:rsid w:val="19606F97"/>
    <w:rsid w:val="1975639F"/>
    <w:rsid w:val="1997C873"/>
    <w:rsid w:val="19A5723E"/>
    <w:rsid w:val="19C2C2FD"/>
    <w:rsid w:val="19E271F9"/>
    <w:rsid w:val="19E44F04"/>
    <w:rsid w:val="19E66C67"/>
    <w:rsid w:val="19E7C51E"/>
    <w:rsid w:val="19ED096D"/>
    <w:rsid w:val="19EE34F9"/>
    <w:rsid w:val="1A4CE403"/>
    <w:rsid w:val="1A4ECEAE"/>
    <w:rsid w:val="1A50A85B"/>
    <w:rsid w:val="1A6BCEB2"/>
    <w:rsid w:val="1A7542D9"/>
    <w:rsid w:val="1A994180"/>
    <w:rsid w:val="1AA2F4AF"/>
    <w:rsid w:val="1ACB194A"/>
    <w:rsid w:val="1ACBAF55"/>
    <w:rsid w:val="1ACE2A74"/>
    <w:rsid w:val="1ADF9B64"/>
    <w:rsid w:val="1AEAF1ED"/>
    <w:rsid w:val="1AF0CD5A"/>
    <w:rsid w:val="1AF21985"/>
    <w:rsid w:val="1AF4A138"/>
    <w:rsid w:val="1B0812FB"/>
    <w:rsid w:val="1B2EF95E"/>
    <w:rsid w:val="1B35A9BB"/>
    <w:rsid w:val="1B3767A6"/>
    <w:rsid w:val="1B415F29"/>
    <w:rsid w:val="1B5153A2"/>
    <w:rsid w:val="1B6166F0"/>
    <w:rsid w:val="1B694810"/>
    <w:rsid w:val="1B738F5C"/>
    <w:rsid w:val="1B75E7EF"/>
    <w:rsid w:val="1B7E1CE9"/>
    <w:rsid w:val="1B901FE7"/>
    <w:rsid w:val="1B90A08D"/>
    <w:rsid w:val="1B98685E"/>
    <w:rsid w:val="1BD54F5F"/>
    <w:rsid w:val="1BF5A4B6"/>
    <w:rsid w:val="1BFBE61F"/>
    <w:rsid w:val="1BFEC3D0"/>
    <w:rsid w:val="1C1999E8"/>
    <w:rsid w:val="1C215031"/>
    <w:rsid w:val="1C284B28"/>
    <w:rsid w:val="1C2E9C9A"/>
    <w:rsid w:val="1C36021F"/>
    <w:rsid w:val="1C39E272"/>
    <w:rsid w:val="1C51DB50"/>
    <w:rsid w:val="1C55B93C"/>
    <w:rsid w:val="1C630D11"/>
    <w:rsid w:val="1C8A4EB6"/>
    <w:rsid w:val="1C8E5CDD"/>
    <w:rsid w:val="1C8E9AA6"/>
    <w:rsid w:val="1CA15E27"/>
    <w:rsid w:val="1CC0093E"/>
    <w:rsid w:val="1CC47087"/>
    <w:rsid w:val="1CC68A2C"/>
    <w:rsid w:val="1CD19325"/>
    <w:rsid w:val="1CE67928"/>
    <w:rsid w:val="1CFDAC79"/>
    <w:rsid w:val="1D02F788"/>
    <w:rsid w:val="1D09E49F"/>
    <w:rsid w:val="1D0AA7A6"/>
    <w:rsid w:val="1D2152B6"/>
    <w:rsid w:val="1D2DC1DC"/>
    <w:rsid w:val="1D719644"/>
    <w:rsid w:val="1D765A1E"/>
    <w:rsid w:val="1D790308"/>
    <w:rsid w:val="1D851A7A"/>
    <w:rsid w:val="1D87C417"/>
    <w:rsid w:val="1D91155D"/>
    <w:rsid w:val="1DBF9452"/>
    <w:rsid w:val="1DC0B9CD"/>
    <w:rsid w:val="1DC4C601"/>
    <w:rsid w:val="1DC884C1"/>
    <w:rsid w:val="1DD19A13"/>
    <w:rsid w:val="1DE4E380"/>
    <w:rsid w:val="1DEAD12B"/>
    <w:rsid w:val="1DEB3F8E"/>
    <w:rsid w:val="1DFA493E"/>
    <w:rsid w:val="1E49687E"/>
    <w:rsid w:val="1E68C884"/>
    <w:rsid w:val="1E6A3EA2"/>
    <w:rsid w:val="1E9B169E"/>
    <w:rsid w:val="1E9B32AC"/>
    <w:rsid w:val="1EBABF47"/>
    <w:rsid w:val="1EE3CA69"/>
    <w:rsid w:val="1EE939EF"/>
    <w:rsid w:val="1EECBA30"/>
    <w:rsid w:val="1EF63170"/>
    <w:rsid w:val="1EF8B071"/>
    <w:rsid w:val="1EFD2B78"/>
    <w:rsid w:val="1F09ADFB"/>
    <w:rsid w:val="1F16C4C0"/>
    <w:rsid w:val="1F4A1B8C"/>
    <w:rsid w:val="1F4C3DF7"/>
    <w:rsid w:val="1F4CC60E"/>
    <w:rsid w:val="1F66F573"/>
    <w:rsid w:val="1F741516"/>
    <w:rsid w:val="1F910E80"/>
    <w:rsid w:val="1F97AD61"/>
    <w:rsid w:val="1F9C8B80"/>
    <w:rsid w:val="1F9D9960"/>
    <w:rsid w:val="1FA60FC7"/>
    <w:rsid w:val="1FA89129"/>
    <w:rsid w:val="1FBC0536"/>
    <w:rsid w:val="1FBCBED7"/>
    <w:rsid w:val="1FD417B6"/>
    <w:rsid w:val="1FDB09A0"/>
    <w:rsid w:val="1FEE8363"/>
    <w:rsid w:val="200AAFC1"/>
    <w:rsid w:val="202846AB"/>
    <w:rsid w:val="203447AE"/>
    <w:rsid w:val="2037013E"/>
    <w:rsid w:val="20416B03"/>
    <w:rsid w:val="204C9AB1"/>
    <w:rsid w:val="20682501"/>
    <w:rsid w:val="20694C1D"/>
    <w:rsid w:val="206DED51"/>
    <w:rsid w:val="207A890F"/>
    <w:rsid w:val="2094662A"/>
    <w:rsid w:val="209B6B25"/>
    <w:rsid w:val="209BDC24"/>
    <w:rsid w:val="209DBAAC"/>
    <w:rsid w:val="20B7289C"/>
    <w:rsid w:val="20BADE94"/>
    <w:rsid w:val="20CE5B44"/>
    <w:rsid w:val="20D04621"/>
    <w:rsid w:val="20DE20D8"/>
    <w:rsid w:val="20F26509"/>
    <w:rsid w:val="20F88978"/>
    <w:rsid w:val="20FCBAEA"/>
    <w:rsid w:val="21123DFF"/>
    <w:rsid w:val="212D85FF"/>
    <w:rsid w:val="2142B13C"/>
    <w:rsid w:val="2144C541"/>
    <w:rsid w:val="21582B3C"/>
    <w:rsid w:val="2196B7AB"/>
    <w:rsid w:val="21AFE436"/>
    <w:rsid w:val="21B80AFD"/>
    <w:rsid w:val="21CCE4A3"/>
    <w:rsid w:val="21D715CC"/>
    <w:rsid w:val="21E58561"/>
    <w:rsid w:val="21F65C22"/>
    <w:rsid w:val="2211996F"/>
    <w:rsid w:val="221D109E"/>
    <w:rsid w:val="22270584"/>
    <w:rsid w:val="222825B3"/>
    <w:rsid w:val="22546C94"/>
    <w:rsid w:val="225A02E9"/>
    <w:rsid w:val="225BAD3E"/>
    <w:rsid w:val="22814ABE"/>
    <w:rsid w:val="2299C81E"/>
    <w:rsid w:val="22B15892"/>
    <w:rsid w:val="22BEEEB5"/>
    <w:rsid w:val="22D6D1A3"/>
    <w:rsid w:val="22FA3E49"/>
    <w:rsid w:val="2303C7F1"/>
    <w:rsid w:val="231DF89E"/>
    <w:rsid w:val="2320278E"/>
    <w:rsid w:val="23472586"/>
    <w:rsid w:val="239775CE"/>
    <w:rsid w:val="239A6D2E"/>
    <w:rsid w:val="23A69AE1"/>
    <w:rsid w:val="23BE79E6"/>
    <w:rsid w:val="23C0630E"/>
    <w:rsid w:val="23C82FAC"/>
    <w:rsid w:val="23CCEBFA"/>
    <w:rsid w:val="23D368F7"/>
    <w:rsid w:val="23E2F5BE"/>
    <w:rsid w:val="23FA123C"/>
    <w:rsid w:val="24063F49"/>
    <w:rsid w:val="24072059"/>
    <w:rsid w:val="240D66F5"/>
    <w:rsid w:val="2423E57E"/>
    <w:rsid w:val="242D6584"/>
    <w:rsid w:val="245702D4"/>
    <w:rsid w:val="246162BB"/>
    <w:rsid w:val="24652599"/>
    <w:rsid w:val="247408B2"/>
    <w:rsid w:val="248AED76"/>
    <w:rsid w:val="24A18207"/>
    <w:rsid w:val="24A44E86"/>
    <w:rsid w:val="24BBFD74"/>
    <w:rsid w:val="24C35CAE"/>
    <w:rsid w:val="2500A556"/>
    <w:rsid w:val="25271B11"/>
    <w:rsid w:val="253BD1B7"/>
    <w:rsid w:val="25523BA2"/>
    <w:rsid w:val="25571618"/>
    <w:rsid w:val="2567AF60"/>
    <w:rsid w:val="256A143D"/>
    <w:rsid w:val="257536C4"/>
    <w:rsid w:val="259DF5BF"/>
    <w:rsid w:val="25BD414B"/>
    <w:rsid w:val="260C9BA2"/>
    <w:rsid w:val="26143B2A"/>
    <w:rsid w:val="262E6EE2"/>
    <w:rsid w:val="263980F0"/>
    <w:rsid w:val="263D8406"/>
    <w:rsid w:val="2647DE29"/>
    <w:rsid w:val="265B44CC"/>
    <w:rsid w:val="26766396"/>
    <w:rsid w:val="269D017B"/>
    <w:rsid w:val="26A994F8"/>
    <w:rsid w:val="26BD9A2A"/>
    <w:rsid w:val="26C0515D"/>
    <w:rsid w:val="26C9D9F7"/>
    <w:rsid w:val="26D070C9"/>
    <w:rsid w:val="26DB40E6"/>
    <w:rsid w:val="26DD0381"/>
    <w:rsid w:val="26E5B0E7"/>
    <w:rsid w:val="26F43E4E"/>
    <w:rsid w:val="27053A16"/>
    <w:rsid w:val="271B8696"/>
    <w:rsid w:val="27218BE6"/>
    <w:rsid w:val="27C90CC1"/>
    <w:rsid w:val="27CB676D"/>
    <w:rsid w:val="27E0DF44"/>
    <w:rsid w:val="27F13307"/>
    <w:rsid w:val="27F2113E"/>
    <w:rsid w:val="27F331B6"/>
    <w:rsid w:val="2807FF51"/>
    <w:rsid w:val="281B4A3F"/>
    <w:rsid w:val="281BFAFA"/>
    <w:rsid w:val="2843F0E1"/>
    <w:rsid w:val="2861A02B"/>
    <w:rsid w:val="287C7849"/>
    <w:rsid w:val="28B5CE5F"/>
    <w:rsid w:val="28CB6E91"/>
    <w:rsid w:val="28D3716B"/>
    <w:rsid w:val="28DE890F"/>
    <w:rsid w:val="28E584FF"/>
    <w:rsid w:val="28E648CA"/>
    <w:rsid w:val="28F02EBF"/>
    <w:rsid w:val="28FD711B"/>
    <w:rsid w:val="2903FFDC"/>
    <w:rsid w:val="2908C965"/>
    <w:rsid w:val="290E70D6"/>
    <w:rsid w:val="2912B482"/>
    <w:rsid w:val="292784C7"/>
    <w:rsid w:val="293EF070"/>
    <w:rsid w:val="294A158A"/>
    <w:rsid w:val="296029E5"/>
    <w:rsid w:val="2965BE37"/>
    <w:rsid w:val="29797DE3"/>
    <w:rsid w:val="298FE5B4"/>
    <w:rsid w:val="299EB19A"/>
    <w:rsid w:val="29A7BC6F"/>
    <w:rsid w:val="29B6B225"/>
    <w:rsid w:val="29C0536C"/>
    <w:rsid w:val="29D96FEA"/>
    <w:rsid w:val="29E09D10"/>
    <w:rsid w:val="29E5A04F"/>
    <w:rsid w:val="29E77219"/>
    <w:rsid w:val="29EA00D0"/>
    <w:rsid w:val="29F665E5"/>
    <w:rsid w:val="29FBBBCC"/>
    <w:rsid w:val="2A16F5A2"/>
    <w:rsid w:val="2A356201"/>
    <w:rsid w:val="2A379F38"/>
    <w:rsid w:val="2A3B9039"/>
    <w:rsid w:val="2A430DD9"/>
    <w:rsid w:val="2A52F441"/>
    <w:rsid w:val="2A5487EE"/>
    <w:rsid w:val="2A72E625"/>
    <w:rsid w:val="2A763D38"/>
    <w:rsid w:val="2A87CEF4"/>
    <w:rsid w:val="2AA70DF4"/>
    <w:rsid w:val="2AA7B75E"/>
    <w:rsid w:val="2AD5667B"/>
    <w:rsid w:val="2AFC63B8"/>
    <w:rsid w:val="2B055D37"/>
    <w:rsid w:val="2B069BAF"/>
    <w:rsid w:val="2B2CCB7F"/>
    <w:rsid w:val="2B345582"/>
    <w:rsid w:val="2B4C2857"/>
    <w:rsid w:val="2B52DAC8"/>
    <w:rsid w:val="2B5727F3"/>
    <w:rsid w:val="2B5CA680"/>
    <w:rsid w:val="2B5F64B3"/>
    <w:rsid w:val="2B77F3D1"/>
    <w:rsid w:val="2B7E4FF8"/>
    <w:rsid w:val="2B90E3D0"/>
    <w:rsid w:val="2B9E33F6"/>
    <w:rsid w:val="2BA482AF"/>
    <w:rsid w:val="2BD9C34E"/>
    <w:rsid w:val="2C16E6E8"/>
    <w:rsid w:val="2C2A2218"/>
    <w:rsid w:val="2C368DDC"/>
    <w:rsid w:val="2C37F638"/>
    <w:rsid w:val="2C386F47"/>
    <w:rsid w:val="2C39443C"/>
    <w:rsid w:val="2C42C112"/>
    <w:rsid w:val="2C4C4D5A"/>
    <w:rsid w:val="2C4DF759"/>
    <w:rsid w:val="2C54E4AD"/>
    <w:rsid w:val="2C5C012E"/>
    <w:rsid w:val="2C8A75A2"/>
    <w:rsid w:val="2C95E8CD"/>
    <w:rsid w:val="2CA98D46"/>
    <w:rsid w:val="2CAEF34C"/>
    <w:rsid w:val="2CBA0318"/>
    <w:rsid w:val="2CBAB9E3"/>
    <w:rsid w:val="2CDF7C84"/>
    <w:rsid w:val="2CE3278E"/>
    <w:rsid w:val="2D04337E"/>
    <w:rsid w:val="2D073056"/>
    <w:rsid w:val="2D080EB1"/>
    <w:rsid w:val="2D182685"/>
    <w:rsid w:val="2D2183DA"/>
    <w:rsid w:val="2D3C83C7"/>
    <w:rsid w:val="2D473BDB"/>
    <w:rsid w:val="2D510CA2"/>
    <w:rsid w:val="2D617A1B"/>
    <w:rsid w:val="2D65563A"/>
    <w:rsid w:val="2D9DFD2C"/>
    <w:rsid w:val="2DAF68A6"/>
    <w:rsid w:val="2DB1BF06"/>
    <w:rsid w:val="2DC0D4A1"/>
    <w:rsid w:val="2DD3C002"/>
    <w:rsid w:val="2DE8F7D8"/>
    <w:rsid w:val="2DFBABD3"/>
    <w:rsid w:val="2E03A372"/>
    <w:rsid w:val="2E043454"/>
    <w:rsid w:val="2E15A71F"/>
    <w:rsid w:val="2E2A3BE4"/>
    <w:rsid w:val="2E2D1C15"/>
    <w:rsid w:val="2E3120F7"/>
    <w:rsid w:val="2E3AAFA3"/>
    <w:rsid w:val="2E4384CB"/>
    <w:rsid w:val="2E4C0298"/>
    <w:rsid w:val="2E4DFF79"/>
    <w:rsid w:val="2E6344AB"/>
    <w:rsid w:val="2E6491DA"/>
    <w:rsid w:val="2E71DC9F"/>
    <w:rsid w:val="2E809200"/>
    <w:rsid w:val="2E862343"/>
    <w:rsid w:val="2E8BA7C6"/>
    <w:rsid w:val="2E8DBD52"/>
    <w:rsid w:val="2E992138"/>
    <w:rsid w:val="2EAE30CA"/>
    <w:rsid w:val="2EC1336F"/>
    <w:rsid w:val="2EDE7A47"/>
    <w:rsid w:val="2EE631FA"/>
    <w:rsid w:val="2EE69053"/>
    <w:rsid w:val="2F0A4909"/>
    <w:rsid w:val="2F4B6894"/>
    <w:rsid w:val="2F4D3227"/>
    <w:rsid w:val="2F4FA775"/>
    <w:rsid w:val="2F5A9ABD"/>
    <w:rsid w:val="2F5C0F6A"/>
    <w:rsid w:val="2F66AA08"/>
    <w:rsid w:val="2F74FD2A"/>
    <w:rsid w:val="2F7F026C"/>
    <w:rsid w:val="2FABB5BB"/>
    <w:rsid w:val="2FC20586"/>
    <w:rsid w:val="2FE2B53C"/>
    <w:rsid w:val="2FF7BC6E"/>
    <w:rsid w:val="30052971"/>
    <w:rsid w:val="3009918F"/>
    <w:rsid w:val="3017EF95"/>
    <w:rsid w:val="302E5E12"/>
    <w:rsid w:val="3045D1C4"/>
    <w:rsid w:val="3080C7B8"/>
    <w:rsid w:val="309941DF"/>
    <w:rsid w:val="30B81FEB"/>
    <w:rsid w:val="30D06879"/>
    <w:rsid w:val="30D2A98F"/>
    <w:rsid w:val="30DA5950"/>
    <w:rsid w:val="30E1E017"/>
    <w:rsid w:val="30ED8A57"/>
    <w:rsid w:val="311631D5"/>
    <w:rsid w:val="311E7B98"/>
    <w:rsid w:val="313DC81E"/>
    <w:rsid w:val="31472290"/>
    <w:rsid w:val="31474108"/>
    <w:rsid w:val="31488D48"/>
    <w:rsid w:val="314F96C5"/>
    <w:rsid w:val="3152F1D4"/>
    <w:rsid w:val="317299D9"/>
    <w:rsid w:val="317C1C2E"/>
    <w:rsid w:val="318F5A0F"/>
    <w:rsid w:val="31A031C3"/>
    <w:rsid w:val="31A4221F"/>
    <w:rsid w:val="31A49A4E"/>
    <w:rsid w:val="31A9AAFE"/>
    <w:rsid w:val="31AD3E1E"/>
    <w:rsid w:val="31B9FD8E"/>
    <w:rsid w:val="31D4A5A6"/>
    <w:rsid w:val="31EA43B3"/>
    <w:rsid w:val="320B9868"/>
    <w:rsid w:val="320DC4F9"/>
    <w:rsid w:val="322E8C22"/>
    <w:rsid w:val="324128A5"/>
    <w:rsid w:val="3245EE11"/>
    <w:rsid w:val="32491FC9"/>
    <w:rsid w:val="324B9605"/>
    <w:rsid w:val="325F2022"/>
    <w:rsid w:val="32712FBC"/>
    <w:rsid w:val="3277A679"/>
    <w:rsid w:val="3281A1D8"/>
    <w:rsid w:val="32986CFC"/>
    <w:rsid w:val="329CE8AF"/>
    <w:rsid w:val="32AACEC3"/>
    <w:rsid w:val="32AD244B"/>
    <w:rsid w:val="32EBE728"/>
    <w:rsid w:val="3301BA48"/>
    <w:rsid w:val="33113102"/>
    <w:rsid w:val="331AD182"/>
    <w:rsid w:val="331C05D0"/>
    <w:rsid w:val="331EE441"/>
    <w:rsid w:val="332C87CE"/>
    <w:rsid w:val="333908BB"/>
    <w:rsid w:val="33434137"/>
    <w:rsid w:val="33440B48"/>
    <w:rsid w:val="3358733F"/>
    <w:rsid w:val="337644AD"/>
    <w:rsid w:val="3390F951"/>
    <w:rsid w:val="339477D5"/>
    <w:rsid w:val="33C63908"/>
    <w:rsid w:val="33C8107E"/>
    <w:rsid w:val="33DDFE16"/>
    <w:rsid w:val="33F2DE9E"/>
    <w:rsid w:val="342927CB"/>
    <w:rsid w:val="342A4751"/>
    <w:rsid w:val="342E6466"/>
    <w:rsid w:val="34352FD1"/>
    <w:rsid w:val="343DD508"/>
    <w:rsid w:val="34406661"/>
    <w:rsid w:val="3451B4D6"/>
    <w:rsid w:val="346A4F66"/>
    <w:rsid w:val="346C3203"/>
    <w:rsid w:val="346D77B8"/>
    <w:rsid w:val="3474689D"/>
    <w:rsid w:val="3474B611"/>
    <w:rsid w:val="347F7F21"/>
    <w:rsid w:val="348064FD"/>
    <w:rsid w:val="349173D4"/>
    <w:rsid w:val="3496B435"/>
    <w:rsid w:val="34A01000"/>
    <w:rsid w:val="34A14A0B"/>
    <w:rsid w:val="34A71BA9"/>
    <w:rsid w:val="34CE4114"/>
    <w:rsid w:val="34F63589"/>
    <w:rsid w:val="350D2C2A"/>
    <w:rsid w:val="351414D9"/>
    <w:rsid w:val="351FA76C"/>
    <w:rsid w:val="3520230B"/>
    <w:rsid w:val="35217C4B"/>
    <w:rsid w:val="3532726D"/>
    <w:rsid w:val="354FE487"/>
    <w:rsid w:val="35604584"/>
    <w:rsid w:val="356E6240"/>
    <w:rsid w:val="358840A5"/>
    <w:rsid w:val="35A5CA7C"/>
    <w:rsid w:val="35B8508A"/>
    <w:rsid w:val="35C419EF"/>
    <w:rsid w:val="35C8F127"/>
    <w:rsid w:val="35DAAD7A"/>
    <w:rsid w:val="35F2EE98"/>
    <w:rsid w:val="361041DC"/>
    <w:rsid w:val="361269D8"/>
    <w:rsid w:val="363B0895"/>
    <w:rsid w:val="36415CED"/>
    <w:rsid w:val="367A9C51"/>
    <w:rsid w:val="3682F1FF"/>
    <w:rsid w:val="3683125F"/>
    <w:rsid w:val="36949711"/>
    <w:rsid w:val="36B6D9A3"/>
    <w:rsid w:val="36BBBE65"/>
    <w:rsid w:val="36C26BDA"/>
    <w:rsid w:val="36C4FFD3"/>
    <w:rsid w:val="36D18EE2"/>
    <w:rsid w:val="36E52FAA"/>
    <w:rsid w:val="36F9F2E2"/>
    <w:rsid w:val="3706F3E6"/>
    <w:rsid w:val="370C8AF0"/>
    <w:rsid w:val="371E5076"/>
    <w:rsid w:val="3726CCA7"/>
    <w:rsid w:val="37418C47"/>
    <w:rsid w:val="3761031E"/>
    <w:rsid w:val="376B74C4"/>
    <w:rsid w:val="376CD200"/>
    <w:rsid w:val="37723725"/>
    <w:rsid w:val="37728DE5"/>
    <w:rsid w:val="377299BA"/>
    <w:rsid w:val="37833164"/>
    <w:rsid w:val="3796584D"/>
    <w:rsid w:val="379E84DF"/>
    <w:rsid w:val="37CC25FE"/>
    <w:rsid w:val="37D692E3"/>
    <w:rsid w:val="37D8DAAC"/>
    <w:rsid w:val="3811E442"/>
    <w:rsid w:val="3814486D"/>
    <w:rsid w:val="3835E16C"/>
    <w:rsid w:val="38A64C6B"/>
    <w:rsid w:val="38A96372"/>
    <w:rsid w:val="38CE6C03"/>
    <w:rsid w:val="38F5D36D"/>
    <w:rsid w:val="39036060"/>
    <w:rsid w:val="390FDC94"/>
    <w:rsid w:val="39258540"/>
    <w:rsid w:val="3926522B"/>
    <w:rsid w:val="39569F5F"/>
    <w:rsid w:val="3959BBF4"/>
    <w:rsid w:val="396B7C46"/>
    <w:rsid w:val="3975EADF"/>
    <w:rsid w:val="397FB578"/>
    <w:rsid w:val="398D8292"/>
    <w:rsid w:val="3994AF61"/>
    <w:rsid w:val="39AC68FE"/>
    <w:rsid w:val="39B64651"/>
    <w:rsid w:val="39CBAB41"/>
    <w:rsid w:val="39D1E333"/>
    <w:rsid w:val="39DBA2F2"/>
    <w:rsid w:val="39F1D567"/>
    <w:rsid w:val="39F5A695"/>
    <w:rsid w:val="3A265A0C"/>
    <w:rsid w:val="3A5E4246"/>
    <w:rsid w:val="3A60C13D"/>
    <w:rsid w:val="3A7BFEA7"/>
    <w:rsid w:val="3AA0B227"/>
    <w:rsid w:val="3AAD49DB"/>
    <w:rsid w:val="3AD94799"/>
    <w:rsid w:val="3AE8F8DD"/>
    <w:rsid w:val="3B05ED32"/>
    <w:rsid w:val="3B1883B0"/>
    <w:rsid w:val="3B1CDBC2"/>
    <w:rsid w:val="3B387414"/>
    <w:rsid w:val="3B4128C1"/>
    <w:rsid w:val="3B50D4E9"/>
    <w:rsid w:val="3B58D9B3"/>
    <w:rsid w:val="3B6B3726"/>
    <w:rsid w:val="3B6CE9B5"/>
    <w:rsid w:val="3B7ABA6A"/>
    <w:rsid w:val="3B8A807E"/>
    <w:rsid w:val="3B9151BC"/>
    <w:rsid w:val="3BAF1C1A"/>
    <w:rsid w:val="3BDEDE93"/>
    <w:rsid w:val="3BF3913E"/>
    <w:rsid w:val="3BF5500B"/>
    <w:rsid w:val="3BF995F2"/>
    <w:rsid w:val="3BFC3F9C"/>
    <w:rsid w:val="3C08C315"/>
    <w:rsid w:val="3C176419"/>
    <w:rsid w:val="3C29F0DA"/>
    <w:rsid w:val="3C54D338"/>
    <w:rsid w:val="3C5A7F51"/>
    <w:rsid w:val="3C5FDCA5"/>
    <w:rsid w:val="3C6159ED"/>
    <w:rsid w:val="3C735FBC"/>
    <w:rsid w:val="3C789C96"/>
    <w:rsid w:val="3C80FA1C"/>
    <w:rsid w:val="3C8B0A65"/>
    <w:rsid w:val="3C9B1C05"/>
    <w:rsid w:val="3C9B25AB"/>
    <w:rsid w:val="3CACEA38"/>
    <w:rsid w:val="3CB653FA"/>
    <w:rsid w:val="3CCCB6DF"/>
    <w:rsid w:val="3CE24A05"/>
    <w:rsid w:val="3CFEAF84"/>
    <w:rsid w:val="3D4471BD"/>
    <w:rsid w:val="3D5EE553"/>
    <w:rsid w:val="3D6D8F58"/>
    <w:rsid w:val="3DA7FB82"/>
    <w:rsid w:val="3DBCA0A2"/>
    <w:rsid w:val="3DBF74E1"/>
    <w:rsid w:val="3DEF512C"/>
    <w:rsid w:val="3E06E9F5"/>
    <w:rsid w:val="3E61B329"/>
    <w:rsid w:val="3E6F53D3"/>
    <w:rsid w:val="3E7C3902"/>
    <w:rsid w:val="3E8B5207"/>
    <w:rsid w:val="3E8C39F7"/>
    <w:rsid w:val="3E934816"/>
    <w:rsid w:val="3E9860FC"/>
    <w:rsid w:val="3EA94CCE"/>
    <w:rsid w:val="3EB40B60"/>
    <w:rsid w:val="3EB79154"/>
    <w:rsid w:val="3EC5C3E9"/>
    <w:rsid w:val="3ED6EB8F"/>
    <w:rsid w:val="3EDB45BC"/>
    <w:rsid w:val="3EF3A86D"/>
    <w:rsid w:val="3F04843A"/>
    <w:rsid w:val="3F0623FE"/>
    <w:rsid w:val="3F066D2A"/>
    <w:rsid w:val="3F0F14EB"/>
    <w:rsid w:val="3F1670D1"/>
    <w:rsid w:val="3F1F1A08"/>
    <w:rsid w:val="3F27132C"/>
    <w:rsid w:val="3F2919D8"/>
    <w:rsid w:val="3F5CCC61"/>
    <w:rsid w:val="3F708657"/>
    <w:rsid w:val="3F725EA3"/>
    <w:rsid w:val="3F7A2A4F"/>
    <w:rsid w:val="3F8DE55E"/>
    <w:rsid w:val="3F8EC631"/>
    <w:rsid w:val="3F9DAF0B"/>
    <w:rsid w:val="3FACBB5B"/>
    <w:rsid w:val="3FBADD2A"/>
    <w:rsid w:val="3FC298CF"/>
    <w:rsid w:val="3FC9D62F"/>
    <w:rsid w:val="3FE242F9"/>
    <w:rsid w:val="3FFAB575"/>
    <w:rsid w:val="4005FE02"/>
    <w:rsid w:val="4024C9FC"/>
    <w:rsid w:val="40489E9D"/>
    <w:rsid w:val="406440F3"/>
    <w:rsid w:val="4072C6DB"/>
    <w:rsid w:val="40754473"/>
    <w:rsid w:val="408BAB53"/>
    <w:rsid w:val="40A02744"/>
    <w:rsid w:val="40A56F28"/>
    <w:rsid w:val="40BDDF5E"/>
    <w:rsid w:val="40C0C7C4"/>
    <w:rsid w:val="40C317B0"/>
    <w:rsid w:val="40DB6FC5"/>
    <w:rsid w:val="40DFE4F1"/>
    <w:rsid w:val="40E5E1AA"/>
    <w:rsid w:val="40EC61EC"/>
    <w:rsid w:val="40ED0822"/>
    <w:rsid w:val="40EE525E"/>
    <w:rsid w:val="40FC04EB"/>
    <w:rsid w:val="4105DC1B"/>
    <w:rsid w:val="411F1D5F"/>
    <w:rsid w:val="41219B74"/>
    <w:rsid w:val="412E59ED"/>
    <w:rsid w:val="413A3179"/>
    <w:rsid w:val="413F5C16"/>
    <w:rsid w:val="418208D3"/>
    <w:rsid w:val="4197E526"/>
    <w:rsid w:val="41DB3DB9"/>
    <w:rsid w:val="41ED9BF5"/>
    <w:rsid w:val="4243F0FD"/>
    <w:rsid w:val="424C9EDE"/>
    <w:rsid w:val="427452A7"/>
    <w:rsid w:val="4283F363"/>
    <w:rsid w:val="42A75ECB"/>
    <w:rsid w:val="42A7C773"/>
    <w:rsid w:val="42AE4F1E"/>
    <w:rsid w:val="42F2D1D1"/>
    <w:rsid w:val="4314648B"/>
    <w:rsid w:val="4316A190"/>
    <w:rsid w:val="43179147"/>
    <w:rsid w:val="431E8C0C"/>
    <w:rsid w:val="431F33D6"/>
    <w:rsid w:val="432B6238"/>
    <w:rsid w:val="432D5CB0"/>
    <w:rsid w:val="4334C4EC"/>
    <w:rsid w:val="4337449A"/>
    <w:rsid w:val="433F78C4"/>
    <w:rsid w:val="43404343"/>
    <w:rsid w:val="4345386B"/>
    <w:rsid w:val="434E0AA0"/>
    <w:rsid w:val="436128C1"/>
    <w:rsid w:val="436A7F6C"/>
    <w:rsid w:val="43803B5B"/>
    <w:rsid w:val="43879DBE"/>
    <w:rsid w:val="43D9CEAF"/>
    <w:rsid w:val="43DECBE1"/>
    <w:rsid w:val="43F48E03"/>
    <w:rsid w:val="43F7D226"/>
    <w:rsid w:val="43FF8400"/>
    <w:rsid w:val="441D26E0"/>
    <w:rsid w:val="44365780"/>
    <w:rsid w:val="443993A5"/>
    <w:rsid w:val="44405E5A"/>
    <w:rsid w:val="444B7003"/>
    <w:rsid w:val="446CD5A7"/>
    <w:rsid w:val="447CAD42"/>
    <w:rsid w:val="44956037"/>
    <w:rsid w:val="4499C117"/>
    <w:rsid w:val="44A9A134"/>
    <w:rsid w:val="44AC99BE"/>
    <w:rsid w:val="44C49100"/>
    <w:rsid w:val="44E50F28"/>
    <w:rsid w:val="44F8751B"/>
    <w:rsid w:val="4527E099"/>
    <w:rsid w:val="452AF84E"/>
    <w:rsid w:val="453C6770"/>
    <w:rsid w:val="453E4737"/>
    <w:rsid w:val="454A7159"/>
    <w:rsid w:val="45516DE9"/>
    <w:rsid w:val="456C36D1"/>
    <w:rsid w:val="456CD5F4"/>
    <w:rsid w:val="456D0388"/>
    <w:rsid w:val="457260A8"/>
    <w:rsid w:val="4573063B"/>
    <w:rsid w:val="457907C8"/>
    <w:rsid w:val="4585672A"/>
    <w:rsid w:val="4596ECDD"/>
    <w:rsid w:val="45A727C0"/>
    <w:rsid w:val="45C4114A"/>
    <w:rsid w:val="45C60939"/>
    <w:rsid w:val="45C938C4"/>
    <w:rsid w:val="45E6BEE9"/>
    <w:rsid w:val="45ED720D"/>
    <w:rsid w:val="45F5882D"/>
    <w:rsid w:val="45F805C1"/>
    <w:rsid w:val="45F8BBB9"/>
    <w:rsid w:val="45FFCB61"/>
    <w:rsid w:val="46053813"/>
    <w:rsid w:val="460A6C6E"/>
    <w:rsid w:val="460D55FD"/>
    <w:rsid w:val="460EF7FF"/>
    <w:rsid w:val="4618FC77"/>
    <w:rsid w:val="461CF488"/>
    <w:rsid w:val="461DC38C"/>
    <w:rsid w:val="463FAC2E"/>
    <w:rsid w:val="464BFFC5"/>
    <w:rsid w:val="4650D39D"/>
    <w:rsid w:val="46563E49"/>
    <w:rsid w:val="466A99DF"/>
    <w:rsid w:val="467E5E6E"/>
    <w:rsid w:val="46BC6E88"/>
    <w:rsid w:val="46C4BB30"/>
    <w:rsid w:val="46DE9CBC"/>
    <w:rsid w:val="47080AE5"/>
    <w:rsid w:val="471DBA9E"/>
    <w:rsid w:val="472CB46C"/>
    <w:rsid w:val="47480BAD"/>
    <w:rsid w:val="474837F4"/>
    <w:rsid w:val="4759A733"/>
    <w:rsid w:val="476AF3A7"/>
    <w:rsid w:val="477926AB"/>
    <w:rsid w:val="477BAC4F"/>
    <w:rsid w:val="4789A731"/>
    <w:rsid w:val="478B2976"/>
    <w:rsid w:val="47D3C1C2"/>
    <w:rsid w:val="47D55E79"/>
    <w:rsid w:val="47DBDD64"/>
    <w:rsid w:val="480BDFEC"/>
    <w:rsid w:val="480DD14C"/>
    <w:rsid w:val="4811C35A"/>
    <w:rsid w:val="481FB5FC"/>
    <w:rsid w:val="48258813"/>
    <w:rsid w:val="4842C967"/>
    <w:rsid w:val="48510193"/>
    <w:rsid w:val="486B0788"/>
    <w:rsid w:val="486E0421"/>
    <w:rsid w:val="4883C6E9"/>
    <w:rsid w:val="488F19DB"/>
    <w:rsid w:val="4891E16B"/>
    <w:rsid w:val="48B5EBFA"/>
    <w:rsid w:val="48CABA22"/>
    <w:rsid w:val="48E22960"/>
    <w:rsid w:val="48ECF615"/>
    <w:rsid w:val="4900114B"/>
    <w:rsid w:val="4910A01A"/>
    <w:rsid w:val="4910BCFC"/>
    <w:rsid w:val="493F0FDE"/>
    <w:rsid w:val="494CB7FB"/>
    <w:rsid w:val="495A0B5F"/>
    <w:rsid w:val="499990C6"/>
    <w:rsid w:val="499F681F"/>
    <w:rsid w:val="49BA9A08"/>
    <w:rsid w:val="49BB9C03"/>
    <w:rsid w:val="49BDAFA9"/>
    <w:rsid w:val="49BED8DC"/>
    <w:rsid w:val="49C009C3"/>
    <w:rsid w:val="49FD6065"/>
    <w:rsid w:val="4A05B948"/>
    <w:rsid w:val="4A064D4D"/>
    <w:rsid w:val="4A263E04"/>
    <w:rsid w:val="4A420F3E"/>
    <w:rsid w:val="4A65562C"/>
    <w:rsid w:val="4A6954E3"/>
    <w:rsid w:val="4A6D3229"/>
    <w:rsid w:val="4A919158"/>
    <w:rsid w:val="4AB68426"/>
    <w:rsid w:val="4AC31249"/>
    <w:rsid w:val="4AC918E2"/>
    <w:rsid w:val="4AF042ED"/>
    <w:rsid w:val="4B2D88B0"/>
    <w:rsid w:val="4B34A980"/>
    <w:rsid w:val="4B41C4E9"/>
    <w:rsid w:val="4B59DB31"/>
    <w:rsid w:val="4B61705B"/>
    <w:rsid w:val="4B618503"/>
    <w:rsid w:val="4B6BA7FD"/>
    <w:rsid w:val="4B6ED348"/>
    <w:rsid w:val="4B78F47D"/>
    <w:rsid w:val="4B79CBDE"/>
    <w:rsid w:val="4B7D04F0"/>
    <w:rsid w:val="4B9CE210"/>
    <w:rsid w:val="4BA096CA"/>
    <w:rsid w:val="4BB6F61C"/>
    <w:rsid w:val="4BC23149"/>
    <w:rsid w:val="4BD0BECA"/>
    <w:rsid w:val="4BD8FD85"/>
    <w:rsid w:val="4C0FDD85"/>
    <w:rsid w:val="4C1E32CA"/>
    <w:rsid w:val="4C390263"/>
    <w:rsid w:val="4C4834F7"/>
    <w:rsid w:val="4C48CDC1"/>
    <w:rsid w:val="4C598EF4"/>
    <w:rsid w:val="4C5C54E2"/>
    <w:rsid w:val="4C66A7CF"/>
    <w:rsid w:val="4C7AFC62"/>
    <w:rsid w:val="4C8883FC"/>
    <w:rsid w:val="4C8C08E3"/>
    <w:rsid w:val="4C923896"/>
    <w:rsid w:val="4C9301EE"/>
    <w:rsid w:val="4C956460"/>
    <w:rsid w:val="4CE3E6EA"/>
    <w:rsid w:val="4CEDEB47"/>
    <w:rsid w:val="4CF71C24"/>
    <w:rsid w:val="4D1E809A"/>
    <w:rsid w:val="4D34C30B"/>
    <w:rsid w:val="4D3B646E"/>
    <w:rsid w:val="4D4F4044"/>
    <w:rsid w:val="4D5E317A"/>
    <w:rsid w:val="4D644707"/>
    <w:rsid w:val="4D6CEEAB"/>
    <w:rsid w:val="4D7859B9"/>
    <w:rsid w:val="4D81FF19"/>
    <w:rsid w:val="4D9033F6"/>
    <w:rsid w:val="4D9466C0"/>
    <w:rsid w:val="4DB00A2A"/>
    <w:rsid w:val="4DB44D28"/>
    <w:rsid w:val="4DC123E2"/>
    <w:rsid w:val="4DC50695"/>
    <w:rsid w:val="4DCBA493"/>
    <w:rsid w:val="4DE1CD60"/>
    <w:rsid w:val="4DEAE65A"/>
    <w:rsid w:val="4E0D2D4E"/>
    <w:rsid w:val="4E1E1EAA"/>
    <w:rsid w:val="4E3B6329"/>
    <w:rsid w:val="4E42E160"/>
    <w:rsid w:val="4E42F7B2"/>
    <w:rsid w:val="4E5A02B0"/>
    <w:rsid w:val="4E5DF5C2"/>
    <w:rsid w:val="4E63702D"/>
    <w:rsid w:val="4E640A25"/>
    <w:rsid w:val="4E7115B2"/>
    <w:rsid w:val="4E9FC949"/>
    <w:rsid w:val="4EA35A4A"/>
    <w:rsid w:val="4EA446F8"/>
    <w:rsid w:val="4EAF47E6"/>
    <w:rsid w:val="4EBAF5F4"/>
    <w:rsid w:val="4EBBEB4B"/>
    <w:rsid w:val="4EC4AAA8"/>
    <w:rsid w:val="4EC7790C"/>
    <w:rsid w:val="4EF53E30"/>
    <w:rsid w:val="4F012312"/>
    <w:rsid w:val="4F0E70BD"/>
    <w:rsid w:val="4F454F22"/>
    <w:rsid w:val="4F46CDBE"/>
    <w:rsid w:val="4F543EB3"/>
    <w:rsid w:val="4F6C4396"/>
    <w:rsid w:val="4F6F7EF9"/>
    <w:rsid w:val="4F8FD356"/>
    <w:rsid w:val="4FA73FEA"/>
    <w:rsid w:val="4FA82840"/>
    <w:rsid w:val="4FC015FC"/>
    <w:rsid w:val="4FC05F92"/>
    <w:rsid w:val="4FC264C4"/>
    <w:rsid w:val="4FDD653B"/>
    <w:rsid w:val="4FED112D"/>
    <w:rsid w:val="4FF5FCCF"/>
    <w:rsid w:val="5012A8E8"/>
    <w:rsid w:val="502FBD20"/>
    <w:rsid w:val="5036AF60"/>
    <w:rsid w:val="504273B4"/>
    <w:rsid w:val="505EBFA9"/>
    <w:rsid w:val="506814AE"/>
    <w:rsid w:val="50796AC0"/>
    <w:rsid w:val="50916722"/>
    <w:rsid w:val="5096C0D1"/>
    <w:rsid w:val="509FBD4B"/>
    <w:rsid w:val="50A7FAAA"/>
    <w:rsid w:val="50C4821F"/>
    <w:rsid w:val="50D09117"/>
    <w:rsid w:val="50DA9F69"/>
    <w:rsid w:val="50ED4119"/>
    <w:rsid w:val="50F08573"/>
    <w:rsid w:val="5119A700"/>
    <w:rsid w:val="51262DDD"/>
    <w:rsid w:val="515266D4"/>
    <w:rsid w:val="5160EC00"/>
    <w:rsid w:val="51646012"/>
    <w:rsid w:val="51698114"/>
    <w:rsid w:val="516D9BED"/>
    <w:rsid w:val="5171CE49"/>
    <w:rsid w:val="5181BEDD"/>
    <w:rsid w:val="51888E15"/>
    <w:rsid w:val="5188CADD"/>
    <w:rsid w:val="519B8801"/>
    <w:rsid w:val="51AF9704"/>
    <w:rsid w:val="51B28B1A"/>
    <w:rsid w:val="51BB33F9"/>
    <w:rsid w:val="51D24A23"/>
    <w:rsid w:val="51D56BAB"/>
    <w:rsid w:val="51ED79CB"/>
    <w:rsid w:val="51FC0589"/>
    <w:rsid w:val="51FFC95D"/>
    <w:rsid w:val="5207D007"/>
    <w:rsid w:val="520DE9CF"/>
    <w:rsid w:val="521F2103"/>
    <w:rsid w:val="52349C18"/>
    <w:rsid w:val="523E707A"/>
    <w:rsid w:val="524629C6"/>
    <w:rsid w:val="5248F298"/>
    <w:rsid w:val="5249A6B5"/>
    <w:rsid w:val="52570640"/>
    <w:rsid w:val="5259BC8A"/>
    <w:rsid w:val="525BDE7B"/>
    <w:rsid w:val="527EC9F8"/>
    <w:rsid w:val="52881623"/>
    <w:rsid w:val="5292AA96"/>
    <w:rsid w:val="52A3A4BC"/>
    <w:rsid w:val="52AE37EA"/>
    <w:rsid w:val="52C7B1B1"/>
    <w:rsid w:val="52C932F2"/>
    <w:rsid w:val="52E4A857"/>
    <w:rsid w:val="52F86B4F"/>
    <w:rsid w:val="53083A03"/>
    <w:rsid w:val="5309EC51"/>
    <w:rsid w:val="530ADD4D"/>
    <w:rsid w:val="530C41CF"/>
    <w:rsid w:val="532E917F"/>
    <w:rsid w:val="53335535"/>
    <w:rsid w:val="5333B021"/>
    <w:rsid w:val="5357A9B3"/>
    <w:rsid w:val="535D9091"/>
    <w:rsid w:val="535FC548"/>
    <w:rsid w:val="53624A7F"/>
    <w:rsid w:val="536B290F"/>
    <w:rsid w:val="536DF8D9"/>
    <w:rsid w:val="537A43F2"/>
    <w:rsid w:val="5384120F"/>
    <w:rsid w:val="5384D148"/>
    <w:rsid w:val="538C27DF"/>
    <w:rsid w:val="539F186F"/>
    <w:rsid w:val="539F53F4"/>
    <w:rsid w:val="53A2072A"/>
    <w:rsid w:val="53A21A3E"/>
    <w:rsid w:val="53B4837A"/>
    <w:rsid w:val="53B60090"/>
    <w:rsid w:val="53C29D91"/>
    <w:rsid w:val="53C35572"/>
    <w:rsid w:val="53C63145"/>
    <w:rsid w:val="53D8ED92"/>
    <w:rsid w:val="53DC06B0"/>
    <w:rsid w:val="540B0EFD"/>
    <w:rsid w:val="540D582A"/>
    <w:rsid w:val="5417896E"/>
    <w:rsid w:val="5428DA94"/>
    <w:rsid w:val="5438BF42"/>
    <w:rsid w:val="543EFAC7"/>
    <w:rsid w:val="5442DDD1"/>
    <w:rsid w:val="5453BA20"/>
    <w:rsid w:val="5456E4BD"/>
    <w:rsid w:val="5458A08C"/>
    <w:rsid w:val="5458DD93"/>
    <w:rsid w:val="54703842"/>
    <w:rsid w:val="54731535"/>
    <w:rsid w:val="5477F207"/>
    <w:rsid w:val="54842ED8"/>
    <w:rsid w:val="54898387"/>
    <w:rsid w:val="54C2AA8F"/>
    <w:rsid w:val="54CEF728"/>
    <w:rsid w:val="54DC2335"/>
    <w:rsid w:val="54DFF4AA"/>
    <w:rsid w:val="54E0D16A"/>
    <w:rsid w:val="54E37A2B"/>
    <w:rsid w:val="550E1090"/>
    <w:rsid w:val="5512B76C"/>
    <w:rsid w:val="55197607"/>
    <w:rsid w:val="551E3DEB"/>
    <w:rsid w:val="5529EF9D"/>
    <w:rsid w:val="55377204"/>
    <w:rsid w:val="5537FD27"/>
    <w:rsid w:val="55445604"/>
    <w:rsid w:val="55539BD7"/>
    <w:rsid w:val="55838637"/>
    <w:rsid w:val="55BAB697"/>
    <w:rsid w:val="55BDDFEB"/>
    <w:rsid w:val="55C6FD7F"/>
    <w:rsid w:val="55CCD2F2"/>
    <w:rsid w:val="5608A68E"/>
    <w:rsid w:val="5640BC34"/>
    <w:rsid w:val="56B0F66F"/>
    <w:rsid w:val="56CC564E"/>
    <w:rsid w:val="56D41346"/>
    <w:rsid w:val="56D95C29"/>
    <w:rsid w:val="56DB836D"/>
    <w:rsid w:val="56DCC971"/>
    <w:rsid w:val="56FAE48E"/>
    <w:rsid w:val="570B063B"/>
    <w:rsid w:val="5739A295"/>
    <w:rsid w:val="576F8B71"/>
    <w:rsid w:val="57717E95"/>
    <w:rsid w:val="578AFDE0"/>
    <w:rsid w:val="57A47584"/>
    <w:rsid w:val="57B8F106"/>
    <w:rsid w:val="57C0601D"/>
    <w:rsid w:val="57C14737"/>
    <w:rsid w:val="57D54137"/>
    <w:rsid w:val="57E3A4AD"/>
    <w:rsid w:val="57F46921"/>
    <w:rsid w:val="5803D358"/>
    <w:rsid w:val="58094F28"/>
    <w:rsid w:val="5817CCA8"/>
    <w:rsid w:val="5827C50B"/>
    <w:rsid w:val="582BDF3E"/>
    <w:rsid w:val="582CFA99"/>
    <w:rsid w:val="585FFDC8"/>
    <w:rsid w:val="58770311"/>
    <w:rsid w:val="588C1159"/>
    <w:rsid w:val="58A7C7EE"/>
    <w:rsid w:val="58B443F2"/>
    <w:rsid w:val="58CA28EA"/>
    <w:rsid w:val="58E76074"/>
    <w:rsid w:val="58FEAB2B"/>
    <w:rsid w:val="59451512"/>
    <w:rsid w:val="595F2FD4"/>
    <w:rsid w:val="5961185D"/>
    <w:rsid w:val="59738DBE"/>
    <w:rsid w:val="599486FD"/>
    <w:rsid w:val="59A288F9"/>
    <w:rsid w:val="59A491C4"/>
    <w:rsid w:val="59BD9BBF"/>
    <w:rsid w:val="59C35E99"/>
    <w:rsid w:val="59C4351C"/>
    <w:rsid w:val="59C744EE"/>
    <w:rsid w:val="59D0098B"/>
    <w:rsid w:val="59D17352"/>
    <w:rsid w:val="59D93870"/>
    <w:rsid w:val="59F0A000"/>
    <w:rsid w:val="59FD517D"/>
    <w:rsid w:val="5A0E86DF"/>
    <w:rsid w:val="5A14B50B"/>
    <w:rsid w:val="5A16D64F"/>
    <w:rsid w:val="5A1CB5F2"/>
    <w:rsid w:val="5A385880"/>
    <w:rsid w:val="5A58DA07"/>
    <w:rsid w:val="5A5F80F6"/>
    <w:rsid w:val="5A7C1651"/>
    <w:rsid w:val="5A8839B9"/>
    <w:rsid w:val="5AA5F032"/>
    <w:rsid w:val="5AC427F2"/>
    <w:rsid w:val="5ACA9DED"/>
    <w:rsid w:val="5AE87FFB"/>
    <w:rsid w:val="5B0F409C"/>
    <w:rsid w:val="5B1A5CDE"/>
    <w:rsid w:val="5B2ABEE4"/>
    <w:rsid w:val="5B40CA07"/>
    <w:rsid w:val="5B46B5D9"/>
    <w:rsid w:val="5B525453"/>
    <w:rsid w:val="5B55F781"/>
    <w:rsid w:val="5B59AE8D"/>
    <w:rsid w:val="5B966C0A"/>
    <w:rsid w:val="5B9B73F1"/>
    <w:rsid w:val="5BA05988"/>
    <w:rsid w:val="5BA726D0"/>
    <w:rsid w:val="5BA75EB4"/>
    <w:rsid w:val="5BC46588"/>
    <w:rsid w:val="5BD68D4C"/>
    <w:rsid w:val="5BDDA367"/>
    <w:rsid w:val="5BDE2272"/>
    <w:rsid w:val="5BE19E71"/>
    <w:rsid w:val="5BE3B4E7"/>
    <w:rsid w:val="5C1CF38A"/>
    <w:rsid w:val="5C2C651A"/>
    <w:rsid w:val="5C2CC1A6"/>
    <w:rsid w:val="5C2E8651"/>
    <w:rsid w:val="5C36CED1"/>
    <w:rsid w:val="5C3DB3AB"/>
    <w:rsid w:val="5C512983"/>
    <w:rsid w:val="5C5F7694"/>
    <w:rsid w:val="5C6DA740"/>
    <w:rsid w:val="5C8E6095"/>
    <w:rsid w:val="5CA09AF9"/>
    <w:rsid w:val="5CAC537D"/>
    <w:rsid w:val="5CD1DA77"/>
    <w:rsid w:val="5CD80BFD"/>
    <w:rsid w:val="5D0317A6"/>
    <w:rsid w:val="5D231E66"/>
    <w:rsid w:val="5D3241A4"/>
    <w:rsid w:val="5D3C302A"/>
    <w:rsid w:val="5D4ED4A2"/>
    <w:rsid w:val="5DB49BB4"/>
    <w:rsid w:val="5DCE6991"/>
    <w:rsid w:val="5DFE9EC2"/>
    <w:rsid w:val="5E2786CD"/>
    <w:rsid w:val="5E2D675A"/>
    <w:rsid w:val="5E6846BD"/>
    <w:rsid w:val="5E6AB1B8"/>
    <w:rsid w:val="5E7C77C6"/>
    <w:rsid w:val="5E95A22E"/>
    <w:rsid w:val="5EA0C013"/>
    <w:rsid w:val="5EA7AD14"/>
    <w:rsid w:val="5EC9CD5E"/>
    <w:rsid w:val="5ED11D19"/>
    <w:rsid w:val="5ED58B98"/>
    <w:rsid w:val="5EE030F5"/>
    <w:rsid w:val="5F07B28A"/>
    <w:rsid w:val="5F186BA0"/>
    <w:rsid w:val="5F395E94"/>
    <w:rsid w:val="5F4CBD43"/>
    <w:rsid w:val="5F4DA895"/>
    <w:rsid w:val="5F6745B2"/>
    <w:rsid w:val="5F78AB01"/>
    <w:rsid w:val="5F95697C"/>
    <w:rsid w:val="5FB8B496"/>
    <w:rsid w:val="5FCF009F"/>
    <w:rsid w:val="5FE0485A"/>
    <w:rsid w:val="5FEAAF3E"/>
    <w:rsid w:val="60056C05"/>
    <w:rsid w:val="600E8593"/>
    <w:rsid w:val="602D045A"/>
    <w:rsid w:val="60399FD7"/>
    <w:rsid w:val="60434172"/>
    <w:rsid w:val="60472503"/>
    <w:rsid w:val="60651F85"/>
    <w:rsid w:val="607ABCB8"/>
    <w:rsid w:val="608F43F0"/>
    <w:rsid w:val="60930180"/>
    <w:rsid w:val="60A3FA5E"/>
    <w:rsid w:val="60B407E1"/>
    <w:rsid w:val="60C4F7E7"/>
    <w:rsid w:val="60C98CCC"/>
    <w:rsid w:val="60CFA8E8"/>
    <w:rsid w:val="60E0256B"/>
    <w:rsid w:val="60EB8815"/>
    <w:rsid w:val="60F6B10A"/>
    <w:rsid w:val="6122816D"/>
    <w:rsid w:val="6127B2D9"/>
    <w:rsid w:val="61355E03"/>
    <w:rsid w:val="61652F10"/>
    <w:rsid w:val="6167BCC0"/>
    <w:rsid w:val="616B9890"/>
    <w:rsid w:val="616F752E"/>
    <w:rsid w:val="61770CAE"/>
    <w:rsid w:val="61772D74"/>
    <w:rsid w:val="61855000"/>
    <w:rsid w:val="619C9724"/>
    <w:rsid w:val="61B8F3F3"/>
    <w:rsid w:val="61B9BD64"/>
    <w:rsid w:val="61D1AD22"/>
    <w:rsid w:val="61D39C72"/>
    <w:rsid w:val="61E4F972"/>
    <w:rsid w:val="622134CA"/>
    <w:rsid w:val="624CD8D2"/>
    <w:rsid w:val="6259006C"/>
    <w:rsid w:val="6269C704"/>
    <w:rsid w:val="62930895"/>
    <w:rsid w:val="62ADFA32"/>
    <w:rsid w:val="62E513F5"/>
    <w:rsid w:val="6313E1EF"/>
    <w:rsid w:val="631E863C"/>
    <w:rsid w:val="631EDEF3"/>
    <w:rsid w:val="63344ED5"/>
    <w:rsid w:val="633DC09B"/>
    <w:rsid w:val="638EB826"/>
    <w:rsid w:val="63944C06"/>
    <w:rsid w:val="6395A839"/>
    <w:rsid w:val="63B52C20"/>
    <w:rsid w:val="63BAA562"/>
    <w:rsid w:val="63BBDD6F"/>
    <w:rsid w:val="6415544D"/>
    <w:rsid w:val="64317C1B"/>
    <w:rsid w:val="644BB051"/>
    <w:rsid w:val="6450B275"/>
    <w:rsid w:val="645C1F9F"/>
    <w:rsid w:val="646F730C"/>
    <w:rsid w:val="64819418"/>
    <w:rsid w:val="648D246F"/>
    <w:rsid w:val="6495F131"/>
    <w:rsid w:val="64A135E1"/>
    <w:rsid w:val="64CE0D15"/>
    <w:rsid w:val="64D124D9"/>
    <w:rsid w:val="64D338A6"/>
    <w:rsid w:val="64EF99DD"/>
    <w:rsid w:val="64FFF602"/>
    <w:rsid w:val="65011603"/>
    <w:rsid w:val="6503CBF5"/>
    <w:rsid w:val="65085799"/>
    <w:rsid w:val="6517C9AB"/>
    <w:rsid w:val="653B7F90"/>
    <w:rsid w:val="653DAEBC"/>
    <w:rsid w:val="653DEB65"/>
    <w:rsid w:val="654A3CC3"/>
    <w:rsid w:val="654C4ACE"/>
    <w:rsid w:val="65515A7C"/>
    <w:rsid w:val="65632298"/>
    <w:rsid w:val="6564BE5D"/>
    <w:rsid w:val="65664CD5"/>
    <w:rsid w:val="6571B491"/>
    <w:rsid w:val="6599C7BD"/>
    <w:rsid w:val="65E9FEEA"/>
    <w:rsid w:val="65F1C0E8"/>
    <w:rsid w:val="65F9FE8A"/>
    <w:rsid w:val="65FDBB2E"/>
    <w:rsid w:val="66027F5F"/>
    <w:rsid w:val="66048AFA"/>
    <w:rsid w:val="6606CCB1"/>
    <w:rsid w:val="660CB87B"/>
    <w:rsid w:val="6610F2AD"/>
    <w:rsid w:val="663A6933"/>
    <w:rsid w:val="6648C6B3"/>
    <w:rsid w:val="6652D45B"/>
    <w:rsid w:val="665DC142"/>
    <w:rsid w:val="668CAA09"/>
    <w:rsid w:val="66A834BD"/>
    <w:rsid w:val="66D925A6"/>
    <w:rsid w:val="66DFF8EE"/>
    <w:rsid w:val="66F16388"/>
    <w:rsid w:val="66FD419F"/>
    <w:rsid w:val="67373EB6"/>
    <w:rsid w:val="673991F1"/>
    <w:rsid w:val="674521D9"/>
    <w:rsid w:val="674BF881"/>
    <w:rsid w:val="67852140"/>
    <w:rsid w:val="6793EA3C"/>
    <w:rsid w:val="6796B316"/>
    <w:rsid w:val="679875A5"/>
    <w:rsid w:val="679EF3E6"/>
    <w:rsid w:val="67BC2597"/>
    <w:rsid w:val="67C62348"/>
    <w:rsid w:val="67DD6149"/>
    <w:rsid w:val="67F8C059"/>
    <w:rsid w:val="680AD14D"/>
    <w:rsid w:val="6821492A"/>
    <w:rsid w:val="6829CA2A"/>
    <w:rsid w:val="68417165"/>
    <w:rsid w:val="684814F3"/>
    <w:rsid w:val="684E9598"/>
    <w:rsid w:val="6851B174"/>
    <w:rsid w:val="68757F78"/>
    <w:rsid w:val="687DEF6E"/>
    <w:rsid w:val="6881195B"/>
    <w:rsid w:val="6888D106"/>
    <w:rsid w:val="68BBEB58"/>
    <w:rsid w:val="68D8DF3E"/>
    <w:rsid w:val="68DFAAC2"/>
    <w:rsid w:val="68F9C8AE"/>
    <w:rsid w:val="68FEA78E"/>
    <w:rsid w:val="69033F14"/>
    <w:rsid w:val="690D1F9B"/>
    <w:rsid w:val="69205A1C"/>
    <w:rsid w:val="69479994"/>
    <w:rsid w:val="6948DA08"/>
    <w:rsid w:val="697930F1"/>
    <w:rsid w:val="69896FC8"/>
    <w:rsid w:val="69A1ACF5"/>
    <w:rsid w:val="69A75001"/>
    <w:rsid w:val="69A7BEF8"/>
    <w:rsid w:val="69BD9C5E"/>
    <w:rsid w:val="69DFF788"/>
    <w:rsid w:val="69E1B1B7"/>
    <w:rsid w:val="69EA905B"/>
    <w:rsid w:val="69EE9D85"/>
    <w:rsid w:val="69FC5201"/>
    <w:rsid w:val="6A0681DA"/>
    <w:rsid w:val="6A0924EE"/>
    <w:rsid w:val="6A151604"/>
    <w:rsid w:val="6A52640C"/>
    <w:rsid w:val="6A589893"/>
    <w:rsid w:val="6A699334"/>
    <w:rsid w:val="6A80C2F7"/>
    <w:rsid w:val="6A818A58"/>
    <w:rsid w:val="6A8C2350"/>
    <w:rsid w:val="6A8CEC34"/>
    <w:rsid w:val="6A9AC209"/>
    <w:rsid w:val="6AB26FE9"/>
    <w:rsid w:val="6AB62256"/>
    <w:rsid w:val="6AC0C327"/>
    <w:rsid w:val="6AC50F5B"/>
    <w:rsid w:val="6ACF0463"/>
    <w:rsid w:val="6AD957D0"/>
    <w:rsid w:val="6AE477A9"/>
    <w:rsid w:val="6B0DD8AA"/>
    <w:rsid w:val="6B0F7B91"/>
    <w:rsid w:val="6B1B1073"/>
    <w:rsid w:val="6B295009"/>
    <w:rsid w:val="6B328155"/>
    <w:rsid w:val="6B340E4D"/>
    <w:rsid w:val="6B473EB0"/>
    <w:rsid w:val="6B5F8637"/>
    <w:rsid w:val="6B809643"/>
    <w:rsid w:val="6B865800"/>
    <w:rsid w:val="6B8E70D5"/>
    <w:rsid w:val="6B94FD77"/>
    <w:rsid w:val="6B9FCE40"/>
    <w:rsid w:val="6BA60875"/>
    <w:rsid w:val="6BBAAC2C"/>
    <w:rsid w:val="6BBF9099"/>
    <w:rsid w:val="6BE0A541"/>
    <w:rsid w:val="6BF9543F"/>
    <w:rsid w:val="6BFCABBB"/>
    <w:rsid w:val="6C03582C"/>
    <w:rsid w:val="6C3468C0"/>
    <w:rsid w:val="6C4E38B1"/>
    <w:rsid w:val="6C6413B7"/>
    <w:rsid w:val="6C7AEF65"/>
    <w:rsid w:val="6C7B185D"/>
    <w:rsid w:val="6C7F5D8F"/>
    <w:rsid w:val="6CB28EB7"/>
    <w:rsid w:val="6CBE71E5"/>
    <w:rsid w:val="6CD2C6D6"/>
    <w:rsid w:val="6D005AF7"/>
    <w:rsid w:val="6D1AD3F4"/>
    <w:rsid w:val="6D23D142"/>
    <w:rsid w:val="6D2E3BD3"/>
    <w:rsid w:val="6D61D963"/>
    <w:rsid w:val="6D6F93D3"/>
    <w:rsid w:val="6D7655E3"/>
    <w:rsid w:val="6D8DD46A"/>
    <w:rsid w:val="6D9E4556"/>
    <w:rsid w:val="6DA319B8"/>
    <w:rsid w:val="6DA9D2E3"/>
    <w:rsid w:val="6DAB0683"/>
    <w:rsid w:val="6DB80256"/>
    <w:rsid w:val="6DBA142E"/>
    <w:rsid w:val="6DBB6B5B"/>
    <w:rsid w:val="6DC3A586"/>
    <w:rsid w:val="6DDF5A78"/>
    <w:rsid w:val="6DE6ACB9"/>
    <w:rsid w:val="6DE79A51"/>
    <w:rsid w:val="6DE825A9"/>
    <w:rsid w:val="6E085625"/>
    <w:rsid w:val="6E1B714B"/>
    <w:rsid w:val="6E1B95A6"/>
    <w:rsid w:val="6E1BF4D2"/>
    <w:rsid w:val="6E29878C"/>
    <w:rsid w:val="6E2CAE76"/>
    <w:rsid w:val="6E2FB6C5"/>
    <w:rsid w:val="6E419B37"/>
    <w:rsid w:val="6E47E267"/>
    <w:rsid w:val="6E5D5AF2"/>
    <w:rsid w:val="6E67F716"/>
    <w:rsid w:val="6E766E8D"/>
    <w:rsid w:val="6E8A7726"/>
    <w:rsid w:val="6EA433C8"/>
    <w:rsid w:val="6EB1D017"/>
    <w:rsid w:val="6EB8FBD6"/>
    <w:rsid w:val="6ECE625F"/>
    <w:rsid w:val="6EDF9229"/>
    <w:rsid w:val="6EE1F6F0"/>
    <w:rsid w:val="6EE2E24D"/>
    <w:rsid w:val="6EECF6AC"/>
    <w:rsid w:val="6EF24290"/>
    <w:rsid w:val="6F1E7EC9"/>
    <w:rsid w:val="6F288204"/>
    <w:rsid w:val="6F39A5C7"/>
    <w:rsid w:val="6F3F5EF0"/>
    <w:rsid w:val="6F60059A"/>
    <w:rsid w:val="6F6E1642"/>
    <w:rsid w:val="6F764895"/>
    <w:rsid w:val="6F77B7E0"/>
    <w:rsid w:val="6F942B7E"/>
    <w:rsid w:val="6FAFEDE3"/>
    <w:rsid w:val="6FB0A5F6"/>
    <w:rsid w:val="6FBA221A"/>
    <w:rsid w:val="6FC60566"/>
    <w:rsid w:val="6FC85215"/>
    <w:rsid w:val="6FD92D2B"/>
    <w:rsid w:val="6FF3AEB2"/>
    <w:rsid w:val="6FF41EB8"/>
    <w:rsid w:val="7070F48E"/>
    <w:rsid w:val="708225EA"/>
    <w:rsid w:val="7085C9DB"/>
    <w:rsid w:val="70D537C7"/>
    <w:rsid w:val="70D7FA6E"/>
    <w:rsid w:val="70E31D3B"/>
    <w:rsid w:val="70EEC92A"/>
    <w:rsid w:val="70F853A6"/>
    <w:rsid w:val="71109C55"/>
    <w:rsid w:val="71122515"/>
    <w:rsid w:val="711BA5AD"/>
    <w:rsid w:val="7147F044"/>
    <w:rsid w:val="71504148"/>
    <w:rsid w:val="71607078"/>
    <w:rsid w:val="716AEDD5"/>
    <w:rsid w:val="7180BFCA"/>
    <w:rsid w:val="7185A036"/>
    <w:rsid w:val="719885FF"/>
    <w:rsid w:val="71A06678"/>
    <w:rsid w:val="71A3EDED"/>
    <w:rsid w:val="71B4B42D"/>
    <w:rsid w:val="71BC14E3"/>
    <w:rsid w:val="71CFF3EE"/>
    <w:rsid w:val="71E1FEAA"/>
    <w:rsid w:val="71E24A08"/>
    <w:rsid w:val="71F95BE5"/>
    <w:rsid w:val="7218BA77"/>
    <w:rsid w:val="721B30E1"/>
    <w:rsid w:val="723D3B90"/>
    <w:rsid w:val="72414315"/>
    <w:rsid w:val="724D1561"/>
    <w:rsid w:val="72651742"/>
    <w:rsid w:val="72708E45"/>
    <w:rsid w:val="7273A76F"/>
    <w:rsid w:val="727859B2"/>
    <w:rsid w:val="727E1C98"/>
    <w:rsid w:val="727F381F"/>
    <w:rsid w:val="728BB476"/>
    <w:rsid w:val="728C700D"/>
    <w:rsid w:val="72951F69"/>
    <w:rsid w:val="72AC0E69"/>
    <w:rsid w:val="72AE86F4"/>
    <w:rsid w:val="7329E281"/>
    <w:rsid w:val="733ECE13"/>
    <w:rsid w:val="734859BC"/>
    <w:rsid w:val="7351C50C"/>
    <w:rsid w:val="7362EB3E"/>
    <w:rsid w:val="737D1F94"/>
    <w:rsid w:val="7384282F"/>
    <w:rsid w:val="738D75B3"/>
    <w:rsid w:val="73967B65"/>
    <w:rsid w:val="7397658A"/>
    <w:rsid w:val="73FA9265"/>
    <w:rsid w:val="7400B2A0"/>
    <w:rsid w:val="740797A6"/>
    <w:rsid w:val="7409CFAB"/>
    <w:rsid w:val="7416A557"/>
    <w:rsid w:val="741D0619"/>
    <w:rsid w:val="7421ECE3"/>
    <w:rsid w:val="742C3FAF"/>
    <w:rsid w:val="74318BE6"/>
    <w:rsid w:val="743446DD"/>
    <w:rsid w:val="743E7865"/>
    <w:rsid w:val="74438134"/>
    <w:rsid w:val="744AF2DC"/>
    <w:rsid w:val="7454FA44"/>
    <w:rsid w:val="7473BDCF"/>
    <w:rsid w:val="74772304"/>
    <w:rsid w:val="747BB5D2"/>
    <w:rsid w:val="748392E7"/>
    <w:rsid w:val="749939B6"/>
    <w:rsid w:val="74ABFF29"/>
    <w:rsid w:val="74AE7EF9"/>
    <w:rsid w:val="74B304A8"/>
    <w:rsid w:val="74D8B85C"/>
    <w:rsid w:val="74E0AE4F"/>
    <w:rsid w:val="7507BF2C"/>
    <w:rsid w:val="751D503E"/>
    <w:rsid w:val="75357ADA"/>
    <w:rsid w:val="753AFB58"/>
    <w:rsid w:val="7540A616"/>
    <w:rsid w:val="75672F75"/>
    <w:rsid w:val="756B58D5"/>
    <w:rsid w:val="75780C71"/>
    <w:rsid w:val="758665E4"/>
    <w:rsid w:val="7589B6DD"/>
    <w:rsid w:val="759F2018"/>
    <w:rsid w:val="75C8F0D0"/>
    <w:rsid w:val="75CDE671"/>
    <w:rsid w:val="75CE84EA"/>
    <w:rsid w:val="75E25EF3"/>
    <w:rsid w:val="75E52F52"/>
    <w:rsid w:val="75E5DBC6"/>
    <w:rsid w:val="75E8DBD1"/>
    <w:rsid w:val="75F8B75C"/>
    <w:rsid w:val="75FED79F"/>
    <w:rsid w:val="76118AD0"/>
    <w:rsid w:val="763207C7"/>
    <w:rsid w:val="7635A262"/>
    <w:rsid w:val="764FEE9A"/>
    <w:rsid w:val="7653630A"/>
    <w:rsid w:val="765B5CB5"/>
    <w:rsid w:val="765ED98D"/>
    <w:rsid w:val="766E481A"/>
    <w:rsid w:val="768D23F5"/>
    <w:rsid w:val="76955E97"/>
    <w:rsid w:val="76B2320D"/>
    <w:rsid w:val="76C352BE"/>
    <w:rsid w:val="76C4E5EC"/>
    <w:rsid w:val="76DEF2D6"/>
    <w:rsid w:val="76E0D104"/>
    <w:rsid w:val="7704AC9D"/>
    <w:rsid w:val="771AB050"/>
    <w:rsid w:val="772067F7"/>
    <w:rsid w:val="77402281"/>
    <w:rsid w:val="7754593A"/>
    <w:rsid w:val="775E5FA1"/>
    <w:rsid w:val="776A5004"/>
    <w:rsid w:val="776B26E0"/>
    <w:rsid w:val="7781F7E2"/>
    <w:rsid w:val="77885581"/>
    <w:rsid w:val="778BBAF0"/>
    <w:rsid w:val="77BA08FD"/>
    <w:rsid w:val="77BB1E9B"/>
    <w:rsid w:val="77D4CFB9"/>
    <w:rsid w:val="77F10E82"/>
    <w:rsid w:val="77FC659D"/>
    <w:rsid w:val="7805107B"/>
    <w:rsid w:val="78222E06"/>
    <w:rsid w:val="78289157"/>
    <w:rsid w:val="7830AF03"/>
    <w:rsid w:val="783219A6"/>
    <w:rsid w:val="7833DBB0"/>
    <w:rsid w:val="7847695A"/>
    <w:rsid w:val="78509D5D"/>
    <w:rsid w:val="7869F6FD"/>
    <w:rsid w:val="786FE297"/>
    <w:rsid w:val="78808A42"/>
    <w:rsid w:val="78A65B55"/>
    <w:rsid w:val="78B91FE0"/>
    <w:rsid w:val="78C227DE"/>
    <w:rsid w:val="78E04368"/>
    <w:rsid w:val="78E92F22"/>
    <w:rsid w:val="790A53DF"/>
    <w:rsid w:val="790B8006"/>
    <w:rsid w:val="790C8042"/>
    <w:rsid w:val="7913535E"/>
    <w:rsid w:val="791F700D"/>
    <w:rsid w:val="792B962E"/>
    <w:rsid w:val="7955B3BE"/>
    <w:rsid w:val="795EDE05"/>
    <w:rsid w:val="796F254B"/>
    <w:rsid w:val="797059A5"/>
    <w:rsid w:val="797C4E4E"/>
    <w:rsid w:val="7985EE62"/>
    <w:rsid w:val="79989546"/>
    <w:rsid w:val="79BBC85B"/>
    <w:rsid w:val="79D28A5B"/>
    <w:rsid w:val="79E09FF6"/>
    <w:rsid w:val="79E20260"/>
    <w:rsid w:val="7A01A018"/>
    <w:rsid w:val="7A1729C2"/>
    <w:rsid w:val="7A3CB894"/>
    <w:rsid w:val="7A4D3E2F"/>
    <w:rsid w:val="7A596078"/>
    <w:rsid w:val="7A63A9BA"/>
    <w:rsid w:val="7A688F6F"/>
    <w:rsid w:val="7A6A4593"/>
    <w:rsid w:val="7A734213"/>
    <w:rsid w:val="7A773374"/>
    <w:rsid w:val="7A7781CF"/>
    <w:rsid w:val="7A882CDD"/>
    <w:rsid w:val="7AA8CAC5"/>
    <w:rsid w:val="7AB50D1A"/>
    <w:rsid w:val="7ABE00C2"/>
    <w:rsid w:val="7ACBFC9D"/>
    <w:rsid w:val="7AEC6C84"/>
    <w:rsid w:val="7AEE4096"/>
    <w:rsid w:val="7AEE9297"/>
    <w:rsid w:val="7B046488"/>
    <w:rsid w:val="7B0B76CE"/>
    <w:rsid w:val="7B0BB06B"/>
    <w:rsid w:val="7B161052"/>
    <w:rsid w:val="7B3A7E5B"/>
    <w:rsid w:val="7B4E0963"/>
    <w:rsid w:val="7B4FA63D"/>
    <w:rsid w:val="7B6078C1"/>
    <w:rsid w:val="7B8331DF"/>
    <w:rsid w:val="7B888015"/>
    <w:rsid w:val="7B8ED891"/>
    <w:rsid w:val="7BAEB7B1"/>
    <w:rsid w:val="7BAFF407"/>
    <w:rsid w:val="7BB8C168"/>
    <w:rsid w:val="7BC83E7E"/>
    <w:rsid w:val="7BCB8805"/>
    <w:rsid w:val="7BD31BF7"/>
    <w:rsid w:val="7BE480C9"/>
    <w:rsid w:val="7BEE57D3"/>
    <w:rsid w:val="7BF0020D"/>
    <w:rsid w:val="7C041A2D"/>
    <w:rsid w:val="7C161B21"/>
    <w:rsid w:val="7C1C5371"/>
    <w:rsid w:val="7C39977A"/>
    <w:rsid w:val="7C3C94DD"/>
    <w:rsid w:val="7C407E46"/>
    <w:rsid w:val="7C43A500"/>
    <w:rsid w:val="7C55C70B"/>
    <w:rsid w:val="7C6080DA"/>
    <w:rsid w:val="7C743B53"/>
    <w:rsid w:val="7C96E580"/>
    <w:rsid w:val="7CAF7A9A"/>
    <w:rsid w:val="7CB567F7"/>
    <w:rsid w:val="7CB58EB8"/>
    <w:rsid w:val="7CCCAE6B"/>
    <w:rsid w:val="7CE6F6D9"/>
    <w:rsid w:val="7CE83344"/>
    <w:rsid w:val="7CF8108B"/>
    <w:rsid w:val="7D11B8E0"/>
    <w:rsid w:val="7D22837A"/>
    <w:rsid w:val="7D26F12F"/>
    <w:rsid w:val="7D2D05E5"/>
    <w:rsid w:val="7D2E8180"/>
    <w:rsid w:val="7D41E6E7"/>
    <w:rsid w:val="7D44B8A1"/>
    <w:rsid w:val="7D4D975A"/>
    <w:rsid w:val="7D53523F"/>
    <w:rsid w:val="7D5D5A29"/>
    <w:rsid w:val="7D6B6B4E"/>
    <w:rsid w:val="7D951593"/>
    <w:rsid w:val="7DA9DAF8"/>
    <w:rsid w:val="7DC047F4"/>
    <w:rsid w:val="7DC06ED7"/>
    <w:rsid w:val="7DC1C8E5"/>
    <w:rsid w:val="7DC9DD48"/>
    <w:rsid w:val="7DD17B42"/>
    <w:rsid w:val="7DD5AB7D"/>
    <w:rsid w:val="7DE0FD7B"/>
    <w:rsid w:val="7DE17ED0"/>
    <w:rsid w:val="7DE8D1C6"/>
    <w:rsid w:val="7DF041BA"/>
    <w:rsid w:val="7DF69249"/>
    <w:rsid w:val="7E091315"/>
    <w:rsid w:val="7E184F76"/>
    <w:rsid w:val="7E2843E9"/>
    <w:rsid w:val="7E401B9B"/>
    <w:rsid w:val="7E5BFFB4"/>
    <w:rsid w:val="7E6DE88F"/>
    <w:rsid w:val="7E866D0D"/>
    <w:rsid w:val="7EAE061D"/>
    <w:rsid w:val="7EC2E42D"/>
    <w:rsid w:val="7ECCAC84"/>
    <w:rsid w:val="7ECE82E5"/>
    <w:rsid w:val="7EE26509"/>
    <w:rsid w:val="7EE3D116"/>
    <w:rsid w:val="7EE3EA0A"/>
    <w:rsid w:val="7EF41BD2"/>
    <w:rsid w:val="7F001B29"/>
    <w:rsid w:val="7F105877"/>
    <w:rsid w:val="7F634D1C"/>
    <w:rsid w:val="7F74DF47"/>
    <w:rsid w:val="7F7824EB"/>
    <w:rsid w:val="7F8F929E"/>
    <w:rsid w:val="7F9E7E0B"/>
    <w:rsid w:val="7FA3F2C9"/>
    <w:rsid w:val="7FC70B15"/>
    <w:rsid w:val="7FF0DF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692"/>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3"/>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E64955"/>
    <w:rPr>
      <w:color w:val="605E5C"/>
      <w:shd w:val="clear" w:color="auto" w:fill="E1DFDD"/>
    </w:rPr>
  </w:style>
  <w:style w:type="paragraph" w:customStyle="1" w:styleId="paragraph">
    <w:name w:val="paragraph"/>
    <w:basedOn w:val="Normal"/>
    <w:rsid w:val="001644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64439"/>
  </w:style>
  <w:style w:type="character" w:customStyle="1" w:styleId="eop">
    <w:name w:val="eop"/>
    <w:basedOn w:val="DefaultParagraphFont"/>
    <w:rsid w:val="00164439"/>
  </w:style>
  <w:style w:type="character" w:styleId="FollowedHyperlink">
    <w:name w:val="FollowedHyperlink"/>
    <w:basedOn w:val="DefaultParagraphFont"/>
    <w:uiPriority w:val="99"/>
    <w:semiHidden/>
    <w:unhideWhenUsed/>
    <w:rsid w:val="002B1A2F"/>
    <w:rPr>
      <w:color w:val="96607D" w:themeColor="followedHyperlink"/>
      <w:u w:val="single"/>
    </w:rPr>
  </w:style>
  <w:style w:type="paragraph" w:styleId="FootnoteText">
    <w:name w:val="footnote text"/>
    <w:basedOn w:val="Normal"/>
    <w:link w:val="FootnoteTextChar"/>
    <w:uiPriority w:val="99"/>
    <w:unhideWhenUsed/>
    <w:qFormat/>
    <w:rsid w:val="002B1A2F"/>
    <w:pPr>
      <w:spacing w:after="0" w:line="240" w:lineRule="auto"/>
    </w:pPr>
    <w:rPr>
      <w:sz w:val="20"/>
      <w:szCs w:val="20"/>
    </w:rPr>
  </w:style>
  <w:style w:type="character" w:customStyle="1" w:styleId="FootnoteTextChar">
    <w:name w:val="Footnote Text Char"/>
    <w:basedOn w:val="DefaultParagraphFont"/>
    <w:link w:val="FootnoteText"/>
    <w:uiPriority w:val="99"/>
    <w:rsid w:val="002B1A2F"/>
    <w:rPr>
      <w:sz w:val="20"/>
      <w:szCs w:val="20"/>
    </w:rPr>
  </w:style>
  <w:style w:type="character" w:styleId="FootnoteReference">
    <w:name w:val="footnote reference"/>
    <w:basedOn w:val="DefaultParagraphFont"/>
    <w:uiPriority w:val="99"/>
    <w:semiHidden/>
    <w:unhideWhenUsed/>
    <w:rsid w:val="002B1A2F"/>
    <w:rPr>
      <w:vertAlign w:val="superscript"/>
    </w:rPr>
  </w:style>
  <w:style w:type="paragraph" w:customStyle="1" w:styleId="pf0">
    <w:name w:val="pf0"/>
    <w:basedOn w:val="Normal"/>
    <w:rsid w:val="00874D33"/>
    <w:pPr>
      <w:spacing w:before="100" w:beforeAutospacing="1" w:after="100" w:afterAutospacing="1" w:line="240" w:lineRule="auto"/>
      <w:ind w:left="300"/>
    </w:pPr>
    <w:rPr>
      <w:rFonts w:ascii="Times New Roman" w:eastAsia="Times New Roman" w:hAnsi="Times New Roman" w:cs="Times New Roman"/>
      <w:kern w:val="0"/>
      <w14:ligatures w14:val="none"/>
    </w:rPr>
  </w:style>
  <w:style w:type="character" w:customStyle="1" w:styleId="cf01">
    <w:name w:val="cf01"/>
    <w:basedOn w:val="DefaultParagraphFont"/>
    <w:rsid w:val="00874D33"/>
    <w:rPr>
      <w:rFonts w:ascii="Segoe UI" w:hAnsi="Segoe UI" w:cs="Segoe UI" w:hint="default"/>
      <w:sz w:val="18"/>
      <w:szCs w:val="18"/>
    </w:rPr>
  </w:style>
  <w:style w:type="paragraph" w:customStyle="1" w:styleId="Default">
    <w:name w:val="Default"/>
    <w:rsid w:val="00F2439C"/>
    <w:pPr>
      <w:autoSpaceDE w:val="0"/>
      <w:autoSpaceDN w:val="0"/>
      <w:adjustRightInd w:val="0"/>
      <w:spacing w:after="0" w:line="240" w:lineRule="auto"/>
    </w:pPr>
    <w:rPr>
      <w:rFonts w:ascii="Palatino Linotype" w:hAnsi="Palatino Linotype" w:cs="Palatino Linotype"/>
      <w:color w:val="000000"/>
      <w:kern w:val="0"/>
    </w:rPr>
  </w:style>
  <w:style w:type="table" w:styleId="TableGrid">
    <w:name w:val="Table Grid"/>
    <w:basedOn w:val="TableNormal"/>
    <w:uiPriority w:val="59"/>
    <w:rsid w:val="005E4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0049"/>
    <w:pPr>
      <w:spacing w:after="0" w:line="240" w:lineRule="auto"/>
    </w:pPr>
  </w:style>
  <w:style w:type="paragraph" w:styleId="EndnoteText">
    <w:name w:val="endnote text"/>
    <w:basedOn w:val="Normal"/>
    <w:uiPriority w:val="99"/>
    <w:semiHidden/>
    <w:unhideWhenUsed/>
    <w:rsid w:val="35F2EE98"/>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rsid w:val="00930C35"/>
    <w:pPr>
      <w:spacing w:after="0" w:line="240" w:lineRule="auto"/>
    </w:pPr>
    <w:rPr>
      <w:rFonts w:ascii="Century Gothic" w:hAnsi="Century Gothic" w:cs="Segoe UI"/>
      <w:bCs/>
      <w:kern w:val="0"/>
      <w14:ligatures w14:val="none"/>
    </w:rPr>
    <w:tblPr/>
  </w:style>
  <w:style w:type="paragraph" w:customStyle="1" w:styleId="default0">
    <w:name w:val="default"/>
    <w:basedOn w:val="Normal"/>
    <w:uiPriority w:val="99"/>
    <w:rsid w:val="00930C35"/>
    <w:pPr>
      <w:spacing w:after="0" w:line="240" w:lineRule="auto"/>
    </w:pPr>
    <w:rPr>
      <w:rFonts w:ascii="Times New Roman" w:eastAsia="Calibri" w:hAnsi="Times New Roman" w:cs="Times New Roman"/>
      <w:kern w:val="0"/>
      <w14:ligatures w14:val="none"/>
    </w:rPr>
  </w:style>
  <w:style w:type="paragraph" w:customStyle="1" w:styleId="Captions">
    <w:name w:val="Captions"/>
    <w:basedOn w:val="Normal"/>
    <w:rsid w:val="002F78F4"/>
    <w:pPr>
      <w:tabs>
        <w:tab w:val="left" w:pos="360"/>
      </w:tabs>
      <w:suppressAutoHyphens/>
      <w:spacing w:before="80" w:line="240" w:lineRule="auto"/>
    </w:pPr>
    <w:rPr>
      <w:rFonts w:ascii="Arial" w:eastAsia="SimSun" w:hAnsi="Arial" w:cs="Times New Roman"/>
      <w:kern w:val="0"/>
      <w:sz w:val="20"/>
      <w14:ligatures w14:val="none"/>
    </w:rPr>
  </w:style>
  <w:style w:type="character" w:styleId="Mention">
    <w:name w:val="Mention"/>
    <w:basedOn w:val="DefaultParagraphFont"/>
    <w:uiPriority w:val="99"/>
    <w:unhideWhenUsed/>
    <w:rsid w:val="002F78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01654025">
      <w:bodyDiv w:val="1"/>
      <w:marLeft w:val="0"/>
      <w:marRight w:val="0"/>
      <w:marTop w:val="0"/>
      <w:marBottom w:val="0"/>
      <w:divBdr>
        <w:top w:val="none" w:sz="0" w:space="0" w:color="auto"/>
        <w:left w:val="none" w:sz="0" w:space="0" w:color="auto"/>
        <w:bottom w:val="none" w:sz="0" w:space="0" w:color="auto"/>
        <w:right w:val="none" w:sz="0" w:space="0" w:color="auto"/>
      </w:divBdr>
    </w:div>
    <w:div w:id="167794919">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430125365">
      <w:bodyDiv w:val="1"/>
      <w:marLeft w:val="0"/>
      <w:marRight w:val="0"/>
      <w:marTop w:val="0"/>
      <w:marBottom w:val="0"/>
      <w:divBdr>
        <w:top w:val="none" w:sz="0" w:space="0" w:color="auto"/>
        <w:left w:val="none" w:sz="0" w:space="0" w:color="auto"/>
        <w:bottom w:val="none" w:sz="0" w:space="0" w:color="auto"/>
        <w:right w:val="none" w:sz="0" w:space="0" w:color="auto"/>
      </w:divBdr>
    </w:div>
    <w:div w:id="457115298">
      <w:bodyDiv w:val="1"/>
      <w:marLeft w:val="0"/>
      <w:marRight w:val="0"/>
      <w:marTop w:val="0"/>
      <w:marBottom w:val="0"/>
      <w:divBdr>
        <w:top w:val="none" w:sz="0" w:space="0" w:color="auto"/>
        <w:left w:val="none" w:sz="0" w:space="0" w:color="auto"/>
        <w:bottom w:val="none" w:sz="0" w:space="0" w:color="auto"/>
        <w:right w:val="none" w:sz="0" w:space="0" w:color="auto"/>
      </w:divBdr>
      <w:divsChild>
        <w:div w:id="421417730">
          <w:marLeft w:val="0"/>
          <w:marRight w:val="0"/>
          <w:marTop w:val="0"/>
          <w:marBottom w:val="0"/>
          <w:divBdr>
            <w:top w:val="none" w:sz="0" w:space="0" w:color="auto"/>
            <w:left w:val="none" w:sz="0" w:space="0" w:color="auto"/>
            <w:bottom w:val="none" w:sz="0" w:space="0" w:color="auto"/>
            <w:right w:val="none" w:sz="0" w:space="0" w:color="auto"/>
          </w:divBdr>
        </w:div>
        <w:div w:id="1397899990">
          <w:marLeft w:val="0"/>
          <w:marRight w:val="0"/>
          <w:marTop w:val="0"/>
          <w:marBottom w:val="0"/>
          <w:divBdr>
            <w:top w:val="none" w:sz="0" w:space="0" w:color="auto"/>
            <w:left w:val="none" w:sz="0" w:space="0" w:color="auto"/>
            <w:bottom w:val="none" w:sz="0" w:space="0" w:color="auto"/>
            <w:right w:val="none" w:sz="0" w:space="0" w:color="auto"/>
          </w:divBdr>
          <w:divsChild>
            <w:div w:id="1656763825">
              <w:marLeft w:val="-75"/>
              <w:marRight w:val="0"/>
              <w:marTop w:val="30"/>
              <w:marBottom w:val="30"/>
              <w:divBdr>
                <w:top w:val="none" w:sz="0" w:space="0" w:color="auto"/>
                <w:left w:val="none" w:sz="0" w:space="0" w:color="auto"/>
                <w:bottom w:val="none" w:sz="0" w:space="0" w:color="auto"/>
                <w:right w:val="none" w:sz="0" w:space="0" w:color="auto"/>
              </w:divBdr>
              <w:divsChild>
                <w:div w:id="47384392">
                  <w:marLeft w:val="0"/>
                  <w:marRight w:val="0"/>
                  <w:marTop w:val="0"/>
                  <w:marBottom w:val="0"/>
                  <w:divBdr>
                    <w:top w:val="none" w:sz="0" w:space="0" w:color="auto"/>
                    <w:left w:val="none" w:sz="0" w:space="0" w:color="auto"/>
                    <w:bottom w:val="none" w:sz="0" w:space="0" w:color="auto"/>
                    <w:right w:val="none" w:sz="0" w:space="0" w:color="auto"/>
                  </w:divBdr>
                  <w:divsChild>
                    <w:div w:id="997002051">
                      <w:marLeft w:val="0"/>
                      <w:marRight w:val="0"/>
                      <w:marTop w:val="0"/>
                      <w:marBottom w:val="0"/>
                      <w:divBdr>
                        <w:top w:val="none" w:sz="0" w:space="0" w:color="auto"/>
                        <w:left w:val="none" w:sz="0" w:space="0" w:color="auto"/>
                        <w:bottom w:val="none" w:sz="0" w:space="0" w:color="auto"/>
                        <w:right w:val="none" w:sz="0" w:space="0" w:color="auto"/>
                      </w:divBdr>
                    </w:div>
                  </w:divsChild>
                </w:div>
                <w:div w:id="83110959">
                  <w:marLeft w:val="0"/>
                  <w:marRight w:val="0"/>
                  <w:marTop w:val="0"/>
                  <w:marBottom w:val="0"/>
                  <w:divBdr>
                    <w:top w:val="none" w:sz="0" w:space="0" w:color="auto"/>
                    <w:left w:val="none" w:sz="0" w:space="0" w:color="auto"/>
                    <w:bottom w:val="none" w:sz="0" w:space="0" w:color="auto"/>
                    <w:right w:val="none" w:sz="0" w:space="0" w:color="auto"/>
                  </w:divBdr>
                  <w:divsChild>
                    <w:div w:id="1879319458">
                      <w:marLeft w:val="0"/>
                      <w:marRight w:val="0"/>
                      <w:marTop w:val="0"/>
                      <w:marBottom w:val="0"/>
                      <w:divBdr>
                        <w:top w:val="none" w:sz="0" w:space="0" w:color="auto"/>
                        <w:left w:val="none" w:sz="0" w:space="0" w:color="auto"/>
                        <w:bottom w:val="none" w:sz="0" w:space="0" w:color="auto"/>
                        <w:right w:val="none" w:sz="0" w:space="0" w:color="auto"/>
                      </w:divBdr>
                    </w:div>
                  </w:divsChild>
                </w:div>
                <w:div w:id="166216924">
                  <w:marLeft w:val="0"/>
                  <w:marRight w:val="0"/>
                  <w:marTop w:val="0"/>
                  <w:marBottom w:val="0"/>
                  <w:divBdr>
                    <w:top w:val="none" w:sz="0" w:space="0" w:color="auto"/>
                    <w:left w:val="none" w:sz="0" w:space="0" w:color="auto"/>
                    <w:bottom w:val="none" w:sz="0" w:space="0" w:color="auto"/>
                    <w:right w:val="none" w:sz="0" w:space="0" w:color="auto"/>
                  </w:divBdr>
                  <w:divsChild>
                    <w:div w:id="706950268">
                      <w:marLeft w:val="0"/>
                      <w:marRight w:val="0"/>
                      <w:marTop w:val="0"/>
                      <w:marBottom w:val="0"/>
                      <w:divBdr>
                        <w:top w:val="none" w:sz="0" w:space="0" w:color="auto"/>
                        <w:left w:val="none" w:sz="0" w:space="0" w:color="auto"/>
                        <w:bottom w:val="none" w:sz="0" w:space="0" w:color="auto"/>
                        <w:right w:val="none" w:sz="0" w:space="0" w:color="auto"/>
                      </w:divBdr>
                    </w:div>
                  </w:divsChild>
                </w:div>
                <w:div w:id="174808083">
                  <w:marLeft w:val="0"/>
                  <w:marRight w:val="0"/>
                  <w:marTop w:val="0"/>
                  <w:marBottom w:val="0"/>
                  <w:divBdr>
                    <w:top w:val="none" w:sz="0" w:space="0" w:color="auto"/>
                    <w:left w:val="none" w:sz="0" w:space="0" w:color="auto"/>
                    <w:bottom w:val="none" w:sz="0" w:space="0" w:color="auto"/>
                    <w:right w:val="none" w:sz="0" w:space="0" w:color="auto"/>
                  </w:divBdr>
                  <w:divsChild>
                    <w:div w:id="553659419">
                      <w:marLeft w:val="0"/>
                      <w:marRight w:val="0"/>
                      <w:marTop w:val="0"/>
                      <w:marBottom w:val="0"/>
                      <w:divBdr>
                        <w:top w:val="none" w:sz="0" w:space="0" w:color="auto"/>
                        <w:left w:val="none" w:sz="0" w:space="0" w:color="auto"/>
                        <w:bottom w:val="none" w:sz="0" w:space="0" w:color="auto"/>
                        <w:right w:val="none" w:sz="0" w:space="0" w:color="auto"/>
                      </w:divBdr>
                    </w:div>
                  </w:divsChild>
                </w:div>
                <w:div w:id="251742234">
                  <w:marLeft w:val="0"/>
                  <w:marRight w:val="0"/>
                  <w:marTop w:val="0"/>
                  <w:marBottom w:val="0"/>
                  <w:divBdr>
                    <w:top w:val="none" w:sz="0" w:space="0" w:color="auto"/>
                    <w:left w:val="none" w:sz="0" w:space="0" w:color="auto"/>
                    <w:bottom w:val="none" w:sz="0" w:space="0" w:color="auto"/>
                    <w:right w:val="none" w:sz="0" w:space="0" w:color="auto"/>
                  </w:divBdr>
                  <w:divsChild>
                    <w:div w:id="1712026706">
                      <w:marLeft w:val="0"/>
                      <w:marRight w:val="0"/>
                      <w:marTop w:val="0"/>
                      <w:marBottom w:val="0"/>
                      <w:divBdr>
                        <w:top w:val="none" w:sz="0" w:space="0" w:color="auto"/>
                        <w:left w:val="none" w:sz="0" w:space="0" w:color="auto"/>
                        <w:bottom w:val="none" w:sz="0" w:space="0" w:color="auto"/>
                        <w:right w:val="none" w:sz="0" w:space="0" w:color="auto"/>
                      </w:divBdr>
                    </w:div>
                  </w:divsChild>
                </w:div>
                <w:div w:id="323628361">
                  <w:marLeft w:val="0"/>
                  <w:marRight w:val="0"/>
                  <w:marTop w:val="0"/>
                  <w:marBottom w:val="0"/>
                  <w:divBdr>
                    <w:top w:val="none" w:sz="0" w:space="0" w:color="auto"/>
                    <w:left w:val="none" w:sz="0" w:space="0" w:color="auto"/>
                    <w:bottom w:val="none" w:sz="0" w:space="0" w:color="auto"/>
                    <w:right w:val="none" w:sz="0" w:space="0" w:color="auto"/>
                  </w:divBdr>
                  <w:divsChild>
                    <w:div w:id="816149663">
                      <w:marLeft w:val="0"/>
                      <w:marRight w:val="0"/>
                      <w:marTop w:val="0"/>
                      <w:marBottom w:val="0"/>
                      <w:divBdr>
                        <w:top w:val="none" w:sz="0" w:space="0" w:color="auto"/>
                        <w:left w:val="none" w:sz="0" w:space="0" w:color="auto"/>
                        <w:bottom w:val="none" w:sz="0" w:space="0" w:color="auto"/>
                        <w:right w:val="none" w:sz="0" w:space="0" w:color="auto"/>
                      </w:divBdr>
                    </w:div>
                  </w:divsChild>
                </w:div>
                <w:div w:id="346256625">
                  <w:marLeft w:val="0"/>
                  <w:marRight w:val="0"/>
                  <w:marTop w:val="0"/>
                  <w:marBottom w:val="0"/>
                  <w:divBdr>
                    <w:top w:val="none" w:sz="0" w:space="0" w:color="auto"/>
                    <w:left w:val="none" w:sz="0" w:space="0" w:color="auto"/>
                    <w:bottom w:val="none" w:sz="0" w:space="0" w:color="auto"/>
                    <w:right w:val="none" w:sz="0" w:space="0" w:color="auto"/>
                  </w:divBdr>
                  <w:divsChild>
                    <w:div w:id="1712342238">
                      <w:marLeft w:val="0"/>
                      <w:marRight w:val="0"/>
                      <w:marTop w:val="0"/>
                      <w:marBottom w:val="0"/>
                      <w:divBdr>
                        <w:top w:val="none" w:sz="0" w:space="0" w:color="auto"/>
                        <w:left w:val="none" w:sz="0" w:space="0" w:color="auto"/>
                        <w:bottom w:val="none" w:sz="0" w:space="0" w:color="auto"/>
                        <w:right w:val="none" w:sz="0" w:space="0" w:color="auto"/>
                      </w:divBdr>
                    </w:div>
                  </w:divsChild>
                </w:div>
                <w:div w:id="361562291">
                  <w:marLeft w:val="0"/>
                  <w:marRight w:val="0"/>
                  <w:marTop w:val="0"/>
                  <w:marBottom w:val="0"/>
                  <w:divBdr>
                    <w:top w:val="none" w:sz="0" w:space="0" w:color="auto"/>
                    <w:left w:val="none" w:sz="0" w:space="0" w:color="auto"/>
                    <w:bottom w:val="none" w:sz="0" w:space="0" w:color="auto"/>
                    <w:right w:val="none" w:sz="0" w:space="0" w:color="auto"/>
                  </w:divBdr>
                  <w:divsChild>
                    <w:div w:id="977882164">
                      <w:marLeft w:val="0"/>
                      <w:marRight w:val="0"/>
                      <w:marTop w:val="0"/>
                      <w:marBottom w:val="0"/>
                      <w:divBdr>
                        <w:top w:val="none" w:sz="0" w:space="0" w:color="auto"/>
                        <w:left w:val="none" w:sz="0" w:space="0" w:color="auto"/>
                        <w:bottom w:val="none" w:sz="0" w:space="0" w:color="auto"/>
                        <w:right w:val="none" w:sz="0" w:space="0" w:color="auto"/>
                      </w:divBdr>
                    </w:div>
                  </w:divsChild>
                </w:div>
                <w:div w:id="599337945">
                  <w:marLeft w:val="0"/>
                  <w:marRight w:val="0"/>
                  <w:marTop w:val="0"/>
                  <w:marBottom w:val="0"/>
                  <w:divBdr>
                    <w:top w:val="none" w:sz="0" w:space="0" w:color="auto"/>
                    <w:left w:val="none" w:sz="0" w:space="0" w:color="auto"/>
                    <w:bottom w:val="none" w:sz="0" w:space="0" w:color="auto"/>
                    <w:right w:val="none" w:sz="0" w:space="0" w:color="auto"/>
                  </w:divBdr>
                  <w:divsChild>
                    <w:div w:id="1019162034">
                      <w:marLeft w:val="0"/>
                      <w:marRight w:val="0"/>
                      <w:marTop w:val="0"/>
                      <w:marBottom w:val="0"/>
                      <w:divBdr>
                        <w:top w:val="none" w:sz="0" w:space="0" w:color="auto"/>
                        <w:left w:val="none" w:sz="0" w:space="0" w:color="auto"/>
                        <w:bottom w:val="none" w:sz="0" w:space="0" w:color="auto"/>
                        <w:right w:val="none" w:sz="0" w:space="0" w:color="auto"/>
                      </w:divBdr>
                    </w:div>
                  </w:divsChild>
                </w:div>
                <w:div w:id="605037702">
                  <w:marLeft w:val="0"/>
                  <w:marRight w:val="0"/>
                  <w:marTop w:val="0"/>
                  <w:marBottom w:val="0"/>
                  <w:divBdr>
                    <w:top w:val="none" w:sz="0" w:space="0" w:color="auto"/>
                    <w:left w:val="none" w:sz="0" w:space="0" w:color="auto"/>
                    <w:bottom w:val="none" w:sz="0" w:space="0" w:color="auto"/>
                    <w:right w:val="none" w:sz="0" w:space="0" w:color="auto"/>
                  </w:divBdr>
                  <w:divsChild>
                    <w:div w:id="799883660">
                      <w:marLeft w:val="0"/>
                      <w:marRight w:val="0"/>
                      <w:marTop w:val="0"/>
                      <w:marBottom w:val="0"/>
                      <w:divBdr>
                        <w:top w:val="none" w:sz="0" w:space="0" w:color="auto"/>
                        <w:left w:val="none" w:sz="0" w:space="0" w:color="auto"/>
                        <w:bottom w:val="none" w:sz="0" w:space="0" w:color="auto"/>
                        <w:right w:val="none" w:sz="0" w:space="0" w:color="auto"/>
                      </w:divBdr>
                    </w:div>
                  </w:divsChild>
                </w:div>
                <w:div w:id="657928162">
                  <w:marLeft w:val="0"/>
                  <w:marRight w:val="0"/>
                  <w:marTop w:val="0"/>
                  <w:marBottom w:val="0"/>
                  <w:divBdr>
                    <w:top w:val="none" w:sz="0" w:space="0" w:color="auto"/>
                    <w:left w:val="none" w:sz="0" w:space="0" w:color="auto"/>
                    <w:bottom w:val="none" w:sz="0" w:space="0" w:color="auto"/>
                    <w:right w:val="none" w:sz="0" w:space="0" w:color="auto"/>
                  </w:divBdr>
                  <w:divsChild>
                    <w:div w:id="1193500716">
                      <w:marLeft w:val="0"/>
                      <w:marRight w:val="0"/>
                      <w:marTop w:val="0"/>
                      <w:marBottom w:val="0"/>
                      <w:divBdr>
                        <w:top w:val="none" w:sz="0" w:space="0" w:color="auto"/>
                        <w:left w:val="none" w:sz="0" w:space="0" w:color="auto"/>
                        <w:bottom w:val="none" w:sz="0" w:space="0" w:color="auto"/>
                        <w:right w:val="none" w:sz="0" w:space="0" w:color="auto"/>
                      </w:divBdr>
                    </w:div>
                  </w:divsChild>
                </w:div>
                <w:div w:id="706222102">
                  <w:marLeft w:val="0"/>
                  <w:marRight w:val="0"/>
                  <w:marTop w:val="0"/>
                  <w:marBottom w:val="0"/>
                  <w:divBdr>
                    <w:top w:val="none" w:sz="0" w:space="0" w:color="auto"/>
                    <w:left w:val="none" w:sz="0" w:space="0" w:color="auto"/>
                    <w:bottom w:val="none" w:sz="0" w:space="0" w:color="auto"/>
                    <w:right w:val="none" w:sz="0" w:space="0" w:color="auto"/>
                  </w:divBdr>
                  <w:divsChild>
                    <w:div w:id="879629371">
                      <w:marLeft w:val="0"/>
                      <w:marRight w:val="0"/>
                      <w:marTop w:val="0"/>
                      <w:marBottom w:val="0"/>
                      <w:divBdr>
                        <w:top w:val="none" w:sz="0" w:space="0" w:color="auto"/>
                        <w:left w:val="none" w:sz="0" w:space="0" w:color="auto"/>
                        <w:bottom w:val="none" w:sz="0" w:space="0" w:color="auto"/>
                        <w:right w:val="none" w:sz="0" w:space="0" w:color="auto"/>
                      </w:divBdr>
                    </w:div>
                  </w:divsChild>
                </w:div>
                <w:div w:id="726145465">
                  <w:marLeft w:val="0"/>
                  <w:marRight w:val="0"/>
                  <w:marTop w:val="0"/>
                  <w:marBottom w:val="0"/>
                  <w:divBdr>
                    <w:top w:val="none" w:sz="0" w:space="0" w:color="auto"/>
                    <w:left w:val="none" w:sz="0" w:space="0" w:color="auto"/>
                    <w:bottom w:val="none" w:sz="0" w:space="0" w:color="auto"/>
                    <w:right w:val="none" w:sz="0" w:space="0" w:color="auto"/>
                  </w:divBdr>
                  <w:divsChild>
                    <w:div w:id="436290119">
                      <w:marLeft w:val="0"/>
                      <w:marRight w:val="0"/>
                      <w:marTop w:val="0"/>
                      <w:marBottom w:val="0"/>
                      <w:divBdr>
                        <w:top w:val="none" w:sz="0" w:space="0" w:color="auto"/>
                        <w:left w:val="none" w:sz="0" w:space="0" w:color="auto"/>
                        <w:bottom w:val="none" w:sz="0" w:space="0" w:color="auto"/>
                        <w:right w:val="none" w:sz="0" w:space="0" w:color="auto"/>
                      </w:divBdr>
                    </w:div>
                  </w:divsChild>
                </w:div>
                <w:div w:id="767848178">
                  <w:marLeft w:val="0"/>
                  <w:marRight w:val="0"/>
                  <w:marTop w:val="0"/>
                  <w:marBottom w:val="0"/>
                  <w:divBdr>
                    <w:top w:val="none" w:sz="0" w:space="0" w:color="auto"/>
                    <w:left w:val="none" w:sz="0" w:space="0" w:color="auto"/>
                    <w:bottom w:val="none" w:sz="0" w:space="0" w:color="auto"/>
                    <w:right w:val="none" w:sz="0" w:space="0" w:color="auto"/>
                  </w:divBdr>
                  <w:divsChild>
                    <w:div w:id="2124880492">
                      <w:marLeft w:val="0"/>
                      <w:marRight w:val="0"/>
                      <w:marTop w:val="0"/>
                      <w:marBottom w:val="0"/>
                      <w:divBdr>
                        <w:top w:val="none" w:sz="0" w:space="0" w:color="auto"/>
                        <w:left w:val="none" w:sz="0" w:space="0" w:color="auto"/>
                        <w:bottom w:val="none" w:sz="0" w:space="0" w:color="auto"/>
                        <w:right w:val="none" w:sz="0" w:space="0" w:color="auto"/>
                      </w:divBdr>
                    </w:div>
                  </w:divsChild>
                </w:div>
                <w:div w:id="781649270">
                  <w:marLeft w:val="0"/>
                  <w:marRight w:val="0"/>
                  <w:marTop w:val="0"/>
                  <w:marBottom w:val="0"/>
                  <w:divBdr>
                    <w:top w:val="none" w:sz="0" w:space="0" w:color="auto"/>
                    <w:left w:val="none" w:sz="0" w:space="0" w:color="auto"/>
                    <w:bottom w:val="none" w:sz="0" w:space="0" w:color="auto"/>
                    <w:right w:val="none" w:sz="0" w:space="0" w:color="auto"/>
                  </w:divBdr>
                  <w:divsChild>
                    <w:div w:id="1876042389">
                      <w:marLeft w:val="0"/>
                      <w:marRight w:val="0"/>
                      <w:marTop w:val="0"/>
                      <w:marBottom w:val="0"/>
                      <w:divBdr>
                        <w:top w:val="none" w:sz="0" w:space="0" w:color="auto"/>
                        <w:left w:val="none" w:sz="0" w:space="0" w:color="auto"/>
                        <w:bottom w:val="none" w:sz="0" w:space="0" w:color="auto"/>
                        <w:right w:val="none" w:sz="0" w:space="0" w:color="auto"/>
                      </w:divBdr>
                    </w:div>
                  </w:divsChild>
                </w:div>
                <w:div w:id="800029774">
                  <w:marLeft w:val="0"/>
                  <w:marRight w:val="0"/>
                  <w:marTop w:val="0"/>
                  <w:marBottom w:val="0"/>
                  <w:divBdr>
                    <w:top w:val="none" w:sz="0" w:space="0" w:color="auto"/>
                    <w:left w:val="none" w:sz="0" w:space="0" w:color="auto"/>
                    <w:bottom w:val="none" w:sz="0" w:space="0" w:color="auto"/>
                    <w:right w:val="none" w:sz="0" w:space="0" w:color="auto"/>
                  </w:divBdr>
                  <w:divsChild>
                    <w:div w:id="1425804130">
                      <w:marLeft w:val="0"/>
                      <w:marRight w:val="0"/>
                      <w:marTop w:val="0"/>
                      <w:marBottom w:val="0"/>
                      <w:divBdr>
                        <w:top w:val="none" w:sz="0" w:space="0" w:color="auto"/>
                        <w:left w:val="none" w:sz="0" w:space="0" w:color="auto"/>
                        <w:bottom w:val="none" w:sz="0" w:space="0" w:color="auto"/>
                        <w:right w:val="none" w:sz="0" w:space="0" w:color="auto"/>
                      </w:divBdr>
                    </w:div>
                  </w:divsChild>
                </w:div>
                <w:div w:id="905914814">
                  <w:marLeft w:val="0"/>
                  <w:marRight w:val="0"/>
                  <w:marTop w:val="0"/>
                  <w:marBottom w:val="0"/>
                  <w:divBdr>
                    <w:top w:val="none" w:sz="0" w:space="0" w:color="auto"/>
                    <w:left w:val="none" w:sz="0" w:space="0" w:color="auto"/>
                    <w:bottom w:val="none" w:sz="0" w:space="0" w:color="auto"/>
                    <w:right w:val="none" w:sz="0" w:space="0" w:color="auto"/>
                  </w:divBdr>
                  <w:divsChild>
                    <w:div w:id="1473209482">
                      <w:marLeft w:val="0"/>
                      <w:marRight w:val="0"/>
                      <w:marTop w:val="0"/>
                      <w:marBottom w:val="0"/>
                      <w:divBdr>
                        <w:top w:val="none" w:sz="0" w:space="0" w:color="auto"/>
                        <w:left w:val="none" w:sz="0" w:space="0" w:color="auto"/>
                        <w:bottom w:val="none" w:sz="0" w:space="0" w:color="auto"/>
                        <w:right w:val="none" w:sz="0" w:space="0" w:color="auto"/>
                      </w:divBdr>
                    </w:div>
                  </w:divsChild>
                </w:div>
                <w:div w:id="933055305">
                  <w:marLeft w:val="0"/>
                  <w:marRight w:val="0"/>
                  <w:marTop w:val="0"/>
                  <w:marBottom w:val="0"/>
                  <w:divBdr>
                    <w:top w:val="none" w:sz="0" w:space="0" w:color="auto"/>
                    <w:left w:val="none" w:sz="0" w:space="0" w:color="auto"/>
                    <w:bottom w:val="none" w:sz="0" w:space="0" w:color="auto"/>
                    <w:right w:val="none" w:sz="0" w:space="0" w:color="auto"/>
                  </w:divBdr>
                  <w:divsChild>
                    <w:div w:id="1355688517">
                      <w:marLeft w:val="0"/>
                      <w:marRight w:val="0"/>
                      <w:marTop w:val="0"/>
                      <w:marBottom w:val="0"/>
                      <w:divBdr>
                        <w:top w:val="none" w:sz="0" w:space="0" w:color="auto"/>
                        <w:left w:val="none" w:sz="0" w:space="0" w:color="auto"/>
                        <w:bottom w:val="none" w:sz="0" w:space="0" w:color="auto"/>
                        <w:right w:val="none" w:sz="0" w:space="0" w:color="auto"/>
                      </w:divBdr>
                    </w:div>
                  </w:divsChild>
                </w:div>
                <w:div w:id="957104148">
                  <w:marLeft w:val="0"/>
                  <w:marRight w:val="0"/>
                  <w:marTop w:val="0"/>
                  <w:marBottom w:val="0"/>
                  <w:divBdr>
                    <w:top w:val="none" w:sz="0" w:space="0" w:color="auto"/>
                    <w:left w:val="none" w:sz="0" w:space="0" w:color="auto"/>
                    <w:bottom w:val="none" w:sz="0" w:space="0" w:color="auto"/>
                    <w:right w:val="none" w:sz="0" w:space="0" w:color="auto"/>
                  </w:divBdr>
                  <w:divsChild>
                    <w:div w:id="1543711592">
                      <w:marLeft w:val="0"/>
                      <w:marRight w:val="0"/>
                      <w:marTop w:val="0"/>
                      <w:marBottom w:val="0"/>
                      <w:divBdr>
                        <w:top w:val="none" w:sz="0" w:space="0" w:color="auto"/>
                        <w:left w:val="none" w:sz="0" w:space="0" w:color="auto"/>
                        <w:bottom w:val="none" w:sz="0" w:space="0" w:color="auto"/>
                        <w:right w:val="none" w:sz="0" w:space="0" w:color="auto"/>
                      </w:divBdr>
                    </w:div>
                  </w:divsChild>
                </w:div>
                <w:div w:id="967853672">
                  <w:marLeft w:val="0"/>
                  <w:marRight w:val="0"/>
                  <w:marTop w:val="0"/>
                  <w:marBottom w:val="0"/>
                  <w:divBdr>
                    <w:top w:val="none" w:sz="0" w:space="0" w:color="auto"/>
                    <w:left w:val="none" w:sz="0" w:space="0" w:color="auto"/>
                    <w:bottom w:val="none" w:sz="0" w:space="0" w:color="auto"/>
                    <w:right w:val="none" w:sz="0" w:space="0" w:color="auto"/>
                  </w:divBdr>
                  <w:divsChild>
                    <w:div w:id="1700423819">
                      <w:marLeft w:val="0"/>
                      <w:marRight w:val="0"/>
                      <w:marTop w:val="0"/>
                      <w:marBottom w:val="0"/>
                      <w:divBdr>
                        <w:top w:val="none" w:sz="0" w:space="0" w:color="auto"/>
                        <w:left w:val="none" w:sz="0" w:space="0" w:color="auto"/>
                        <w:bottom w:val="none" w:sz="0" w:space="0" w:color="auto"/>
                        <w:right w:val="none" w:sz="0" w:space="0" w:color="auto"/>
                      </w:divBdr>
                    </w:div>
                  </w:divsChild>
                </w:div>
                <w:div w:id="1022825737">
                  <w:marLeft w:val="0"/>
                  <w:marRight w:val="0"/>
                  <w:marTop w:val="0"/>
                  <w:marBottom w:val="0"/>
                  <w:divBdr>
                    <w:top w:val="none" w:sz="0" w:space="0" w:color="auto"/>
                    <w:left w:val="none" w:sz="0" w:space="0" w:color="auto"/>
                    <w:bottom w:val="none" w:sz="0" w:space="0" w:color="auto"/>
                    <w:right w:val="none" w:sz="0" w:space="0" w:color="auto"/>
                  </w:divBdr>
                  <w:divsChild>
                    <w:div w:id="447315031">
                      <w:marLeft w:val="0"/>
                      <w:marRight w:val="0"/>
                      <w:marTop w:val="0"/>
                      <w:marBottom w:val="0"/>
                      <w:divBdr>
                        <w:top w:val="none" w:sz="0" w:space="0" w:color="auto"/>
                        <w:left w:val="none" w:sz="0" w:space="0" w:color="auto"/>
                        <w:bottom w:val="none" w:sz="0" w:space="0" w:color="auto"/>
                        <w:right w:val="none" w:sz="0" w:space="0" w:color="auto"/>
                      </w:divBdr>
                    </w:div>
                  </w:divsChild>
                </w:div>
                <w:div w:id="1098329483">
                  <w:marLeft w:val="0"/>
                  <w:marRight w:val="0"/>
                  <w:marTop w:val="0"/>
                  <w:marBottom w:val="0"/>
                  <w:divBdr>
                    <w:top w:val="none" w:sz="0" w:space="0" w:color="auto"/>
                    <w:left w:val="none" w:sz="0" w:space="0" w:color="auto"/>
                    <w:bottom w:val="none" w:sz="0" w:space="0" w:color="auto"/>
                    <w:right w:val="none" w:sz="0" w:space="0" w:color="auto"/>
                  </w:divBdr>
                  <w:divsChild>
                    <w:div w:id="611474016">
                      <w:marLeft w:val="0"/>
                      <w:marRight w:val="0"/>
                      <w:marTop w:val="0"/>
                      <w:marBottom w:val="0"/>
                      <w:divBdr>
                        <w:top w:val="none" w:sz="0" w:space="0" w:color="auto"/>
                        <w:left w:val="none" w:sz="0" w:space="0" w:color="auto"/>
                        <w:bottom w:val="none" w:sz="0" w:space="0" w:color="auto"/>
                        <w:right w:val="none" w:sz="0" w:space="0" w:color="auto"/>
                      </w:divBdr>
                    </w:div>
                  </w:divsChild>
                </w:div>
                <w:div w:id="1111361943">
                  <w:marLeft w:val="0"/>
                  <w:marRight w:val="0"/>
                  <w:marTop w:val="0"/>
                  <w:marBottom w:val="0"/>
                  <w:divBdr>
                    <w:top w:val="none" w:sz="0" w:space="0" w:color="auto"/>
                    <w:left w:val="none" w:sz="0" w:space="0" w:color="auto"/>
                    <w:bottom w:val="none" w:sz="0" w:space="0" w:color="auto"/>
                    <w:right w:val="none" w:sz="0" w:space="0" w:color="auto"/>
                  </w:divBdr>
                  <w:divsChild>
                    <w:div w:id="100877365">
                      <w:marLeft w:val="0"/>
                      <w:marRight w:val="0"/>
                      <w:marTop w:val="0"/>
                      <w:marBottom w:val="0"/>
                      <w:divBdr>
                        <w:top w:val="none" w:sz="0" w:space="0" w:color="auto"/>
                        <w:left w:val="none" w:sz="0" w:space="0" w:color="auto"/>
                        <w:bottom w:val="none" w:sz="0" w:space="0" w:color="auto"/>
                        <w:right w:val="none" w:sz="0" w:space="0" w:color="auto"/>
                      </w:divBdr>
                    </w:div>
                  </w:divsChild>
                </w:div>
                <w:div w:id="1159999668">
                  <w:marLeft w:val="0"/>
                  <w:marRight w:val="0"/>
                  <w:marTop w:val="0"/>
                  <w:marBottom w:val="0"/>
                  <w:divBdr>
                    <w:top w:val="none" w:sz="0" w:space="0" w:color="auto"/>
                    <w:left w:val="none" w:sz="0" w:space="0" w:color="auto"/>
                    <w:bottom w:val="none" w:sz="0" w:space="0" w:color="auto"/>
                    <w:right w:val="none" w:sz="0" w:space="0" w:color="auto"/>
                  </w:divBdr>
                  <w:divsChild>
                    <w:div w:id="454520581">
                      <w:marLeft w:val="0"/>
                      <w:marRight w:val="0"/>
                      <w:marTop w:val="0"/>
                      <w:marBottom w:val="0"/>
                      <w:divBdr>
                        <w:top w:val="none" w:sz="0" w:space="0" w:color="auto"/>
                        <w:left w:val="none" w:sz="0" w:space="0" w:color="auto"/>
                        <w:bottom w:val="none" w:sz="0" w:space="0" w:color="auto"/>
                        <w:right w:val="none" w:sz="0" w:space="0" w:color="auto"/>
                      </w:divBdr>
                    </w:div>
                  </w:divsChild>
                </w:div>
                <w:div w:id="1176770404">
                  <w:marLeft w:val="0"/>
                  <w:marRight w:val="0"/>
                  <w:marTop w:val="0"/>
                  <w:marBottom w:val="0"/>
                  <w:divBdr>
                    <w:top w:val="none" w:sz="0" w:space="0" w:color="auto"/>
                    <w:left w:val="none" w:sz="0" w:space="0" w:color="auto"/>
                    <w:bottom w:val="none" w:sz="0" w:space="0" w:color="auto"/>
                    <w:right w:val="none" w:sz="0" w:space="0" w:color="auto"/>
                  </w:divBdr>
                  <w:divsChild>
                    <w:div w:id="1581863693">
                      <w:marLeft w:val="0"/>
                      <w:marRight w:val="0"/>
                      <w:marTop w:val="0"/>
                      <w:marBottom w:val="0"/>
                      <w:divBdr>
                        <w:top w:val="none" w:sz="0" w:space="0" w:color="auto"/>
                        <w:left w:val="none" w:sz="0" w:space="0" w:color="auto"/>
                        <w:bottom w:val="none" w:sz="0" w:space="0" w:color="auto"/>
                        <w:right w:val="none" w:sz="0" w:space="0" w:color="auto"/>
                      </w:divBdr>
                    </w:div>
                  </w:divsChild>
                </w:div>
                <w:div w:id="1347485711">
                  <w:marLeft w:val="0"/>
                  <w:marRight w:val="0"/>
                  <w:marTop w:val="0"/>
                  <w:marBottom w:val="0"/>
                  <w:divBdr>
                    <w:top w:val="none" w:sz="0" w:space="0" w:color="auto"/>
                    <w:left w:val="none" w:sz="0" w:space="0" w:color="auto"/>
                    <w:bottom w:val="none" w:sz="0" w:space="0" w:color="auto"/>
                    <w:right w:val="none" w:sz="0" w:space="0" w:color="auto"/>
                  </w:divBdr>
                  <w:divsChild>
                    <w:div w:id="587234305">
                      <w:marLeft w:val="0"/>
                      <w:marRight w:val="0"/>
                      <w:marTop w:val="0"/>
                      <w:marBottom w:val="0"/>
                      <w:divBdr>
                        <w:top w:val="none" w:sz="0" w:space="0" w:color="auto"/>
                        <w:left w:val="none" w:sz="0" w:space="0" w:color="auto"/>
                        <w:bottom w:val="none" w:sz="0" w:space="0" w:color="auto"/>
                        <w:right w:val="none" w:sz="0" w:space="0" w:color="auto"/>
                      </w:divBdr>
                    </w:div>
                  </w:divsChild>
                </w:div>
                <w:div w:id="1400791845">
                  <w:marLeft w:val="0"/>
                  <w:marRight w:val="0"/>
                  <w:marTop w:val="0"/>
                  <w:marBottom w:val="0"/>
                  <w:divBdr>
                    <w:top w:val="none" w:sz="0" w:space="0" w:color="auto"/>
                    <w:left w:val="none" w:sz="0" w:space="0" w:color="auto"/>
                    <w:bottom w:val="none" w:sz="0" w:space="0" w:color="auto"/>
                    <w:right w:val="none" w:sz="0" w:space="0" w:color="auto"/>
                  </w:divBdr>
                  <w:divsChild>
                    <w:div w:id="1557157062">
                      <w:marLeft w:val="0"/>
                      <w:marRight w:val="0"/>
                      <w:marTop w:val="0"/>
                      <w:marBottom w:val="0"/>
                      <w:divBdr>
                        <w:top w:val="none" w:sz="0" w:space="0" w:color="auto"/>
                        <w:left w:val="none" w:sz="0" w:space="0" w:color="auto"/>
                        <w:bottom w:val="none" w:sz="0" w:space="0" w:color="auto"/>
                        <w:right w:val="none" w:sz="0" w:space="0" w:color="auto"/>
                      </w:divBdr>
                    </w:div>
                  </w:divsChild>
                </w:div>
                <w:div w:id="1432973254">
                  <w:marLeft w:val="0"/>
                  <w:marRight w:val="0"/>
                  <w:marTop w:val="0"/>
                  <w:marBottom w:val="0"/>
                  <w:divBdr>
                    <w:top w:val="none" w:sz="0" w:space="0" w:color="auto"/>
                    <w:left w:val="none" w:sz="0" w:space="0" w:color="auto"/>
                    <w:bottom w:val="none" w:sz="0" w:space="0" w:color="auto"/>
                    <w:right w:val="none" w:sz="0" w:space="0" w:color="auto"/>
                  </w:divBdr>
                  <w:divsChild>
                    <w:div w:id="1716199879">
                      <w:marLeft w:val="0"/>
                      <w:marRight w:val="0"/>
                      <w:marTop w:val="0"/>
                      <w:marBottom w:val="0"/>
                      <w:divBdr>
                        <w:top w:val="none" w:sz="0" w:space="0" w:color="auto"/>
                        <w:left w:val="none" w:sz="0" w:space="0" w:color="auto"/>
                        <w:bottom w:val="none" w:sz="0" w:space="0" w:color="auto"/>
                        <w:right w:val="none" w:sz="0" w:space="0" w:color="auto"/>
                      </w:divBdr>
                    </w:div>
                  </w:divsChild>
                </w:div>
                <w:div w:id="1438259419">
                  <w:marLeft w:val="0"/>
                  <w:marRight w:val="0"/>
                  <w:marTop w:val="0"/>
                  <w:marBottom w:val="0"/>
                  <w:divBdr>
                    <w:top w:val="none" w:sz="0" w:space="0" w:color="auto"/>
                    <w:left w:val="none" w:sz="0" w:space="0" w:color="auto"/>
                    <w:bottom w:val="none" w:sz="0" w:space="0" w:color="auto"/>
                    <w:right w:val="none" w:sz="0" w:space="0" w:color="auto"/>
                  </w:divBdr>
                  <w:divsChild>
                    <w:div w:id="1256549185">
                      <w:marLeft w:val="0"/>
                      <w:marRight w:val="0"/>
                      <w:marTop w:val="0"/>
                      <w:marBottom w:val="0"/>
                      <w:divBdr>
                        <w:top w:val="none" w:sz="0" w:space="0" w:color="auto"/>
                        <w:left w:val="none" w:sz="0" w:space="0" w:color="auto"/>
                        <w:bottom w:val="none" w:sz="0" w:space="0" w:color="auto"/>
                        <w:right w:val="none" w:sz="0" w:space="0" w:color="auto"/>
                      </w:divBdr>
                    </w:div>
                  </w:divsChild>
                </w:div>
                <w:div w:id="1452164894">
                  <w:marLeft w:val="0"/>
                  <w:marRight w:val="0"/>
                  <w:marTop w:val="0"/>
                  <w:marBottom w:val="0"/>
                  <w:divBdr>
                    <w:top w:val="none" w:sz="0" w:space="0" w:color="auto"/>
                    <w:left w:val="none" w:sz="0" w:space="0" w:color="auto"/>
                    <w:bottom w:val="none" w:sz="0" w:space="0" w:color="auto"/>
                    <w:right w:val="none" w:sz="0" w:space="0" w:color="auto"/>
                  </w:divBdr>
                  <w:divsChild>
                    <w:div w:id="2009088430">
                      <w:marLeft w:val="0"/>
                      <w:marRight w:val="0"/>
                      <w:marTop w:val="0"/>
                      <w:marBottom w:val="0"/>
                      <w:divBdr>
                        <w:top w:val="none" w:sz="0" w:space="0" w:color="auto"/>
                        <w:left w:val="none" w:sz="0" w:space="0" w:color="auto"/>
                        <w:bottom w:val="none" w:sz="0" w:space="0" w:color="auto"/>
                        <w:right w:val="none" w:sz="0" w:space="0" w:color="auto"/>
                      </w:divBdr>
                    </w:div>
                  </w:divsChild>
                </w:div>
                <w:div w:id="1457334816">
                  <w:marLeft w:val="0"/>
                  <w:marRight w:val="0"/>
                  <w:marTop w:val="0"/>
                  <w:marBottom w:val="0"/>
                  <w:divBdr>
                    <w:top w:val="none" w:sz="0" w:space="0" w:color="auto"/>
                    <w:left w:val="none" w:sz="0" w:space="0" w:color="auto"/>
                    <w:bottom w:val="none" w:sz="0" w:space="0" w:color="auto"/>
                    <w:right w:val="none" w:sz="0" w:space="0" w:color="auto"/>
                  </w:divBdr>
                  <w:divsChild>
                    <w:div w:id="1504666757">
                      <w:marLeft w:val="0"/>
                      <w:marRight w:val="0"/>
                      <w:marTop w:val="0"/>
                      <w:marBottom w:val="0"/>
                      <w:divBdr>
                        <w:top w:val="none" w:sz="0" w:space="0" w:color="auto"/>
                        <w:left w:val="none" w:sz="0" w:space="0" w:color="auto"/>
                        <w:bottom w:val="none" w:sz="0" w:space="0" w:color="auto"/>
                        <w:right w:val="none" w:sz="0" w:space="0" w:color="auto"/>
                      </w:divBdr>
                    </w:div>
                  </w:divsChild>
                </w:div>
                <w:div w:id="1493568114">
                  <w:marLeft w:val="0"/>
                  <w:marRight w:val="0"/>
                  <w:marTop w:val="0"/>
                  <w:marBottom w:val="0"/>
                  <w:divBdr>
                    <w:top w:val="none" w:sz="0" w:space="0" w:color="auto"/>
                    <w:left w:val="none" w:sz="0" w:space="0" w:color="auto"/>
                    <w:bottom w:val="none" w:sz="0" w:space="0" w:color="auto"/>
                    <w:right w:val="none" w:sz="0" w:space="0" w:color="auto"/>
                  </w:divBdr>
                  <w:divsChild>
                    <w:div w:id="17702059">
                      <w:marLeft w:val="0"/>
                      <w:marRight w:val="0"/>
                      <w:marTop w:val="0"/>
                      <w:marBottom w:val="0"/>
                      <w:divBdr>
                        <w:top w:val="none" w:sz="0" w:space="0" w:color="auto"/>
                        <w:left w:val="none" w:sz="0" w:space="0" w:color="auto"/>
                        <w:bottom w:val="none" w:sz="0" w:space="0" w:color="auto"/>
                        <w:right w:val="none" w:sz="0" w:space="0" w:color="auto"/>
                      </w:divBdr>
                    </w:div>
                  </w:divsChild>
                </w:div>
                <w:div w:id="1504783628">
                  <w:marLeft w:val="0"/>
                  <w:marRight w:val="0"/>
                  <w:marTop w:val="0"/>
                  <w:marBottom w:val="0"/>
                  <w:divBdr>
                    <w:top w:val="none" w:sz="0" w:space="0" w:color="auto"/>
                    <w:left w:val="none" w:sz="0" w:space="0" w:color="auto"/>
                    <w:bottom w:val="none" w:sz="0" w:space="0" w:color="auto"/>
                    <w:right w:val="none" w:sz="0" w:space="0" w:color="auto"/>
                  </w:divBdr>
                  <w:divsChild>
                    <w:div w:id="1664046986">
                      <w:marLeft w:val="0"/>
                      <w:marRight w:val="0"/>
                      <w:marTop w:val="0"/>
                      <w:marBottom w:val="0"/>
                      <w:divBdr>
                        <w:top w:val="none" w:sz="0" w:space="0" w:color="auto"/>
                        <w:left w:val="none" w:sz="0" w:space="0" w:color="auto"/>
                        <w:bottom w:val="none" w:sz="0" w:space="0" w:color="auto"/>
                        <w:right w:val="none" w:sz="0" w:space="0" w:color="auto"/>
                      </w:divBdr>
                    </w:div>
                  </w:divsChild>
                </w:div>
                <w:div w:id="1527712324">
                  <w:marLeft w:val="0"/>
                  <w:marRight w:val="0"/>
                  <w:marTop w:val="0"/>
                  <w:marBottom w:val="0"/>
                  <w:divBdr>
                    <w:top w:val="none" w:sz="0" w:space="0" w:color="auto"/>
                    <w:left w:val="none" w:sz="0" w:space="0" w:color="auto"/>
                    <w:bottom w:val="none" w:sz="0" w:space="0" w:color="auto"/>
                    <w:right w:val="none" w:sz="0" w:space="0" w:color="auto"/>
                  </w:divBdr>
                  <w:divsChild>
                    <w:div w:id="1347102375">
                      <w:marLeft w:val="0"/>
                      <w:marRight w:val="0"/>
                      <w:marTop w:val="0"/>
                      <w:marBottom w:val="0"/>
                      <w:divBdr>
                        <w:top w:val="none" w:sz="0" w:space="0" w:color="auto"/>
                        <w:left w:val="none" w:sz="0" w:space="0" w:color="auto"/>
                        <w:bottom w:val="none" w:sz="0" w:space="0" w:color="auto"/>
                        <w:right w:val="none" w:sz="0" w:space="0" w:color="auto"/>
                      </w:divBdr>
                    </w:div>
                  </w:divsChild>
                </w:div>
                <w:div w:id="1531989940">
                  <w:marLeft w:val="0"/>
                  <w:marRight w:val="0"/>
                  <w:marTop w:val="0"/>
                  <w:marBottom w:val="0"/>
                  <w:divBdr>
                    <w:top w:val="none" w:sz="0" w:space="0" w:color="auto"/>
                    <w:left w:val="none" w:sz="0" w:space="0" w:color="auto"/>
                    <w:bottom w:val="none" w:sz="0" w:space="0" w:color="auto"/>
                    <w:right w:val="none" w:sz="0" w:space="0" w:color="auto"/>
                  </w:divBdr>
                  <w:divsChild>
                    <w:div w:id="1365211784">
                      <w:marLeft w:val="0"/>
                      <w:marRight w:val="0"/>
                      <w:marTop w:val="0"/>
                      <w:marBottom w:val="0"/>
                      <w:divBdr>
                        <w:top w:val="none" w:sz="0" w:space="0" w:color="auto"/>
                        <w:left w:val="none" w:sz="0" w:space="0" w:color="auto"/>
                        <w:bottom w:val="none" w:sz="0" w:space="0" w:color="auto"/>
                        <w:right w:val="none" w:sz="0" w:space="0" w:color="auto"/>
                      </w:divBdr>
                    </w:div>
                  </w:divsChild>
                </w:div>
                <w:div w:id="1597207284">
                  <w:marLeft w:val="0"/>
                  <w:marRight w:val="0"/>
                  <w:marTop w:val="0"/>
                  <w:marBottom w:val="0"/>
                  <w:divBdr>
                    <w:top w:val="none" w:sz="0" w:space="0" w:color="auto"/>
                    <w:left w:val="none" w:sz="0" w:space="0" w:color="auto"/>
                    <w:bottom w:val="none" w:sz="0" w:space="0" w:color="auto"/>
                    <w:right w:val="none" w:sz="0" w:space="0" w:color="auto"/>
                  </w:divBdr>
                  <w:divsChild>
                    <w:div w:id="1693141250">
                      <w:marLeft w:val="0"/>
                      <w:marRight w:val="0"/>
                      <w:marTop w:val="0"/>
                      <w:marBottom w:val="0"/>
                      <w:divBdr>
                        <w:top w:val="none" w:sz="0" w:space="0" w:color="auto"/>
                        <w:left w:val="none" w:sz="0" w:space="0" w:color="auto"/>
                        <w:bottom w:val="none" w:sz="0" w:space="0" w:color="auto"/>
                        <w:right w:val="none" w:sz="0" w:space="0" w:color="auto"/>
                      </w:divBdr>
                    </w:div>
                  </w:divsChild>
                </w:div>
                <w:div w:id="1613048857">
                  <w:marLeft w:val="0"/>
                  <w:marRight w:val="0"/>
                  <w:marTop w:val="0"/>
                  <w:marBottom w:val="0"/>
                  <w:divBdr>
                    <w:top w:val="none" w:sz="0" w:space="0" w:color="auto"/>
                    <w:left w:val="none" w:sz="0" w:space="0" w:color="auto"/>
                    <w:bottom w:val="none" w:sz="0" w:space="0" w:color="auto"/>
                    <w:right w:val="none" w:sz="0" w:space="0" w:color="auto"/>
                  </w:divBdr>
                  <w:divsChild>
                    <w:div w:id="26956114">
                      <w:marLeft w:val="0"/>
                      <w:marRight w:val="0"/>
                      <w:marTop w:val="0"/>
                      <w:marBottom w:val="0"/>
                      <w:divBdr>
                        <w:top w:val="none" w:sz="0" w:space="0" w:color="auto"/>
                        <w:left w:val="none" w:sz="0" w:space="0" w:color="auto"/>
                        <w:bottom w:val="none" w:sz="0" w:space="0" w:color="auto"/>
                        <w:right w:val="none" w:sz="0" w:space="0" w:color="auto"/>
                      </w:divBdr>
                    </w:div>
                  </w:divsChild>
                </w:div>
                <w:div w:id="1627738061">
                  <w:marLeft w:val="0"/>
                  <w:marRight w:val="0"/>
                  <w:marTop w:val="0"/>
                  <w:marBottom w:val="0"/>
                  <w:divBdr>
                    <w:top w:val="none" w:sz="0" w:space="0" w:color="auto"/>
                    <w:left w:val="none" w:sz="0" w:space="0" w:color="auto"/>
                    <w:bottom w:val="none" w:sz="0" w:space="0" w:color="auto"/>
                    <w:right w:val="none" w:sz="0" w:space="0" w:color="auto"/>
                  </w:divBdr>
                  <w:divsChild>
                    <w:div w:id="1222013158">
                      <w:marLeft w:val="0"/>
                      <w:marRight w:val="0"/>
                      <w:marTop w:val="0"/>
                      <w:marBottom w:val="0"/>
                      <w:divBdr>
                        <w:top w:val="none" w:sz="0" w:space="0" w:color="auto"/>
                        <w:left w:val="none" w:sz="0" w:space="0" w:color="auto"/>
                        <w:bottom w:val="none" w:sz="0" w:space="0" w:color="auto"/>
                        <w:right w:val="none" w:sz="0" w:space="0" w:color="auto"/>
                      </w:divBdr>
                    </w:div>
                  </w:divsChild>
                </w:div>
                <w:div w:id="1661273187">
                  <w:marLeft w:val="0"/>
                  <w:marRight w:val="0"/>
                  <w:marTop w:val="0"/>
                  <w:marBottom w:val="0"/>
                  <w:divBdr>
                    <w:top w:val="none" w:sz="0" w:space="0" w:color="auto"/>
                    <w:left w:val="none" w:sz="0" w:space="0" w:color="auto"/>
                    <w:bottom w:val="none" w:sz="0" w:space="0" w:color="auto"/>
                    <w:right w:val="none" w:sz="0" w:space="0" w:color="auto"/>
                  </w:divBdr>
                  <w:divsChild>
                    <w:div w:id="422185660">
                      <w:marLeft w:val="0"/>
                      <w:marRight w:val="0"/>
                      <w:marTop w:val="0"/>
                      <w:marBottom w:val="0"/>
                      <w:divBdr>
                        <w:top w:val="none" w:sz="0" w:space="0" w:color="auto"/>
                        <w:left w:val="none" w:sz="0" w:space="0" w:color="auto"/>
                        <w:bottom w:val="none" w:sz="0" w:space="0" w:color="auto"/>
                        <w:right w:val="none" w:sz="0" w:space="0" w:color="auto"/>
                      </w:divBdr>
                    </w:div>
                  </w:divsChild>
                </w:div>
                <w:div w:id="1676689394">
                  <w:marLeft w:val="0"/>
                  <w:marRight w:val="0"/>
                  <w:marTop w:val="0"/>
                  <w:marBottom w:val="0"/>
                  <w:divBdr>
                    <w:top w:val="none" w:sz="0" w:space="0" w:color="auto"/>
                    <w:left w:val="none" w:sz="0" w:space="0" w:color="auto"/>
                    <w:bottom w:val="none" w:sz="0" w:space="0" w:color="auto"/>
                    <w:right w:val="none" w:sz="0" w:space="0" w:color="auto"/>
                  </w:divBdr>
                  <w:divsChild>
                    <w:div w:id="1527252838">
                      <w:marLeft w:val="0"/>
                      <w:marRight w:val="0"/>
                      <w:marTop w:val="0"/>
                      <w:marBottom w:val="0"/>
                      <w:divBdr>
                        <w:top w:val="none" w:sz="0" w:space="0" w:color="auto"/>
                        <w:left w:val="none" w:sz="0" w:space="0" w:color="auto"/>
                        <w:bottom w:val="none" w:sz="0" w:space="0" w:color="auto"/>
                        <w:right w:val="none" w:sz="0" w:space="0" w:color="auto"/>
                      </w:divBdr>
                    </w:div>
                  </w:divsChild>
                </w:div>
                <w:div w:id="1753316292">
                  <w:marLeft w:val="0"/>
                  <w:marRight w:val="0"/>
                  <w:marTop w:val="0"/>
                  <w:marBottom w:val="0"/>
                  <w:divBdr>
                    <w:top w:val="none" w:sz="0" w:space="0" w:color="auto"/>
                    <w:left w:val="none" w:sz="0" w:space="0" w:color="auto"/>
                    <w:bottom w:val="none" w:sz="0" w:space="0" w:color="auto"/>
                    <w:right w:val="none" w:sz="0" w:space="0" w:color="auto"/>
                  </w:divBdr>
                  <w:divsChild>
                    <w:div w:id="942151951">
                      <w:marLeft w:val="0"/>
                      <w:marRight w:val="0"/>
                      <w:marTop w:val="0"/>
                      <w:marBottom w:val="0"/>
                      <w:divBdr>
                        <w:top w:val="none" w:sz="0" w:space="0" w:color="auto"/>
                        <w:left w:val="none" w:sz="0" w:space="0" w:color="auto"/>
                        <w:bottom w:val="none" w:sz="0" w:space="0" w:color="auto"/>
                        <w:right w:val="none" w:sz="0" w:space="0" w:color="auto"/>
                      </w:divBdr>
                    </w:div>
                  </w:divsChild>
                </w:div>
                <w:div w:id="1791322030">
                  <w:marLeft w:val="0"/>
                  <w:marRight w:val="0"/>
                  <w:marTop w:val="0"/>
                  <w:marBottom w:val="0"/>
                  <w:divBdr>
                    <w:top w:val="none" w:sz="0" w:space="0" w:color="auto"/>
                    <w:left w:val="none" w:sz="0" w:space="0" w:color="auto"/>
                    <w:bottom w:val="none" w:sz="0" w:space="0" w:color="auto"/>
                    <w:right w:val="none" w:sz="0" w:space="0" w:color="auto"/>
                  </w:divBdr>
                  <w:divsChild>
                    <w:div w:id="1215312382">
                      <w:marLeft w:val="0"/>
                      <w:marRight w:val="0"/>
                      <w:marTop w:val="0"/>
                      <w:marBottom w:val="0"/>
                      <w:divBdr>
                        <w:top w:val="none" w:sz="0" w:space="0" w:color="auto"/>
                        <w:left w:val="none" w:sz="0" w:space="0" w:color="auto"/>
                        <w:bottom w:val="none" w:sz="0" w:space="0" w:color="auto"/>
                        <w:right w:val="none" w:sz="0" w:space="0" w:color="auto"/>
                      </w:divBdr>
                    </w:div>
                  </w:divsChild>
                </w:div>
                <w:div w:id="1803421758">
                  <w:marLeft w:val="0"/>
                  <w:marRight w:val="0"/>
                  <w:marTop w:val="0"/>
                  <w:marBottom w:val="0"/>
                  <w:divBdr>
                    <w:top w:val="none" w:sz="0" w:space="0" w:color="auto"/>
                    <w:left w:val="none" w:sz="0" w:space="0" w:color="auto"/>
                    <w:bottom w:val="none" w:sz="0" w:space="0" w:color="auto"/>
                    <w:right w:val="none" w:sz="0" w:space="0" w:color="auto"/>
                  </w:divBdr>
                  <w:divsChild>
                    <w:div w:id="71048734">
                      <w:marLeft w:val="0"/>
                      <w:marRight w:val="0"/>
                      <w:marTop w:val="0"/>
                      <w:marBottom w:val="0"/>
                      <w:divBdr>
                        <w:top w:val="none" w:sz="0" w:space="0" w:color="auto"/>
                        <w:left w:val="none" w:sz="0" w:space="0" w:color="auto"/>
                        <w:bottom w:val="none" w:sz="0" w:space="0" w:color="auto"/>
                        <w:right w:val="none" w:sz="0" w:space="0" w:color="auto"/>
                      </w:divBdr>
                    </w:div>
                  </w:divsChild>
                </w:div>
                <w:div w:id="1819609335">
                  <w:marLeft w:val="0"/>
                  <w:marRight w:val="0"/>
                  <w:marTop w:val="0"/>
                  <w:marBottom w:val="0"/>
                  <w:divBdr>
                    <w:top w:val="none" w:sz="0" w:space="0" w:color="auto"/>
                    <w:left w:val="none" w:sz="0" w:space="0" w:color="auto"/>
                    <w:bottom w:val="none" w:sz="0" w:space="0" w:color="auto"/>
                    <w:right w:val="none" w:sz="0" w:space="0" w:color="auto"/>
                  </w:divBdr>
                  <w:divsChild>
                    <w:div w:id="2065595300">
                      <w:marLeft w:val="0"/>
                      <w:marRight w:val="0"/>
                      <w:marTop w:val="0"/>
                      <w:marBottom w:val="0"/>
                      <w:divBdr>
                        <w:top w:val="none" w:sz="0" w:space="0" w:color="auto"/>
                        <w:left w:val="none" w:sz="0" w:space="0" w:color="auto"/>
                        <w:bottom w:val="none" w:sz="0" w:space="0" w:color="auto"/>
                        <w:right w:val="none" w:sz="0" w:space="0" w:color="auto"/>
                      </w:divBdr>
                    </w:div>
                  </w:divsChild>
                </w:div>
                <w:div w:id="1824082875">
                  <w:marLeft w:val="0"/>
                  <w:marRight w:val="0"/>
                  <w:marTop w:val="0"/>
                  <w:marBottom w:val="0"/>
                  <w:divBdr>
                    <w:top w:val="none" w:sz="0" w:space="0" w:color="auto"/>
                    <w:left w:val="none" w:sz="0" w:space="0" w:color="auto"/>
                    <w:bottom w:val="none" w:sz="0" w:space="0" w:color="auto"/>
                    <w:right w:val="none" w:sz="0" w:space="0" w:color="auto"/>
                  </w:divBdr>
                  <w:divsChild>
                    <w:div w:id="672731647">
                      <w:marLeft w:val="0"/>
                      <w:marRight w:val="0"/>
                      <w:marTop w:val="0"/>
                      <w:marBottom w:val="0"/>
                      <w:divBdr>
                        <w:top w:val="none" w:sz="0" w:space="0" w:color="auto"/>
                        <w:left w:val="none" w:sz="0" w:space="0" w:color="auto"/>
                        <w:bottom w:val="none" w:sz="0" w:space="0" w:color="auto"/>
                        <w:right w:val="none" w:sz="0" w:space="0" w:color="auto"/>
                      </w:divBdr>
                    </w:div>
                  </w:divsChild>
                </w:div>
                <w:div w:id="1835610917">
                  <w:marLeft w:val="0"/>
                  <w:marRight w:val="0"/>
                  <w:marTop w:val="0"/>
                  <w:marBottom w:val="0"/>
                  <w:divBdr>
                    <w:top w:val="none" w:sz="0" w:space="0" w:color="auto"/>
                    <w:left w:val="none" w:sz="0" w:space="0" w:color="auto"/>
                    <w:bottom w:val="none" w:sz="0" w:space="0" w:color="auto"/>
                    <w:right w:val="none" w:sz="0" w:space="0" w:color="auto"/>
                  </w:divBdr>
                  <w:divsChild>
                    <w:div w:id="1529954571">
                      <w:marLeft w:val="0"/>
                      <w:marRight w:val="0"/>
                      <w:marTop w:val="0"/>
                      <w:marBottom w:val="0"/>
                      <w:divBdr>
                        <w:top w:val="none" w:sz="0" w:space="0" w:color="auto"/>
                        <w:left w:val="none" w:sz="0" w:space="0" w:color="auto"/>
                        <w:bottom w:val="none" w:sz="0" w:space="0" w:color="auto"/>
                        <w:right w:val="none" w:sz="0" w:space="0" w:color="auto"/>
                      </w:divBdr>
                    </w:div>
                  </w:divsChild>
                </w:div>
                <w:div w:id="1868371754">
                  <w:marLeft w:val="0"/>
                  <w:marRight w:val="0"/>
                  <w:marTop w:val="0"/>
                  <w:marBottom w:val="0"/>
                  <w:divBdr>
                    <w:top w:val="none" w:sz="0" w:space="0" w:color="auto"/>
                    <w:left w:val="none" w:sz="0" w:space="0" w:color="auto"/>
                    <w:bottom w:val="none" w:sz="0" w:space="0" w:color="auto"/>
                    <w:right w:val="none" w:sz="0" w:space="0" w:color="auto"/>
                  </w:divBdr>
                  <w:divsChild>
                    <w:div w:id="1534876458">
                      <w:marLeft w:val="0"/>
                      <w:marRight w:val="0"/>
                      <w:marTop w:val="0"/>
                      <w:marBottom w:val="0"/>
                      <w:divBdr>
                        <w:top w:val="none" w:sz="0" w:space="0" w:color="auto"/>
                        <w:left w:val="none" w:sz="0" w:space="0" w:color="auto"/>
                        <w:bottom w:val="none" w:sz="0" w:space="0" w:color="auto"/>
                        <w:right w:val="none" w:sz="0" w:space="0" w:color="auto"/>
                      </w:divBdr>
                    </w:div>
                  </w:divsChild>
                </w:div>
                <w:div w:id="1948350431">
                  <w:marLeft w:val="0"/>
                  <w:marRight w:val="0"/>
                  <w:marTop w:val="0"/>
                  <w:marBottom w:val="0"/>
                  <w:divBdr>
                    <w:top w:val="none" w:sz="0" w:space="0" w:color="auto"/>
                    <w:left w:val="none" w:sz="0" w:space="0" w:color="auto"/>
                    <w:bottom w:val="none" w:sz="0" w:space="0" w:color="auto"/>
                    <w:right w:val="none" w:sz="0" w:space="0" w:color="auto"/>
                  </w:divBdr>
                  <w:divsChild>
                    <w:div w:id="1603294500">
                      <w:marLeft w:val="0"/>
                      <w:marRight w:val="0"/>
                      <w:marTop w:val="0"/>
                      <w:marBottom w:val="0"/>
                      <w:divBdr>
                        <w:top w:val="none" w:sz="0" w:space="0" w:color="auto"/>
                        <w:left w:val="none" w:sz="0" w:space="0" w:color="auto"/>
                        <w:bottom w:val="none" w:sz="0" w:space="0" w:color="auto"/>
                        <w:right w:val="none" w:sz="0" w:space="0" w:color="auto"/>
                      </w:divBdr>
                    </w:div>
                  </w:divsChild>
                </w:div>
                <w:div w:id="1987780070">
                  <w:marLeft w:val="0"/>
                  <w:marRight w:val="0"/>
                  <w:marTop w:val="0"/>
                  <w:marBottom w:val="0"/>
                  <w:divBdr>
                    <w:top w:val="none" w:sz="0" w:space="0" w:color="auto"/>
                    <w:left w:val="none" w:sz="0" w:space="0" w:color="auto"/>
                    <w:bottom w:val="none" w:sz="0" w:space="0" w:color="auto"/>
                    <w:right w:val="none" w:sz="0" w:space="0" w:color="auto"/>
                  </w:divBdr>
                  <w:divsChild>
                    <w:div w:id="1021663758">
                      <w:marLeft w:val="0"/>
                      <w:marRight w:val="0"/>
                      <w:marTop w:val="0"/>
                      <w:marBottom w:val="0"/>
                      <w:divBdr>
                        <w:top w:val="none" w:sz="0" w:space="0" w:color="auto"/>
                        <w:left w:val="none" w:sz="0" w:space="0" w:color="auto"/>
                        <w:bottom w:val="none" w:sz="0" w:space="0" w:color="auto"/>
                        <w:right w:val="none" w:sz="0" w:space="0" w:color="auto"/>
                      </w:divBdr>
                    </w:div>
                  </w:divsChild>
                </w:div>
                <w:div w:id="1988628165">
                  <w:marLeft w:val="0"/>
                  <w:marRight w:val="0"/>
                  <w:marTop w:val="0"/>
                  <w:marBottom w:val="0"/>
                  <w:divBdr>
                    <w:top w:val="none" w:sz="0" w:space="0" w:color="auto"/>
                    <w:left w:val="none" w:sz="0" w:space="0" w:color="auto"/>
                    <w:bottom w:val="none" w:sz="0" w:space="0" w:color="auto"/>
                    <w:right w:val="none" w:sz="0" w:space="0" w:color="auto"/>
                  </w:divBdr>
                  <w:divsChild>
                    <w:div w:id="1856962850">
                      <w:marLeft w:val="0"/>
                      <w:marRight w:val="0"/>
                      <w:marTop w:val="0"/>
                      <w:marBottom w:val="0"/>
                      <w:divBdr>
                        <w:top w:val="none" w:sz="0" w:space="0" w:color="auto"/>
                        <w:left w:val="none" w:sz="0" w:space="0" w:color="auto"/>
                        <w:bottom w:val="none" w:sz="0" w:space="0" w:color="auto"/>
                        <w:right w:val="none" w:sz="0" w:space="0" w:color="auto"/>
                      </w:divBdr>
                    </w:div>
                  </w:divsChild>
                </w:div>
                <w:div w:id="2004969156">
                  <w:marLeft w:val="0"/>
                  <w:marRight w:val="0"/>
                  <w:marTop w:val="0"/>
                  <w:marBottom w:val="0"/>
                  <w:divBdr>
                    <w:top w:val="none" w:sz="0" w:space="0" w:color="auto"/>
                    <w:left w:val="none" w:sz="0" w:space="0" w:color="auto"/>
                    <w:bottom w:val="none" w:sz="0" w:space="0" w:color="auto"/>
                    <w:right w:val="none" w:sz="0" w:space="0" w:color="auto"/>
                  </w:divBdr>
                  <w:divsChild>
                    <w:div w:id="764232658">
                      <w:marLeft w:val="0"/>
                      <w:marRight w:val="0"/>
                      <w:marTop w:val="0"/>
                      <w:marBottom w:val="0"/>
                      <w:divBdr>
                        <w:top w:val="none" w:sz="0" w:space="0" w:color="auto"/>
                        <w:left w:val="none" w:sz="0" w:space="0" w:color="auto"/>
                        <w:bottom w:val="none" w:sz="0" w:space="0" w:color="auto"/>
                        <w:right w:val="none" w:sz="0" w:space="0" w:color="auto"/>
                      </w:divBdr>
                    </w:div>
                  </w:divsChild>
                </w:div>
                <w:div w:id="2009094815">
                  <w:marLeft w:val="0"/>
                  <w:marRight w:val="0"/>
                  <w:marTop w:val="0"/>
                  <w:marBottom w:val="0"/>
                  <w:divBdr>
                    <w:top w:val="none" w:sz="0" w:space="0" w:color="auto"/>
                    <w:left w:val="none" w:sz="0" w:space="0" w:color="auto"/>
                    <w:bottom w:val="none" w:sz="0" w:space="0" w:color="auto"/>
                    <w:right w:val="none" w:sz="0" w:space="0" w:color="auto"/>
                  </w:divBdr>
                  <w:divsChild>
                    <w:div w:id="692532871">
                      <w:marLeft w:val="0"/>
                      <w:marRight w:val="0"/>
                      <w:marTop w:val="0"/>
                      <w:marBottom w:val="0"/>
                      <w:divBdr>
                        <w:top w:val="none" w:sz="0" w:space="0" w:color="auto"/>
                        <w:left w:val="none" w:sz="0" w:space="0" w:color="auto"/>
                        <w:bottom w:val="none" w:sz="0" w:space="0" w:color="auto"/>
                        <w:right w:val="none" w:sz="0" w:space="0" w:color="auto"/>
                      </w:divBdr>
                    </w:div>
                  </w:divsChild>
                </w:div>
                <w:div w:id="2068911083">
                  <w:marLeft w:val="0"/>
                  <w:marRight w:val="0"/>
                  <w:marTop w:val="0"/>
                  <w:marBottom w:val="0"/>
                  <w:divBdr>
                    <w:top w:val="none" w:sz="0" w:space="0" w:color="auto"/>
                    <w:left w:val="none" w:sz="0" w:space="0" w:color="auto"/>
                    <w:bottom w:val="none" w:sz="0" w:space="0" w:color="auto"/>
                    <w:right w:val="none" w:sz="0" w:space="0" w:color="auto"/>
                  </w:divBdr>
                  <w:divsChild>
                    <w:div w:id="763646381">
                      <w:marLeft w:val="0"/>
                      <w:marRight w:val="0"/>
                      <w:marTop w:val="0"/>
                      <w:marBottom w:val="0"/>
                      <w:divBdr>
                        <w:top w:val="none" w:sz="0" w:space="0" w:color="auto"/>
                        <w:left w:val="none" w:sz="0" w:space="0" w:color="auto"/>
                        <w:bottom w:val="none" w:sz="0" w:space="0" w:color="auto"/>
                        <w:right w:val="none" w:sz="0" w:space="0" w:color="auto"/>
                      </w:divBdr>
                    </w:div>
                  </w:divsChild>
                </w:div>
                <w:div w:id="2098940562">
                  <w:marLeft w:val="0"/>
                  <w:marRight w:val="0"/>
                  <w:marTop w:val="0"/>
                  <w:marBottom w:val="0"/>
                  <w:divBdr>
                    <w:top w:val="none" w:sz="0" w:space="0" w:color="auto"/>
                    <w:left w:val="none" w:sz="0" w:space="0" w:color="auto"/>
                    <w:bottom w:val="none" w:sz="0" w:space="0" w:color="auto"/>
                    <w:right w:val="none" w:sz="0" w:space="0" w:color="auto"/>
                  </w:divBdr>
                  <w:divsChild>
                    <w:div w:id="739134336">
                      <w:marLeft w:val="0"/>
                      <w:marRight w:val="0"/>
                      <w:marTop w:val="0"/>
                      <w:marBottom w:val="0"/>
                      <w:divBdr>
                        <w:top w:val="none" w:sz="0" w:space="0" w:color="auto"/>
                        <w:left w:val="none" w:sz="0" w:space="0" w:color="auto"/>
                        <w:bottom w:val="none" w:sz="0" w:space="0" w:color="auto"/>
                        <w:right w:val="none" w:sz="0" w:space="0" w:color="auto"/>
                      </w:divBdr>
                    </w:div>
                  </w:divsChild>
                </w:div>
                <w:div w:id="2137527307">
                  <w:marLeft w:val="0"/>
                  <w:marRight w:val="0"/>
                  <w:marTop w:val="0"/>
                  <w:marBottom w:val="0"/>
                  <w:divBdr>
                    <w:top w:val="none" w:sz="0" w:space="0" w:color="auto"/>
                    <w:left w:val="none" w:sz="0" w:space="0" w:color="auto"/>
                    <w:bottom w:val="none" w:sz="0" w:space="0" w:color="auto"/>
                    <w:right w:val="none" w:sz="0" w:space="0" w:color="auto"/>
                  </w:divBdr>
                  <w:divsChild>
                    <w:div w:id="8508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74660">
          <w:marLeft w:val="0"/>
          <w:marRight w:val="0"/>
          <w:marTop w:val="0"/>
          <w:marBottom w:val="0"/>
          <w:divBdr>
            <w:top w:val="none" w:sz="0" w:space="0" w:color="auto"/>
            <w:left w:val="none" w:sz="0" w:space="0" w:color="auto"/>
            <w:bottom w:val="none" w:sz="0" w:space="0" w:color="auto"/>
            <w:right w:val="none" w:sz="0" w:space="0" w:color="auto"/>
          </w:divBdr>
        </w:div>
      </w:divsChild>
    </w:div>
    <w:div w:id="515071828">
      <w:bodyDiv w:val="1"/>
      <w:marLeft w:val="0"/>
      <w:marRight w:val="0"/>
      <w:marTop w:val="0"/>
      <w:marBottom w:val="0"/>
      <w:divBdr>
        <w:top w:val="none" w:sz="0" w:space="0" w:color="auto"/>
        <w:left w:val="none" w:sz="0" w:space="0" w:color="auto"/>
        <w:bottom w:val="none" w:sz="0" w:space="0" w:color="auto"/>
        <w:right w:val="none" w:sz="0" w:space="0" w:color="auto"/>
      </w:divBdr>
    </w:div>
    <w:div w:id="520315689">
      <w:bodyDiv w:val="1"/>
      <w:marLeft w:val="0"/>
      <w:marRight w:val="0"/>
      <w:marTop w:val="0"/>
      <w:marBottom w:val="0"/>
      <w:divBdr>
        <w:top w:val="none" w:sz="0" w:space="0" w:color="auto"/>
        <w:left w:val="none" w:sz="0" w:space="0" w:color="auto"/>
        <w:bottom w:val="none" w:sz="0" w:space="0" w:color="auto"/>
        <w:right w:val="none" w:sz="0" w:space="0" w:color="auto"/>
      </w:divBdr>
    </w:div>
    <w:div w:id="620190512">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 w:id="741218833">
      <w:bodyDiv w:val="1"/>
      <w:marLeft w:val="0"/>
      <w:marRight w:val="0"/>
      <w:marTop w:val="0"/>
      <w:marBottom w:val="0"/>
      <w:divBdr>
        <w:top w:val="none" w:sz="0" w:space="0" w:color="auto"/>
        <w:left w:val="none" w:sz="0" w:space="0" w:color="auto"/>
        <w:bottom w:val="none" w:sz="0" w:space="0" w:color="auto"/>
        <w:right w:val="none" w:sz="0" w:space="0" w:color="auto"/>
      </w:divBdr>
    </w:div>
    <w:div w:id="775056688">
      <w:bodyDiv w:val="1"/>
      <w:marLeft w:val="0"/>
      <w:marRight w:val="0"/>
      <w:marTop w:val="0"/>
      <w:marBottom w:val="0"/>
      <w:divBdr>
        <w:top w:val="none" w:sz="0" w:space="0" w:color="auto"/>
        <w:left w:val="none" w:sz="0" w:space="0" w:color="auto"/>
        <w:bottom w:val="none" w:sz="0" w:space="0" w:color="auto"/>
        <w:right w:val="none" w:sz="0" w:space="0" w:color="auto"/>
      </w:divBdr>
    </w:div>
    <w:div w:id="899637531">
      <w:bodyDiv w:val="1"/>
      <w:marLeft w:val="0"/>
      <w:marRight w:val="0"/>
      <w:marTop w:val="0"/>
      <w:marBottom w:val="0"/>
      <w:divBdr>
        <w:top w:val="none" w:sz="0" w:space="0" w:color="auto"/>
        <w:left w:val="none" w:sz="0" w:space="0" w:color="auto"/>
        <w:bottom w:val="none" w:sz="0" w:space="0" w:color="auto"/>
        <w:right w:val="none" w:sz="0" w:space="0" w:color="auto"/>
      </w:divBdr>
    </w:div>
    <w:div w:id="912088206">
      <w:bodyDiv w:val="1"/>
      <w:marLeft w:val="0"/>
      <w:marRight w:val="0"/>
      <w:marTop w:val="0"/>
      <w:marBottom w:val="0"/>
      <w:divBdr>
        <w:top w:val="none" w:sz="0" w:space="0" w:color="auto"/>
        <w:left w:val="none" w:sz="0" w:space="0" w:color="auto"/>
        <w:bottom w:val="none" w:sz="0" w:space="0" w:color="auto"/>
        <w:right w:val="none" w:sz="0" w:space="0" w:color="auto"/>
      </w:divBdr>
    </w:div>
    <w:div w:id="919633832">
      <w:bodyDiv w:val="1"/>
      <w:marLeft w:val="0"/>
      <w:marRight w:val="0"/>
      <w:marTop w:val="0"/>
      <w:marBottom w:val="0"/>
      <w:divBdr>
        <w:top w:val="none" w:sz="0" w:space="0" w:color="auto"/>
        <w:left w:val="none" w:sz="0" w:space="0" w:color="auto"/>
        <w:bottom w:val="none" w:sz="0" w:space="0" w:color="auto"/>
        <w:right w:val="none" w:sz="0" w:space="0" w:color="auto"/>
      </w:divBdr>
    </w:div>
    <w:div w:id="975061685">
      <w:bodyDiv w:val="1"/>
      <w:marLeft w:val="0"/>
      <w:marRight w:val="0"/>
      <w:marTop w:val="0"/>
      <w:marBottom w:val="0"/>
      <w:divBdr>
        <w:top w:val="none" w:sz="0" w:space="0" w:color="auto"/>
        <w:left w:val="none" w:sz="0" w:space="0" w:color="auto"/>
        <w:bottom w:val="none" w:sz="0" w:space="0" w:color="auto"/>
        <w:right w:val="none" w:sz="0" w:space="0" w:color="auto"/>
      </w:divBdr>
    </w:div>
    <w:div w:id="1087461079">
      <w:bodyDiv w:val="1"/>
      <w:marLeft w:val="0"/>
      <w:marRight w:val="0"/>
      <w:marTop w:val="0"/>
      <w:marBottom w:val="0"/>
      <w:divBdr>
        <w:top w:val="none" w:sz="0" w:space="0" w:color="auto"/>
        <w:left w:val="none" w:sz="0" w:space="0" w:color="auto"/>
        <w:bottom w:val="none" w:sz="0" w:space="0" w:color="auto"/>
        <w:right w:val="none" w:sz="0" w:space="0" w:color="auto"/>
      </w:divBdr>
    </w:div>
    <w:div w:id="1110709388">
      <w:bodyDiv w:val="1"/>
      <w:marLeft w:val="0"/>
      <w:marRight w:val="0"/>
      <w:marTop w:val="0"/>
      <w:marBottom w:val="0"/>
      <w:divBdr>
        <w:top w:val="none" w:sz="0" w:space="0" w:color="auto"/>
        <w:left w:val="none" w:sz="0" w:space="0" w:color="auto"/>
        <w:bottom w:val="none" w:sz="0" w:space="0" w:color="auto"/>
        <w:right w:val="none" w:sz="0" w:space="0" w:color="auto"/>
      </w:divBdr>
      <w:divsChild>
        <w:div w:id="306515014">
          <w:marLeft w:val="0"/>
          <w:marRight w:val="0"/>
          <w:marTop w:val="0"/>
          <w:marBottom w:val="0"/>
          <w:divBdr>
            <w:top w:val="none" w:sz="0" w:space="0" w:color="auto"/>
            <w:left w:val="none" w:sz="0" w:space="0" w:color="auto"/>
            <w:bottom w:val="none" w:sz="0" w:space="0" w:color="auto"/>
            <w:right w:val="none" w:sz="0" w:space="0" w:color="auto"/>
          </w:divBdr>
        </w:div>
        <w:div w:id="786432982">
          <w:marLeft w:val="0"/>
          <w:marRight w:val="0"/>
          <w:marTop w:val="0"/>
          <w:marBottom w:val="0"/>
          <w:divBdr>
            <w:top w:val="none" w:sz="0" w:space="0" w:color="auto"/>
            <w:left w:val="none" w:sz="0" w:space="0" w:color="auto"/>
            <w:bottom w:val="none" w:sz="0" w:space="0" w:color="auto"/>
            <w:right w:val="none" w:sz="0" w:space="0" w:color="auto"/>
          </w:divBdr>
        </w:div>
        <w:div w:id="814642423">
          <w:marLeft w:val="0"/>
          <w:marRight w:val="0"/>
          <w:marTop w:val="0"/>
          <w:marBottom w:val="0"/>
          <w:divBdr>
            <w:top w:val="none" w:sz="0" w:space="0" w:color="auto"/>
            <w:left w:val="none" w:sz="0" w:space="0" w:color="auto"/>
            <w:bottom w:val="none" w:sz="0" w:space="0" w:color="auto"/>
            <w:right w:val="none" w:sz="0" w:space="0" w:color="auto"/>
          </w:divBdr>
        </w:div>
        <w:div w:id="1272786226">
          <w:marLeft w:val="0"/>
          <w:marRight w:val="0"/>
          <w:marTop w:val="0"/>
          <w:marBottom w:val="0"/>
          <w:divBdr>
            <w:top w:val="none" w:sz="0" w:space="0" w:color="auto"/>
            <w:left w:val="none" w:sz="0" w:space="0" w:color="auto"/>
            <w:bottom w:val="none" w:sz="0" w:space="0" w:color="auto"/>
            <w:right w:val="none" w:sz="0" w:space="0" w:color="auto"/>
          </w:divBdr>
        </w:div>
        <w:div w:id="1301155032">
          <w:marLeft w:val="0"/>
          <w:marRight w:val="0"/>
          <w:marTop w:val="0"/>
          <w:marBottom w:val="0"/>
          <w:divBdr>
            <w:top w:val="none" w:sz="0" w:space="0" w:color="auto"/>
            <w:left w:val="none" w:sz="0" w:space="0" w:color="auto"/>
            <w:bottom w:val="none" w:sz="0" w:space="0" w:color="auto"/>
            <w:right w:val="none" w:sz="0" w:space="0" w:color="auto"/>
          </w:divBdr>
        </w:div>
        <w:div w:id="1534346036">
          <w:marLeft w:val="0"/>
          <w:marRight w:val="0"/>
          <w:marTop w:val="0"/>
          <w:marBottom w:val="0"/>
          <w:divBdr>
            <w:top w:val="none" w:sz="0" w:space="0" w:color="auto"/>
            <w:left w:val="none" w:sz="0" w:space="0" w:color="auto"/>
            <w:bottom w:val="none" w:sz="0" w:space="0" w:color="auto"/>
            <w:right w:val="none" w:sz="0" w:space="0" w:color="auto"/>
          </w:divBdr>
        </w:div>
      </w:divsChild>
    </w:div>
    <w:div w:id="1146093631">
      <w:bodyDiv w:val="1"/>
      <w:marLeft w:val="0"/>
      <w:marRight w:val="0"/>
      <w:marTop w:val="0"/>
      <w:marBottom w:val="0"/>
      <w:divBdr>
        <w:top w:val="none" w:sz="0" w:space="0" w:color="auto"/>
        <w:left w:val="none" w:sz="0" w:space="0" w:color="auto"/>
        <w:bottom w:val="none" w:sz="0" w:space="0" w:color="auto"/>
        <w:right w:val="none" w:sz="0" w:space="0" w:color="auto"/>
      </w:divBdr>
    </w:div>
    <w:div w:id="1482229011">
      <w:bodyDiv w:val="1"/>
      <w:marLeft w:val="0"/>
      <w:marRight w:val="0"/>
      <w:marTop w:val="0"/>
      <w:marBottom w:val="0"/>
      <w:divBdr>
        <w:top w:val="none" w:sz="0" w:space="0" w:color="auto"/>
        <w:left w:val="none" w:sz="0" w:space="0" w:color="auto"/>
        <w:bottom w:val="none" w:sz="0" w:space="0" w:color="auto"/>
        <w:right w:val="none" w:sz="0" w:space="0" w:color="auto"/>
      </w:divBdr>
      <w:divsChild>
        <w:div w:id="697656182">
          <w:marLeft w:val="0"/>
          <w:marRight w:val="0"/>
          <w:marTop w:val="0"/>
          <w:marBottom w:val="0"/>
          <w:divBdr>
            <w:top w:val="none" w:sz="0" w:space="0" w:color="auto"/>
            <w:left w:val="none" w:sz="0" w:space="0" w:color="auto"/>
            <w:bottom w:val="none" w:sz="0" w:space="0" w:color="auto"/>
            <w:right w:val="none" w:sz="0" w:space="0" w:color="auto"/>
          </w:divBdr>
          <w:divsChild>
            <w:div w:id="953903493">
              <w:marLeft w:val="-75"/>
              <w:marRight w:val="0"/>
              <w:marTop w:val="30"/>
              <w:marBottom w:val="30"/>
              <w:divBdr>
                <w:top w:val="none" w:sz="0" w:space="0" w:color="auto"/>
                <w:left w:val="none" w:sz="0" w:space="0" w:color="auto"/>
                <w:bottom w:val="none" w:sz="0" w:space="0" w:color="auto"/>
                <w:right w:val="none" w:sz="0" w:space="0" w:color="auto"/>
              </w:divBdr>
              <w:divsChild>
                <w:div w:id="44262857">
                  <w:marLeft w:val="0"/>
                  <w:marRight w:val="0"/>
                  <w:marTop w:val="0"/>
                  <w:marBottom w:val="0"/>
                  <w:divBdr>
                    <w:top w:val="none" w:sz="0" w:space="0" w:color="auto"/>
                    <w:left w:val="none" w:sz="0" w:space="0" w:color="auto"/>
                    <w:bottom w:val="none" w:sz="0" w:space="0" w:color="auto"/>
                    <w:right w:val="none" w:sz="0" w:space="0" w:color="auto"/>
                  </w:divBdr>
                  <w:divsChild>
                    <w:div w:id="503908463">
                      <w:marLeft w:val="0"/>
                      <w:marRight w:val="0"/>
                      <w:marTop w:val="0"/>
                      <w:marBottom w:val="0"/>
                      <w:divBdr>
                        <w:top w:val="none" w:sz="0" w:space="0" w:color="auto"/>
                        <w:left w:val="none" w:sz="0" w:space="0" w:color="auto"/>
                        <w:bottom w:val="none" w:sz="0" w:space="0" w:color="auto"/>
                        <w:right w:val="none" w:sz="0" w:space="0" w:color="auto"/>
                      </w:divBdr>
                    </w:div>
                  </w:divsChild>
                </w:div>
                <w:div w:id="44374448">
                  <w:marLeft w:val="0"/>
                  <w:marRight w:val="0"/>
                  <w:marTop w:val="0"/>
                  <w:marBottom w:val="0"/>
                  <w:divBdr>
                    <w:top w:val="none" w:sz="0" w:space="0" w:color="auto"/>
                    <w:left w:val="none" w:sz="0" w:space="0" w:color="auto"/>
                    <w:bottom w:val="none" w:sz="0" w:space="0" w:color="auto"/>
                    <w:right w:val="none" w:sz="0" w:space="0" w:color="auto"/>
                  </w:divBdr>
                  <w:divsChild>
                    <w:div w:id="475758337">
                      <w:marLeft w:val="0"/>
                      <w:marRight w:val="0"/>
                      <w:marTop w:val="0"/>
                      <w:marBottom w:val="0"/>
                      <w:divBdr>
                        <w:top w:val="none" w:sz="0" w:space="0" w:color="auto"/>
                        <w:left w:val="none" w:sz="0" w:space="0" w:color="auto"/>
                        <w:bottom w:val="none" w:sz="0" w:space="0" w:color="auto"/>
                        <w:right w:val="none" w:sz="0" w:space="0" w:color="auto"/>
                      </w:divBdr>
                    </w:div>
                  </w:divsChild>
                </w:div>
                <w:div w:id="117916699">
                  <w:marLeft w:val="0"/>
                  <w:marRight w:val="0"/>
                  <w:marTop w:val="0"/>
                  <w:marBottom w:val="0"/>
                  <w:divBdr>
                    <w:top w:val="none" w:sz="0" w:space="0" w:color="auto"/>
                    <w:left w:val="none" w:sz="0" w:space="0" w:color="auto"/>
                    <w:bottom w:val="none" w:sz="0" w:space="0" w:color="auto"/>
                    <w:right w:val="none" w:sz="0" w:space="0" w:color="auto"/>
                  </w:divBdr>
                  <w:divsChild>
                    <w:div w:id="1490561717">
                      <w:marLeft w:val="0"/>
                      <w:marRight w:val="0"/>
                      <w:marTop w:val="0"/>
                      <w:marBottom w:val="0"/>
                      <w:divBdr>
                        <w:top w:val="none" w:sz="0" w:space="0" w:color="auto"/>
                        <w:left w:val="none" w:sz="0" w:space="0" w:color="auto"/>
                        <w:bottom w:val="none" w:sz="0" w:space="0" w:color="auto"/>
                        <w:right w:val="none" w:sz="0" w:space="0" w:color="auto"/>
                      </w:divBdr>
                    </w:div>
                  </w:divsChild>
                </w:div>
                <w:div w:id="166750097">
                  <w:marLeft w:val="0"/>
                  <w:marRight w:val="0"/>
                  <w:marTop w:val="0"/>
                  <w:marBottom w:val="0"/>
                  <w:divBdr>
                    <w:top w:val="none" w:sz="0" w:space="0" w:color="auto"/>
                    <w:left w:val="none" w:sz="0" w:space="0" w:color="auto"/>
                    <w:bottom w:val="none" w:sz="0" w:space="0" w:color="auto"/>
                    <w:right w:val="none" w:sz="0" w:space="0" w:color="auto"/>
                  </w:divBdr>
                  <w:divsChild>
                    <w:div w:id="1371225379">
                      <w:marLeft w:val="0"/>
                      <w:marRight w:val="0"/>
                      <w:marTop w:val="0"/>
                      <w:marBottom w:val="0"/>
                      <w:divBdr>
                        <w:top w:val="none" w:sz="0" w:space="0" w:color="auto"/>
                        <w:left w:val="none" w:sz="0" w:space="0" w:color="auto"/>
                        <w:bottom w:val="none" w:sz="0" w:space="0" w:color="auto"/>
                        <w:right w:val="none" w:sz="0" w:space="0" w:color="auto"/>
                      </w:divBdr>
                    </w:div>
                  </w:divsChild>
                </w:div>
                <w:div w:id="196744211">
                  <w:marLeft w:val="0"/>
                  <w:marRight w:val="0"/>
                  <w:marTop w:val="0"/>
                  <w:marBottom w:val="0"/>
                  <w:divBdr>
                    <w:top w:val="none" w:sz="0" w:space="0" w:color="auto"/>
                    <w:left w:val="none" w:sz="0" w:space="0" w:color="auto"/>
                    <w:bottom w:val="none" w:sz="0" w:space="0" w:color="auto"/>
                    <w:right w:val="none" w:sz="0" w:space="0" w:color="auto"/>
                  </w:divBdr>
                  <w:divsChild>
                    <w:div w:id="965701170">
                      <w:marLeft w:val="0"/>
                      <w:marRight w:val="0"/>
                      <w:marTop w:val="0"/>
                      <w:marBottom w:val="0"/>
                      <w:divBdr>
                        <w:top w:val="none" w:sz="0" w:space="0" w:color="auto"/>
                        <w:left w:val="none" w:sz="0" w:space="0" w:color="auto"/>
                        <w:bottom w:val="none" w:sz="0" w:space="0" w:color="auto"/>
                        <w:right w:val="none" w:sz="0" w:space="0" w:color="auto"/>
                      </w:divBdr>
                    </w:div>
                  </w:divsChild>
                </w:div>
                <w:div w:id="277949615">
                  <w:marLeft w:val="0"/>
                  <w:marRight w:val="0"/>
                  <w:marTop w:val="0"/>
                  <w:marBottom w:val="0"/>
                  <w:divBdr>
                    <w:top w:val="none" w:sz="0" w:space="0" w:color="auto"/>
                    <w:left w:val="none" w:sz="0" w:space="0" w:color="auto"/>
                    <w:bottom w:val="none" w:sz="0" w:space="0" w:color="auto"/>
                    <w:right w:val="none" w:sz="0" w:space="0" w:color="auto"/>
                  </w:divBdr>
                  <w:divsChild>
                    <w:div w:id="1226136686">
                      <w:marLeft w:val="0"/>
                      <w:marRight w:val="0"/>
                      <w:marTop w:val="0"/>
                      <w:marBottom w:val="0"/>
                      <w:divBdr>
                        <w:top w:val="none" w:sz="0" w:space="0" w:color="auto"/>
                        <w:left w:val="none" w:sz="0" w:space="0" w:color="auto"/>
                        <w:bottom w:val="none" w:sz="0" w:space="0" w:color="auto"/>
                        <w:right w:val="none" w:sz="0" w:space="0" w:color="auto"/>
                      </w:divBdr>
                    </w:div>
                  </w:divsChild>
                </w:div>
                <w:div w:id="301271029">
                  <w:marLeft w:val="0"/>
                  <w:marRight w:val="0"/>
                  <w:marTop w:val="0"/>
                  <w:marBottom w:val="0"/>
                  <w:divBdr>
                    <w:top w:val="none" w:sz="0" w:space="0" w:color="auto"/>
                    <w:left w:val="none" w:sz="0" w:space="0" w:color="auto"/>
                    <w:bottom w:val="none" w:sz="0" w:space="0" w:color="auto"/>
                    <w:right w:val="none" w:sz="0" w:space="0" w:color="auto"/>
                  </w:divBdr>
                  <w:divsChild>
                    <w:div w:id="1141771145">
                      <w:marLeft w:val="0"/>
                      <w:marRight w:val="0"/>
                      <w:marTop w:val="0"/>
                      <w:marBottom w:val="0"/>
                      <w:divBdr>
                        <w:top w:val="none" w:sz="0" w:space="0" w:color="auto"/>
                        <w:left w:val="none" w:sz="0" w:space="0" w:color="auto"/>
                        <w:bottom w:val="none" w:sz="0" w:space="0" w:color="auto"/>
                        <w:right w:val="none" w:sz="0" w:space="0" w:color="auto"/>
                      </w:divBdr>
                    </w:div>
                  </w:divsChild>
                </w:div>
                <w:div w:id="330792436">
                  <w:marLeft w:val="0"/>
                  <w:marRight w:val="0"/>
                  <w:marTop w:val="0"/>
                  <w:marBottom w:val="0"/>
                  <w:divBdr>
                    <w:top w:val="none" w:sz="0" w:space="0" w:color="auto"/>
                    <w:left w:val="none" w:sz="0" w:space="0" w:color="auto"/>
                    <w:bottom w:val="none" w:sz="0" w:space="0" w:color="auto"/>
                    <w:right w:val="none" w:sz="0" w:space="0" w:color="auto"/>
                  </w:divBdr>
                  <w:divsChild>
                    <w:div w:id="2044013978">
                      <w:marLeft w:val="0"/>
                      <w:marRight w:val="0"/>
                      <w:marTop w:val="0"/>
                      <w:marBottom w:val="0"/>
                      <w:divBdr>
                        <w:top w:val="none" w:sz="0" w:space="0" w:color="auto"/>
                        <w:left w:val="none" w:sz="0" w:space="0" w:color="auto"/>
                        <w:bottom w:val="none" w:sz="0" w:space="0" w:color="auto"/>
                        <w:right w:val="none" w:sz="0" w:space="0" w:color="auto"/>
                      </w:divBdr>
                    </w:div>
                  </w:divsChild>
                </w:div>
                <w:div w:id="357901625">
                  <w:marLeft w:val="0"/>
                  <w:marRight w:val="0"/>
                  <w:marTop w:val="0"/>
                  <w:marBottom w:val="0"/>
                  <w:divBdr>
                    <w:top w:val="none" w:sz="0" w:space="0" w:color="auto"/>
                    <w:left w:val="none" w:sz="0" w:space="0" w:color="auto"/>
                    <w:bottom w:val="none" w:sz="0" w:space="0" w:color="auto"/>
                    <w:right w:val="none" w:sz="0" w:space="0" w:color="auto"/>
                  </w:divBdr>
                  <w:divsChild>
                    <w:div w:id="1516769375">
                      <w:marLeft w:val="0"/>
                      <w:marRight w:val="0"/>
                      <w:marTop w:val="0"/>
                      <w:marBottom w:val="0"/>
                      <w:divBdr>
                        <w:top w:val="none" w:sz="0" w:space="0" w:color="auto"/>
                        <w:left w:val="none" w:sz="0" w:space="0" w:color="auto"/>
                        <w:bottom w:val="none" w:sz="0" w:space="0" w:color="auto"/>
                        <w:right w:val="none" w:sz="0" w:space="0" w:color="auto"/>
                      </w:divBdr>
                    </w:div>
                  </w:divsChild>
                </w:div>
                <w:div w:id="361446463">
                  <w:marLeft w:val="0"/>
                  <w:marRight w:val="0"/>
                  <w:marTop w:val="0"/>
                  <w:marBottom w:val="0"/>
                  <w:divBdr>
                    <w:top w:val="none" w:sz="0" w:space="0" w:color="auto"/>
                    <w:left w:val="none" w:sz="0" w:space="0" w:color="auto"/>
                    <w:bottom w:val="none" w:sz="0" w:space="0" w:color="auto"/>
                    <w:right w:val="none" w:sz="0" w:space="0" w:color="auto"/>
                  </w:divBdr>
                  <w:divsChild>
                    <w:div w:id="1456942884">
                      <w:marLeft w:val="0"/>
                      <w:marRight w:val="0"/>
                      <w:marTop w:val="0"/>
                      <w:marBottom w:val="0"/>
                      <w:divBdr>
                        <w:top w:val="none" w:sz="0" w:space="0" w:color="auto"/>
                        <w:left w:val="none" w:sz="0" w:space="0" w:color="auto"/>
                        <w:bottom w:val="none" w:sz="0" w:space="0" w:color="auto"/>
                        <w:right w:val="none" w:sz="0" w:space="0" w:color="auto"/>
                      </w:divBdr>
                    </w:div>
                  </w:divsChild>
                </w:div>
                <w:div w:id="369451157">
                  <w:marLeft w:val="0"/>
                  <w:marRight w:val="0"/>
                  <w:marTop w:val="0"/>
                  <w:marBottom w:val="0"/>
                  <w:divBdr>
                    <w:top w:val="none" w:sz="0" w:space="0" w:color="auto"/>
                    <w:left w:val="none" w:sz="0" w:space="0" w:color="auto"/>
                    <w:bottom w:val="none" w:sz="0" w:space="0" w:color="auto"/>
                    <w:right w:val="none" w:sz="0" w:space="0" w:color="auto"/>
                  </w:divBdr>
                  <w:divsChild>
                    <w:div w:id="1169557305">
                      <w:marLeft w:val="0"/>
                      <w:marRight w:val="0"/>
                      <w:marTop w:val="0"/>
                      <w:marBottom w:val="0"/>
                      <w:divBdr>
                        <w:top w:val="none" w:sz="0" w:space="0" w:color="auto"/>
                        <w:left w:val="none" w:sz="0" w:space="0" w:color="auto"/>
                        <w:bottom w:val="none" w:sz="0" w:space="0" w:color="auto"/>
                        <w:right w:val="none" w:sz="0" w:space="0" w:color="auto"/>
                      </w:divBdr>
                    </w:div>
                  </w:divsChild>
                </w:div>
                <w:div w:id="374432307">
                  <w:marLeft w:val="0"/>
                  <w:marRight w:val="0"/>
                  <w:marTop w:val="0"/>
                  <w:marBottom w:val="0"/>
                  <w:divBdr>
                    <w:top w:val="none" w:sz="0" w:space="0" w:color="auto"/>
                    <w:left w:val="none" w:sz="0" w:space="0" w:color="auto"/>
                    <w:bottom w:val="none" w:sz="0" w:space="0" w:color="auto"/>
                    <w:right w:val="none" w:sz="0" w:space="0" w:color="auto"/>
                  </w:divBdr>
                  <w:divsChild>
                    <w:div w:id="1536888640">
                      <w:marLeft w:val="0"/>
                      <w:marRight w:val="0"/>
                      <w:marTop w:val="0"/>
                      <w:marBottom w:val="0"/>
                      <w:divBdr>
                        <w:top w:val="none" w:sz="0" w:space="0" w:color="auto"/>
                        <w:left w:val="none" w:sz="0" w:space="0" w:color="auto"/>
                        <w:bottom w:val="none" w:sz="0" w:space="0" w:color="auto"/>
                        <w:right w:val="none" w:sz="0" w:space="0" w:color="auto"/>
                      </w:divBdr>
                    </w:div>
                  </w:divsChild>
                </w:div>
                <w:div w:id="376196948">
                  <w:marLeft w:val="0"/>
                  <w:marRight w:val="0"/>
                  <w:marTop w:val="0"/>
                  <w:marBottom w:val="0"/>
                  <w:divBdr>
                    <w:top w:val="none" w:sz="0" w:space="0" w:color="auto"/>
                    <w:left w:val="none" w:sz="0" w:space="0" w:color="auto"/>
                    <w:bottom w:val="none" w:sz="0" w:space="0" w:color="auto"/>
                    <w:right w:val="none" w:sz="0" w:space="0" w:color="auto"/>
                  </w:divBdr>
                  <w:divsChild>
                    <w:div w:id="149909315">
                      <w:marLeft w:val="0"/>
                      <w:marRight w:val="0"/>
                      <w:marTop w:val="0"/>
                      <w:marBottom w:val="0"/>
                      <w:divBdr>
                        <w:top w:val="none" w:sz="0" w:space="0" w:color="auto"/>
                        <w:left w:val="none" w:sz="0" w:space="0" w:color="auto"/>
                        <w:bottom w:val="none" w:sz="0" w:space="0" w:color="auto"/>
                        <w:right w:val="none" w:sz="0" w:space="0" w:color="auto"/>
                      </w:divBdr>
                    </w:div>
                  </w:divsChild>
                </w:div>
                <w:div w:id="406999519">
                  <w:marLeft w:val="0"/>
                  <w:marRight w:val="0"/>
                  <w:marTop w:val="0"/>
                  <w:marBottom w:val="0"/>
                  <w:divBdr>
                    <w:top w:val="none" w:sz="0" w:space="0" w:color="auto"/>
                    <w:left w:val="none" w:sz="0" w:space="0" w:color="auto"/>
                    <w:bottom w:val="none" w:sz="0" w:space="0" w:color="auto"/>
                    <w:right w:val="none" w:sz="0" w:space="0" w:color="auto"/>
                  </w:divBdr>
                  <w:divsChild>
                    <w:div w:id="658122995">
                      <w:marLeft w:val="0"/>
                      <w:marRight w:val="0"/>
                      <w:marTop w:val="0"/>
                      <w:marBottom w:val="0"/>
                      <w:divBdr>
                        <w:top w:val="none" w:sz="0" w:space="0" w:color="auto"/>
                        <w:left w:val="none" w:sz="0" w:space="0" w:color="auto"/>
                        <w:bottom w:val="none" w:sz="0" w:space="0" w:color="auto"/>
                        <w:right w:val="none" w:sz="0" w:space="0" w:color="auto"/>
                      </w:divBdr>
                    </w:div>
                  </w:divsChild>
                </w:div>
                <w:div w:id="419102928">
                  <w:marLeft w:val="0"/>
                  <w:marRight w:val="0"/>
                  <w:marTop w:val="0"/>
                  <w:marBottom w:val="0"/>
                  <w:divBdr>
                    <w:top w:val="none" w:sz="0" w:space="0" w:color="auto"/>
                    <w:left w:val="none" w:sz="0" w:space="0" w:color="auto"/>
                    <w:bottom w:val="none" w:sz="0" w:space="0" w:color="auto"/>
                    <w:right w:val="none" w:sz="0" w:space="0" w:color="auto"/>
                  </w:divBdr>
                  <w:divsChild>
                    <w:div w:id="727607964">
                      <w:marLeft w:val="0"/>
                      <w:marRight w:val="0"/>
                      <w:marTop w:val="0"/>
                      <w:marBottom w:val="0"/>
                      <w:divBdr>
                        <w:top w:val="none" w:sz="0" w:space="0" w:color="auto"/>
                        <w:left w:val="none" w:sz="0" w:space="0" w:color="auto"/>
                        <w:bottom w:val="none" w:sz="0" w:space="0" w:color="auto"/>
                        <w:right w:val="none" w:sz="0" w:space="0" w:color="auto"/>
                      </w:divBdr>
                    </w:div>
                  </w:divsChild>
                </w:div>
                <w:div w:id="438791747">
                  <w:marLeft w:val="0"/>
                  <w:marRight w:val="0"/>
                  <w:marTop w:val="0"/>
                  <w:marBottom w:val="0"/>
                  <w:divBdr>
                    <w:top w:val="none" w:sz="0" w:space="0" w:color="auto"/>
                    <w:left w:val="none" w:sz="0" w:space="0" w:color="auto"/>
                    <w:bottom w:val="none" w:sz="0" w:space="0" w:color="auto"/>
                    <w:right w:val="none" w:sz="0" w:space="0" w:color="auto"/>
                  </w:divBdr>
                  <w:divsChild>
                    <w:div w:id="2118403554">
                      <w:marLeft w:val="0"/>
                      <w:marRight w:val="0"/>
                      <w:marTop w:val="0"/>
                      <w:marBottom w:val="0"/>
                      <w:divBdr>
                        <w:top w:val="none" w:sz="0" w:space="0" w:color="auto"/>
                        <w:left w:val="none" w:sz="0" w:space="0" w:color="auto"/>
                        <w:bottom w:val="none" w:sz="0" w:space="0" w:color="auto"/>
                        <w:right w:val="none" w:sz="0" w:space="0" w:color="auto"/>
                      </w:divBdr>
                    </w:div>
                  </w:divsChild>
                </w:div>
                <w:div w:id="455292933">
                  <w:marLeft w:val="0"/>
                  <w:marRight w:val="0"/>
                  <w:marTop w:val="0"/>
                  <w:marBottom w:val="0"/>
                  <w:divBdr>
                    <w:top w:val="none" w:sz="0" w:space="0" w:color="auto"/>
                    <w:left w:val="none" w:sz="0" w:space="0" w:color="auto"/>
                    <w:bottom w:val="none" w:sz="0" w:space="0" w:color="auto"/>
                    <w:right w:val="none" w:sz="0" w:space="0" w:color="auto"/>
                  </w:divBdr>
                  <w:divsChild>
                    <w:div w:id="1218129897">
                      <w:marLeft w:val="0"/>
                      <w:marRight w:val="0"/>
                      <w:marTop w:val="0"/>
                      <w:marBottom w:val="0"/>
                      <w:divBdr>
                        <w:top w:val="none" w:sz="0" w:space="0" w:color="auto"/>
                        <w:left w:val="none" w:sz="0" w:space="0" w:color="auto"/>
                        <w:bottom w:val="none" w:sz="0" w:space="0" w:color="auto"/>
                        <w:right w:val="none" w:sz="0" w:space="0" w:color="auto"/>
                      </w:divBdr>
                    </w:div>
                  </w:divsChild>
                </w:div>
                <w:div w:id="536351559">
                  <w:marLeft w:val="0"/>
                  <w:marRight w:val="0"/>
                  <w:marTop w:val="0"/>
                  <w:marBottom w:val="0"/>
                  <w:divBdr>
                    <w:top w:val="none" w:sz="0" w:space="0" w:color="auto"/>
                    <w:left w:val="none" w:sz="0" w:space="0" w:color="auto"/>
                    <w:bottom w:val="none" w:sz="0" w:space="0" w:color="auto"/>
                    <w:right w:val="none" w:sz="0" w:space="0" w:color="auto"/>
                  </w:divBdr>
                  <w:divsChild>
                    <w:div w:id="2041390851">
                      <w:marLeft w:val="0"/>
                      <w:marRight w:val="0"/>
                      <w:marTop w:val="0"/>
                      <w:marBottom w:val="0"/>
                      <w:divBdr>
                        <w:top w:val="none" w:sz="0" w:space="0" w:color="auto"/>
                        <w:left w:val="none" w:sz="0" w:space="0" w:color="auto"/>
                        <w:bottom w:val="none" w:sz="0" w:space="0" w:color="auto"/>
                        <w:right w:val="none" w:sz="0" w:space="0" w:color="auto"/>
                      </w:divBdr>
                    </w:div>
                  </w:divsChild>
                </w:div>
                <w:div w:id="545416386">
                  <w:marLeft w:val="0"/>
                  <w:marRight w:val="0"/>
                  <w:marTop w:val="0"/>
                  <w:marBottom w:val="0"/>
                  <w:divBdr>
                    <w:top w:val="none" w:sz="0" w:space="0" w:color="auto"/>
                    <w:left w:val="none" w:sz="0" w:space="0" w:color="auto"/>
                    <w:bottom w:val="none" w:sz="0" w:space="0" w:color="auto"/>
                    <w:right w:val="none" w:sz="0" w:space="0" w:color="auto"/>
                  </w:divBdr>
                  <w:divsChild>
                    <w:div w:id="274363468">
                      <w:marLeft w:val="0"/>
                      <w:marRight w:val="0"/>
                      <w:marTop w:val="0"/>
                      <w:marBottom w:val="0"/>
                      <w:divBdr>
                        <w:top w:val="none" w:sz="0" w:space="0" w:color="auto"/>
                        <w:left w:val="none" w:sz="0" w:space="0" w:color="auto"/>
                        <w:bottom w:val="none" w:sz="0" w:space="0" w:color="auto"/>
                        <w:right w:val="none" w:sz="0" w:space="0" w:color="auto"/>
                      </w:divBdr>
                    </w:div>
                  </w:divsChild>
                </w:div>
                <w:div w:id="630407271">
                  <w:marLeft w:val="0"/>
                  <w:marRight w:val="0"/>
                  <w:marTop w:val="0"/>
                  <w:marBottom w:val="0"/>
                  <w:divBdr>
                    <w:top w:val="none" w:sz="0" w:space="0" w:color="auto"/>
                    <w:left w:val="none" w:sz="0" w:space="0" w:color="auto"/>
                    <w:bottom w:val="none" w:sz="0" w:space="0" w:color="auto"/>
                    <w:right w:val="none" w:sz="0" w:space="0" w:color="auto"/>
                  </w:divBdr>
                  <w:divsChild>
                    <w:div w:id="1789158561">
                      <w:marLeft w:val="0"/>
                      <w:marRight w:val="0"/>
                      <w:marTop w:val="0"/>
                      <w:marBottom w:val="0"/>
                      <w:divBdr>
                        <w:top w:val="none" w:sz="0" w:space="0" w:color="auto"/>
                        <w:left w:val="none" w:sz="0" w:space="0" w:color="auto"/>
                        <w:bottom w:val="none" w:sz="0" w:space="0" w:color="auto"/>
                        <w:right w:val="none" w:sz="0" w:space="0" w:color="auto"/>
                      </w:divBdr>
                    </w:div>
                  </w:divsChild>
                </w:div>
                <w:div w:id="710617805">
                  <w:marLeft w:val="0"/>
                  <w:marRight w:val="0"/>
                  <w:marTop w:val="0"/>
                  <w:marBottom w:val="0"/>
                  <w:divBdr>
                    <w:top w:val="none" w:sz="0" w:space="0" w:color="auto"/>
                    <w:left w:val="none" w:sz="0" w:space="0" w:color="auto"/>
                    <w:bottom w:val="none" w:sz="0" w:space="0" w:color="auto"/>
                    <w:right w:val="none" w:sz="0" w:space="0" w:color="auto"/>
                  </w:divBdr>
                  <w:divsChild>
                    <w:div w:id="1340615394">
                      <w:marLeft w:val="0"/>
                      <w:marRight w:val="0"/>
                      <w:marTop w:val="0"/>
                      <w:marBottom w:val="0"/>
                      <w:divBdr>
                        <w:top w:val="none" w:sz="0" w:space="0" w:color="auto"/>
                        <w:left w:val="none" w:sz="0" w:space="0" w:color="auto"/>
                        <w:bottom w:val="none" w:sz="0" w:space="0" w:color="auto"/>
                        <w:right w:val="none" w:sz="0" w:space="0" w:color="auto"/>
                      </w:divBdr>
                    </w:div>
                  </w:divsChild>
                </w:div>
                <w:div w:id="784740635">
                  <w:marLeft w:val="0"/>
                  <w:marRight w:val="0"/>
                  <w:marTop w:val="0"/>
                  <w:marBottom w:val="0"/>
                  <w:divBdr>
                    <w:top w:val="none" w:sz="0" w:space="0" w:color="auto"/>
                    <w:left w:val="none" w:sz="0" w:space="0" w:color="auto"/>
                    <w:bottom w:val="none" w:sz="0" w:space="0" w:color="auto"/>
                    <w:right w:val="none" w:sz="0" w:space="0" w:color="auto"/>
                  </w:divBdr>
                  <w:divsChild>
                    <w:div w:id="1586960403">
                      <w:marLeft w:val="0"/>
                      <w:marRight w:val="0"/>
                      <w:marTop w:val="0"/>
                      <w:marBottom w:val="0"/>
                      <w:divBdr>
                        <w:top w:val="none" w:sz="0" w:space="0" w:color="auto"/>
                        <w:left w:val="none" w:sz="0" w:space="0" w:color="auto"/>
                        <w:bottom w:val="none" w:sz="0" w:space="0" w:color="auto"/>
                        <w:right w:val="none" w:sz="0" w:space="0" w:color="auto"/>
                      </w:divBdr>
                    </w:div>
                  </w:divsChild>
                </w:div>
                <w:div w:id="797064514">
                  <w:marLeft w:val="0"/>
                  <w:marRight w:val="0"/>
                  <w:marTop w:val="0"/>
                  <w:marBottom w:val="0"/>
                  <w:divBdr>
                    <w:top w:val="none" w:sz="0" w:space="0" w:color="auto"/>
                    <w:left w:val="none" w:sz="0" w:space="0" w:color="auto"/>
                    <w:bottom w:val="none" w:sz="0" w:space="0" w:color="auto"/>
                    <w:right w:val="none" w:sz="0" w:space="0" w:color="auto"/>
                  </w:divBdr>
                  <w:divsChild>
                    <w:div w:id="1927104712">
                      <w:marLeft w:val="0"/>
                      <w:marRight w:val="0"/>
                      <w:marTop w:val="0"/>
                      <w:marBottom w:val="0"/>
                      <w:divBdr>
                        <w:top w:val="none" w:sz="0" w:space="0" w:color="auto"/>
                        <w:left w:val="none" w:sz="0" w:space="0" w:color="auto"/>
                        <w:bottom w:val="none" w:sz="0" w:space="0" w:color="auto"/>
                        <w:right w:val="none" w:sz="0" w:space="0" w:color="auto"/>
                      </w:divBdr>
                    </w:div>
                  </w:divsChild>
                </w:div>
                <w:div w:id="818231462">
                  <w:marLeft w:val="0"/>
                  <w:marRight w:val="0"/>
                  <w:marTop w:val="0"/>
                  <w:marBottom w:val="0"/>
                  <w:divBdr>
                    <w:top w:val="none" w:sz="0" w:space="0" w:color="auto"/>
                    <w:left w:val="none" w:sz="0" w:space="0" w:color="auto"/>
                    <w:bottom w:val="none" w:sz="0" w:space="0" w:color="auto"/>
                    <w:right w:val="none" w:sz="0" w:space="0" w:color="auto"/>
                  </w:divBdr>
                  <w:divsChild>
                    <w:div w:id="1957372958">
                      <w:marLeft w:val="0"/>
                      <w:marRight w:val="0"/>
                      <w:marTop w:val="0"/>
                      <w:marBottom w:val="0"/>
                      <w:divBdr>
                        <w:top w:val="none" w:sz="0" w:space="0" w:color="auto"/>
                        <w:left w:val="none" w:sz="0" w:space="0" w:color="auto"/>
                        <w:bottom w:val="none" w:sz="0" w:space="0" w:color="auto"/>
                        <w:right w:val="none" w:sz="0" w:space="0" w:color="auto"/>
                      </w:divBdr>
                    </w:div>
                  </w:divsChild>
                </w:div>
                <w:div w:id="832601812">
                  <w:marLeft w:val="0"/>
                  <w:marRight w:val="0"/>
                  <w:marTop w:val="0"/>
                  <w:marBottom w:val="0"/>
                  <w:divBdr>
                    <w:top w:val="none" w:sz="0" w:space="0" w:color="auto"/>
                    <w:left w:val="none" w:sz="0" w:space="0" w:color="auto"/>
                    <w:bottom w:val="none" w:sz="0" w:space="0" w:color="auto"/>
                    <w:right w:val="none" w:sz="0" w:space="0" w:color="auto"/>
                  </w:divBdr>
                  <w:divsChild>
                    <w:div w:id="830677112">
                      <w:marLeft w:val="0"/>
                      <w:marRight w:val="0"/>
                      <w:marTop w:val="0"/>
                      <w:marBottom w:val="0"/>
                      <w:divBdr>
                        <w:top w:val="none" w:sz="0" w:space="0" w:color="auto"/>
                        <w:left w:val="none" w:sz="0" w:space="0" w:color="auto"/>
                        <w:bottom w:val="none" w:sz="0" w:space="0" w:color="auto"/>
                        <w:right w:val="none" w:sz="0" w:space="0" w:color="auto"/>
                      </w:divBdr>
                    </w:div>
                  </w:divsChild>
                </w:div>
                <w:div w:id="926227088">
                  <w:marLeft w:val="0"/>
                  <w:marRight w:val="0"/>
                  <w:marTop w:val="0"/>
                  <w:marBottom w:val="0"/>
                  <w:divBdr>
                    <w:top w:val="none" w:sz="0" w:space="0" w:color="auto"/>
                    <w:left w:val="none" w:sz="0" w:space="0" w:color="auto"/>
                    <w:bottom w:val="none" w:sz="0" w:space="0" w:color="auto"/>
                    <w:right w:val="none" w:sz="0" w:space="0" w:color="auto"/>
                  </w:divBdr>
                  <w:divsChild>
                    <w:div w:id="150876055">
                      <w:marLeft w:val="0"/>
                      <w:marRight w:val="0"/>
                      <w:marTop w:val="0"/>
                      <w:marBottom w:val="0"/>
                      <w:divBdr>
                        <w:top w:val="none" w:sz="0" w:space="0" w:color="auto"/>
                        <w:left w:val="none" w:sz="0" w:space="0" w:color="auto"/>
                        <w:bottom w:val="none" w:sz="0" w:space="0" w:color="auto"/>
                        <w:right w:val="none" w:sz="0" w:space="0" w:color="auto"/>
                      </w:divBdr>
                    </w:div>
                  </w:divsChild>
                </w:div>
                <w:div w:id="946354628">
                  <w:marLeft w:val="0"/>
                  <w:marRight w:val="0"/>
                  <w:marTop w:val="0"/>
                  <w:marBottom w:val="0"/>
                  <w:divBdr>
                    <w:top w:val="none" w:sz="0" w:space="0" w:color="auto"/>
                    <w:left w:val="none" w:sz="0" w:space="0" w:color="auto"/>
                    <w:bottom w:val="none" w:sz="0" w:space="0" w:color="auto"/>
                    <w:right w:val="none" w:sz="0" w:space="0" w:color="auto"/>
                  </w:divBdr>
                  <w:divsChild>
                    <w:div w:id="1721706930">
                      <w:marLeft w:val="0"/>
                      <w:marRight w:val="0"/>
                      <w:marTop w:val="0"/>
                      <w:marBottom w:val="0"/>
                      <w:divBdr>
                        <w:top w:val="none" w:sz="0" w:space="0" w:color="auto"/>
                        <w:left w:val="none" w:sz="0" w:space="0" w:color="auto"/>
                        <w:bottom w:val="none" w:sz="0" w:space="0" w:color="auto"/>
                        <w:right w:val="none" w:sz="0" w:space="0" w:color="auto"/>
                      </w:divBdr>
                    </w:div>
                  </w:divsChild>
                </w:div>
                <w:div w:id="1022508625">
                  <w:marLeft w:val="0"/>
                  <w:marRight w:val="0"/>
                  <w:marTop w:val="0"/>
                  <w:marBottom w:val="0"/>
                  <w:divBdr>
                    <w:top w:val="none" w:sz="0" w:space="0" w:color="auto"/>
                    <w:left w:val="none" w:sz="0" w:space="0" w:color="auto"/>
                    <w:bottom w:val="none" w:sz="0" w:space="0" w:color="auto"/>
                    <w:right w:val="none" w:sz="0" w:space="0" w:color="auto"/>
                  </w:divBdr>
                  <w:divsChild>
                    <w:div w:id="986668457">
                      <w:marLeft w:val="0"/>
                      <w:marRight w:val="0"/>
                      <w:marTop w:val="0"/>
                      <w:marBottom w:val="0"/>
                      <w:divBdr>
                        <w:top w:val="none" w:sz="0" w:space="0" w:color="auto"/>
                        <w:left w:val="none" w:sz="0" w:space="0" w:color="auto"/>
                        <w:bottom w:val="none" w:sz="0" w:space="0" w:color="auto"/>
                        <w:right w:val="none" w:sz="0" w:space="0" w:color="auto"/>
                      </w:divBdr>
                    </w:div>
                  </w:divsChild>
                </w:div>
                <w:div w:id="1064333472">
                  <w:marLeft w:val="0"/>
                  <w:marRight w:val="0"/>
                  <w:marTop w:val="0"/>
                  <w:marBottom w:val="0"/>
                  <w:divBdr>
                    <w:top w:val="none" w:sz="0" w:space="0" w:color="auto"/>
                    <w:left w:val="none" w:sz="0" w:space="0" w:color="auto"/>
                    <w:bottom w:val="none" w:sz="0" w:space="0" w:color="auto"/>
                    <w:right w:val="none" w:sz="0" w:space="0" w:color="auto"/>
                  </w:divBdr>
                  <w:divsChild>
                    <w:div w:id="1556700168">
                      <w:marLeft w:val="0"/>
                      <w:marRight w:val="0"/>
                      <w:marTop w:val="0"/>
                      <w:marBottom w:val="0"/>
                      <w:divBdr>
                        <w:top w:val="none" w:sz="0" w:space="0" w:color="auto"/>
                        <w:left w:val="none" w:sz="0" w:space="0" w:color="auto"/>
                        <w:bottom w:val="none" w:sz="0" w:space="0" w:color="auto"/>
                        <w:right w:val="none" w:sz="0" w:space="0" w:color="auto"/>
                      </w:divBdr>
                    </w:div>
                  </w:divsChild>
                </w:div>
                <w:div w:id="1169055103">
                  <w:marLeft w:val="0"/>
                  <w:marRight w:val="0"/>
                  <w:marTop w:val="0"/>
                  <w:marBottom w:val="0"/>
                  <w:divBdr>
                    <w:top w:val="none" w:sz="0" w:space="0" w:color="auto"/>
                    <w:left w:val="none" w:sz="0" w:space="0" w:color="auto"/>
                    <w:bottom w:val="none" w:sz="0" w:space="0" w:color="auto"/>
                    <w:right w:val="none" w:sz="0" w:space="0" w:color="auto"/>
                  </w:divBdr>
                  <w:divsChild>
                    <w:div w:id="688722717">
                      <w:marLeft w:val="0"/>
                      <w:marRight w:val="0"/>
                      <w:marTop w:val="0"/>
                      <w:marBottom w:val="0"/>
                      <w:divBdr>
                        <w:top w:val="none" w:sz="0" w:space="0" w:color="auto"/>
                        <w:left w:val="none" w:sz="0" w:space="0" w:color="auto"/>
                        <w:bottom w:val="none" w:sz="0" w:space="0" w:color="auto"/>
                        <w:right w:val="none" w:sz="0" w:space="0" w:color="auto"/>
                      </w:divBdr>
                    </w:div>
                  </w:divsChild>
                </w:div>
                <w:div w:id="1179656027">
                  <w:marLeft w:val="0"/>
                  <w:marRight w:val="0"/>
                  <w:marTop w:val="0"/>
                  <w:marBottom w:val="0"/>
                  <w:divBdr>
                    <w:top w:val="none" w:sz="0" w:space="0" w:color="auto"/>
                    <w:left w:val="none" w:sz="0" w:space="0" w:color="auto"/>
                    <w:bottom w:val="none" w:sz="0" w:space="0" w:color="auto"/>
                    <w:right w:val="none" w:sz="0" w:space="0" w:color="auto"/>
                  </w:divBdr>
                  <w:divsChild>
                    <w:div w:id="367488997">
                      <w:marLeft w:val="0"/>
                      <w:marRight w:val="0"/>
                      <w:marTop w:val="0"/>
                      <w:marBottom w:val="0"/>
                      <w:divBdr>
                        <w:top w:val="none" w:sz="0" w:space="0" w:color="auto"/>
                        <w:left w:val="none" w:sz="0" w:space="0" w:color="auto"/>
                        <w:bottom w:val="none" w:sz="0" w:space="0" w:color="auto"/>
                        <w:right w:val="none" w:sz="0" w:space="0" w:color="auto"/>
                      </w:divBdr>
                    </w:div>
                  </w:divsChild>
                </w:div>
                <w:div w:id="1185823557">
                  <w:marLeft w:val="0"/>
                  <w:marRight w:val="0"/>
                  <w:marTop w:val="0"/>
                  <w:marBottom w:val="0"/>
                  <w:divBdr>
                    <w:top w:val="none" w:sz="0" w:space="0" w:color="auto"/>
                    <w:left w:val="none" w:sz="0" w:space="0" w:color="auto"/>
                    <w:bottom w:val="none" w:sz="0" w:space="0" w:color="auto"/>
                    <w:right w:val="none" w:sz="0" w:space="0" w:color="auto"/>
                  </w:divBdr>
                  <w:divsChild>
                    <w:div w:id="375666377">
                      <w:marLeft w:val="0"/>
                      <w:marRight w:val="0"/>
                      <w:marTop w:val="0"/>
                      <w:marBottom w:val="0"/>
                      <w:divBdr>
                        <w:top w:val="none" w:sz="0" w:space="0" w:color="auto"/>
                        <w:left w:val="none" w:sz="0" w:space="0" w:color="auto"/>
                        <w:bottom w:val="none" w:sz="0" w:space="0" w:color="auto"/>
                        <w:right w:val="none" w:sz="0" w:space="0" w:color="auto"/>
                      </w:divBdr>
                    </w:div>
                  </w:divsChild>
                </w:div>
                <w:div w:id="1280838651">
                  <w:marLeft w:val="0"/>
                  <w:marRight w:val="0"/>
                  <w:marTop w:val="0"/>
                  <w:marBottom w:val="0"/>
                  <w:divBdr>
                    <w:top w:val="none" w:sz="0" w:space="0" w:color="auto"/>
                    <w:left w:val="none" w:sz="0" w:space="0" w:color="auto"/>
                    <w:bottom w:val="none" w:sz="0" w:space="0" w:color="auto"/>
                    <w:right w:val="none" w:sz="0" w:space="0" w:color="auto"/>
                  </w:divBdr>
                  <w:divsChild>
                    <w:div w:id="834804446">
                      <w:marLeft w:val="0"/>
                      <w:marRight w:val="0"/>
                      <w:marTop w:val="0"/>
                      <w:marBottom w:val="0"/>
                      <w:divBdr>
                        <w:top w:val="none" w:sz="0" w:space="0" w:color="auto"/>
                        <w:left w:val="none" w:sz="0" w:space="0" w:color="auto"/>
                        <w:bottom w:val="none" w:sz="0" w:space="0" w:color="auto"/>
                        <w:right w:val="none" w:sz="0" w:space="0" w:color="auto"/>
                      </w:divBdr>
                    </w:div>
                  </w:divsChild>
                </w:div>
                <w:div w:id="1299191157">
                  <w:marLeft w:val="0"/>
                  <w:marRight w:val="0"/>
                  <w:marTop w:val="0"/>
                  <w:marBottom w:val="0"/>
                  <w:divBdr>
                    <w:top w:val="none" w:sz="0" w:space="0" w:color="auto"/>
                    <w:left w:val="none" w:sz="0" w:space="0" w:color="auto"/>
                    <w:bottom w:val="none" w:sz="0" w:space="0" w:color="auto"/>
                    <w:right w:val="none" w:sz="0" w:space="0" w:color="auto"/>
                  </w:divBdr>
                  <w:divsChild>
                    <w:div w:id="1267810274">
                      <w:marLeft w:val="0"/>
                      <w:marRight w:val="0"/>
                      <w:marTop w:val="0"/>
                      <w:marBottom w:val="0"/>
                      <w:divBdr>
                        <w:top w:val="none" w:sz="0" w:space="0" w:color="auto"/>
                        <w:left w:val="none" w:sz="0" w:space="0" w:color="auto"/>
                        <w:bottom w:val="none" w:sz="0" w:space="0" w:color="auto"/>
                        <w:right w:val="none" w:sz="0" w:space="0" w:color="auto"/>
                      </w:divBdr>
                    </w:div>
                  </w:divsChild>
                </w:div>
                <w:div w:id="1333800812">
                  <w:marLeft w:val="0"/>
                  <w:marRight w:val="0"/>
                  <w:marTop w:val="0"/>
                  <w:marBottom w:val="0"/>
                  <w:divBdr>
                    <w:top w:val="none" w:sz="0" w:space="0" w:color="auto"/>
                    <w:left w:val="none" w:sz="0" w:space="0" w:color="auto"/>
                    <w:bottom w:val="none" w:sz="0" w:space="0" w:color="auto"/>
                    <w:right w:val="none" w:sz="0" w:space="0" w:color="auto"/>
                  </w:divBdr>
                  <w:divsChild>
                    <w:div w:id="1322857291">
                      <w:marLeft w:val="0"/>
                      <w:marRight w:val="0"/>
                      <w:marTop w:val="0"/>
                      <w:marBottom w:val="0"/>
                      <w:divBdr>
                        <w:top w:val="none" w:sz="0" w:space="0" w:color="auto"/>
                        <w:left w:val="none" w:sz="0" w:space="0" w:color="auto"/>
                        <w:bottom w:val="none" w:sz="0" w:space="0" w:color="auto"/>
                        <w:right w:val="none" w:sz="0" w:space="0" w:color="auto"/>
                      </w:divBdr>
                    </w:div>
                  </w:divsChild>
                </w:div>
                <w:div w:id="1529104390">
                  <w:marLeft w:val="0"/>
                  <w:marRight w:val="0"/>
                  <w:marTop w:val="0"/>
                  <w:marBottom w:val="0"/>
                  <w:divBdr>
                    <w:top w:val="none" w:sz="0" w:space="0" w:color="auto"/>
                    <w:left w:val="none" w:sz="0" w:space="0" w:color="auto"/>
                    <w:bottom w:val="none" w:sz="0" w:space="0" w:color="auto"/>
                    <w:right w:val="none" w:sz="0" w:space="0" w:color="auto"/>
                  </w:divBdr>
                  <w:divsChild>
                    <w:div w:id="1100643813">
                      <w:marLeft w:val="0"/>
                      <w:marRight w:val="0"/>
                      <w:marTop w:val="0"/>
                      <w:marBottom w:val="0"/>
                      <w:divBdr>
                        <w:top w:val="none" w:sz="0" w:space="0" w:color="auto"/>
                        <w:left w:val="none" w:sz="0" w:space="0" w:color="auto"/>
                        <w:bottom w:val="none" w:sz="0" w:space="0" w:color="auto"/>
                        <w:right w:val="none" w:sz="0" w:space="0" w:color="auto"/>
                      </w:divBdr>
                    </w:div>
                  </w:divsChild>
                </w:div>
                <w:div w:id="1530022460">
                  <w:marLeft w:val="0"/>
                  <w:marRight w:val="0"/>
                  <w:marTop w:val="0"/>
                  <w:marBottom w:val="0"/>
                  <w:divBdr>
                    <w:top w:val="none" w:sz="0" w:space="0" w:color="auto"/>
                    <w:left w:val="none" w:sz="0" w:space="0" w:color="auto"/>
                    <w:bottom w:val="none" w:sz="0" w:space="0" w:color="auto"/>
                    <w:right w:val="none" w:sz="0" w:space="0" w:color="auto"/>
                  </w:divBdr>
                  <w:divsChild>
                    <w:div w:id="308755195">
                      <w:marLeft w:val="0"/>
                      <w:marRight w:val="0"/>
                      <w:marTop w:val="0"/>
                      <w:marBottom w:val="0"/>
                      <w:divBdr>
                        <w:top w:val="none" w:sz="0" w:space="0" w:color="auto"/>
                        <w:left w:val="none" w:sz="0" w:space="0" w:color="auto"/>
                        <w:bottom w:val="none" w:sz="0" w:space="0" w:color="auto"/>
                        <w:right w:val="none" w:sz="0" w:space="0" w:color="auto"/>
                      </w:divBdr>
                    </w:div>
                  </w:divsChild>
                </w:div>
                <w:div w:id="1539584403">
                  <w:marLeft w:val="0"/>
                  <w:marRight w:val="0"/>
                  <w:marTop w:val="0"/>
                  <w:marBottom w:val="0"/>
                  <w:divBdr>
                    <w:top w:val="none" w:sz="0" w:space="0" w:color="auto"/>
                    <w:left w:val="none" w:sz="0" w:space="0" w:color="auto"/>
                    <w:bottom w:val="none" w:sz="0" w:space="0" w:color="auto"/>
                    <w:right w:val="none" w:sz="0" w:space="0" w:color="auto"/>
                  </w:divBdr>
                  <w:divsChild>
                    <w:div w:id="1914467899">
                      <w:marLeft w:val="0"/>
                      <w:marRight w:val="0"/>
                      <w:marTop w:val="0"/>
                      <w:marBottom w:val="0"/>
                      <w:divBdr>
                        <w:top w:val="none" w:sz="0" w:space="0" w:color="auto"/>
                        <w:left w:val="none" w:sz="0" w:space="0" w:color="auto"/>
                        <w:bottom w:val="none" w:sz="0" w:space="0" w:color="auto"/>
                        <w:right w:val="none" w:sz="0" w:space="0" w:color="auto"/>
                      </w:divBdr>
                    </w:div>
                  </w:divsChild>
                </w:div>
                <w:div w:id="1550453173">
                  <w:marLeft w:val="0"/>
                  <w:marRight w:val="0"/>
                  <w:marTop w:val="0"/>
                  <w:marBottom w:val="0"/>
                  <w:divBdr>
                    <w:top w:val="none" w:sz="0" w:space="0" w:color="auto"/>
                    <w:left w:val="none" w:sz="0" w:space="0" w:color="auto"/>
                    <w:bottom w:val="none" w:sz="0" w:space="0" w:color="auto"/>
                    <w:right w:val="none" w:sz="0" w:space="0" w:color="auto"/>
                  </w:divBdr>
                  <w:divsChild>
                    <w:div w:id="702898919">
                      <w:marLeft w:val="0"/>
                      <w:marRight w:val="0"/>
                      <w:marTop w:val="0"/>
                      <w:marBottom w:val="0"/>
                      <w:divBdr>
                        <w:top w:val="none" w:sz="0" w:space="0" w:color="auto"/>
                        <w:left w:val="none" w:sz="0" w:space="0" w:color="auto"/>
                        <w:bottom w:val="none" w:sz="0" w:space="0" w:color="auto"/>
                        <w:right w:val="none" w:sz="0" w:space="0" w:color="auto"/>
                      </w:divBdr>
                    </w:div>
                  </w:divsChild>
                </w:div>
                <w:div w:id="1596404769">
                  <w:marLeft w:val="0"/>
                  <w:marRight w:val="0"/>
                  <w:marTop w:val="0"/>
                  <w:marBottom w:val="0"/>
                  <w:divBdr>
                    <w:top w:val="none" w:sz="0" w:space="0" w:color="auto"/>
                    <w:left w:val="none" w:sz="0" w:space="0" w:color="auto"/>
                    <w:bottom w:val="none" w:sz="0" w:space="0" w:color="auto"/>
                    <w:right w:val="none" w:sz="0" w:space="0" w:color="auto"/>
                  </w:divBdr>
                  <w:divsChild>
                    <w:div w:id="1500926057">
                      <w:marLeft w:val="0"/>
                      <w:marRight w:val="0"/>
                      <w:marTop w:val="0"/>
                      <w:marBottom w:val="0"/>
                      <w:divBdr>
                        <w:top w:val="none" w:sz="0" w:space="0" w:color="auto"/>
                        <w:left w:val="none" w:sz="0" w:space="0" w:color="auto"/>
                        <w:bottom w:val="none" w:sz="0" w:space="0" w:color="auto"/>
                        <w:right w:val="none" w:sz="0" w:space="0" w:color="auto"/>
                      </w:divBdr>
                    </w:div>
                  </w:divsChild>
                </w:div>
                <w:div w:id="1614752360">
                  <w:marLeft w:val="0"/>
                  <w:marRight w:val="0"/>
                  <w:marTop w:val="0"/>
                  <w:marBottom w:val="0"/>
                  <w:divBdr>
                    <w:top w:val="none" w:sz="0" w:space="0" w:color="auto"/>
                    <w:left w:val="none" w:sz="0" w:space="0" w:color="auto"/>
                    <w:bottom w:val="none" w:sz="0" w:space="0" w:color="auto"/>
                    <w:right w:val="none" w:sz="0" w:space="0" w:color="auto"/>
                  </w:divBdr>
                  <w:divsChild>
                    <w:div w:id="1182546600">
                      <w:marLeft w:val="0"/>
                      <w:marRight w:val="0"/>
                      <w:marTop w:val="0"/>
                      <w:marBottom w:val="0"/>
                      <w:divBdr>
                        <w:top w:val="none" w:sz="0" w:space="0" w:color="auto"/>
                        <w:left w:val="none" w:sz="0" w:space="0" w:color="auto"/>
                        <w:bottom w:val="none" w:sz="0" w:space="0" w:color="auto"/>
                        <w:right w:val="none" w:sz="0" w:space="0" w:color="auto"/>
                      </w:divBdr>
                    </w:div>
                  </w:divsChild>
                </w:div>
                <w:div w:id="1617442971">
                  <w:marLeft w:val="0"/>
                  <w:marRight w:val="0"/>
                  <w:marTop w:val="0"/>
                  <w:marBottom w:val="0"/>
                  <w:divBdr>
                    <w:top w:val="none" w:sz="0" w:space="0" w:color="auto"/>
                    <w:left w:val="none" w:sz="0" w:space="0" w:color="auto"/>
                    <w:bottom w:val="none" w:sz="0" w:space="0" w:color="auto"/>
                    <w:right w:val="none" w:sz="0" w:space="0" w:color="auto"/>
                  </w:divBdr>
                  <w:divsChild>
                    <w:div w:id="2144536085">
                      <w:marLeft w:val="0"/>
                      <w:marRight w:val="0"/>
                      <w:marTop w:val="0"/>
                      <w:marBottom w:val="0"/>
                      <w:divBdr>
                        <w:top w:val="none" w:sz="0" w:space="0" w:color="auto"/>
                        <w:left w:val="none" w:sz="0" w:space="0" w:color="auto"/>
                        <w:bottom w:val="none" w:sz="0" w:space="0" w:color="auto"/>
                        <w:right w:val="none" w:sz="0" w:space="0" w:color="auto"/>
                      </w:divBdr>
                    </w:div>
                  </w:divsChild>
                </w:div>
                <w:div w:id="1697535044">
                  <w:marLeft w:val="0"/>
                  <w:marRight w:val="0"/>
                  <w:marTop w:val="0"/>
                  <w:marBottom w:val="0"/>
                  <w:divBdr>
                    <w:top w:val="none" w:sz="0" w:space="0" w:color="auto"/>
                    <w:left w:val="none" w:sz="0" w:space="0" w:color="auto"/>
                    <w:bottom w:val="none" w:sz="0" w:space="0" w:color="auto"/>
                    <w:right w:val="none" w:sz="0" w:space="0" w:color="auto"/>
                  </w:divBdr>
                  <w:divsChild>
                    <w:div w:id="626594323">
                      <w:marLeft w:val="0"/>
                      <w:marRight w:val="0"/>
                      <w:marTop w:val="0"/>
                      <w:marBottom w:val="0"/>
                      <w:divBdr>
                        <w:top w:val="none" w:sz="0" w:space="0" w:color="auto"/>
                        <w:left w:val="none" w:sz="0" w:space="0" w:color="auto"/>
                        <w:bottom w:val="none" w:sz="0" w:space="0" w:color="auto"/>
                        <w:right w:val="none" w:sz="0" w:space="0" w:color="auto"/>
                      </w:divBdr>
                    </w:div>
                  </w:divsChild>
                </w:div>
                <w:div w:id="1708291750">
                  <w:marLeft w:val="0"/>
                  <w:marRight w:val="0"/>
                  <w:marTop w:val="0"/>
                  <w:marBottom w:val="0"/>
                  <w:divBdr>
                    <w:top w:val="none" w:sz="0" w:space="0" w:color="auto"/>
                    <w:left w:val="none" w:sz="0" w:space="0" w:color="auto"/>
                    <w:bottom w:val="none" w:sz="0" w:space="0" w:color="auto"/>
                    <w:right w:val="none" w:sz="0" w:space="0" w:color="auto"/>
                  </w:divBdr>
                  <w:divsChild>
                    <w:div w:id="835072249">
                      <w:marLeft w:val="0"/>
                      <w:marRight w:val="0"/>
                      <w:marTop w:val="0"/>
                      <w:marBottom w:val="0"/>
                      <w:divBdr>
                        <w:top w:val="none" w:sz="0" w:space="0" w:color="auto"/>
                        <w:left w:val="none" w:sz="0" w:space="0" w:color="auto"/>
                        <w:bottom w:val="none" w:sz="0" w:space="0" w:color="auto"/>
                        <w:right w:val="none" w:sz="0" w:space="0" w:color="auto"/>
                      </w:divBdr>
                    </w:div>
                  </w:divsChild>
                </w:div>
                <w:div w:id="1780761849">
                  <w:marLeft w:val="0"/>
                  <w:marRight w:val="0"/>
                  <w:marTop w:val="0"/>
                  <w:marBottom w:val="0"/>
                  <w:divBdr>
                    <w:top w:val="none" w:sz="0" w:space="0" w:color="auto"/>
                    <w:left w:val="none" w:sz="0" w:space="0" w:color="auto"/>
                    <w:bottom w:val="none" w:sz="0" w:space="0" w:color="auto"/>
                    <w:right w:val="none" w:sz="0" w:space="0" w:color="auto"/>
                  </w:divBdr>
                  <w:divsChild>
                    <w:div w:id="265423819">
                      <w:marLeft w:val="0"/>
                      <w:marRight w:val="0"/>
                      <w:marTop w:val="0"/>
                      <w:marBottom w:val="0"/>
                      <w:divBdr>
                        <w:top w:val="none" w:sz="0" w:space="0" w:color="auto"/>
                        <w:left w:val="none" w:sz="0" w:space="0" w:color="auto"/>
                        <w:bottom w:val="none" w:sz="0" w:space="0" w:color="auto"/>
                        <w:right w:val="none" w:sz="0" w:space="0" w:color="auto"/>
                      </w:divBdr>
                    </w:div>
                  </w:divsChild>
                </w:div>
                <w:div w:id="1899591861">
                  <w:marLeft w:val="0"/>
                  <w:marRight w:val="0"/>
                  <w:marTop w:val="0"/>
                  <w:marBottom w:val="0"/>
                  <w:divBdr>
                    <w:top w:val="none" w:sz="0" w:space="0" w:color="auto"/>
                    <w:left w:val="none" w:sz="0" w:space="0" w:color="auto"/>
                    <w:bottom w:val="none" w:sz="0" w:space="0" w:color="auto"/>
                    <w:right w:val="none" w:sz="0" w:space="0" w:color="auto"/>
                  </w:divBdr>
                  <w:divsChild>
                    <w:div w:id="1014190969">
                      <w:marLeft w:val="0"/>
                      <w:marRight w:val="0"/>
                      <w:marTop w:val="0"/>
                      <w:marBottom w:val="0"/>
                      <w:divBdr>
                        <w:top w:val="none" w:sz="0" w:space="0" w:color="auto"/>
                        <w:left w:val="none" w:sz="0" w:space="0" w:color="auto"/>
                        <w:bottom w:val="none" w:sz="0" w:space="0" w:color="auto"/>
                        <w:right w:val="none" w:sz="0" w:space="0" w:color="auto"/>
                      </w:divBdr>
                    </w:div>
                  </w:divsChild>
                </w:div>
                <w:div w:id="1932741672">
                  <w:marLeft w:val="0"/>
                  <w:marRight w:val="0"/>
                  <w:marTop w:val="0"/>
                  <w:marBottom w:val="0"/>
                  <w:divBdr>
                    <w:top w:val="none" w:sz="0" w:space="0" w:color="auto"/>
                    <w:left w:val="none" w:sz="0" w:space="0" w:color="auto"/>
                    <w:bottom w:val="none" w:sz="0" w:space="0" w:color="auto"/>
                    <w:right w:val="none" w:sz="0" w:space="0" w:color="auto"/>
                  </w:divBdr>
                  <w:divsChild>
                    <w:div w:id="992835986">
                      <w:marLeft w:val="0"/>
                      <w:marRight w:val="0"/>
                      <w:marTop w:val="0"/>
                      <w:marBottom w:val="0"/>
                      <w:divBdr>
                        <w:top w:val="none" w:sz="0" w:space="0" w:color="auto"/>
                        <w:left w:val="none" w:sz="0" w:space="0" w:color="auto"/>
                        <w:bottom w:val="none" w:sz="0" w:space="0" w:color="auto"/>
                        <w:right w:val="none" w:sz="0" w:space="0" w:color="auto"/>
                      </w:divBdr>
                    </w:div>
                  </w:divsChild>
                </w:div>
                <w:div w:id="1991321261">
                  <w:marLeft w:val="0"/>
                  <w:marRight w:val="0"/>
                  <w:marTop w:val="0"/>
                  <w:marBottom w:val="0"/>
                  <w:divBdr>
                    <w:top w:val="none" w:sz="0" w:space="0" w:color="auto"/>
                    <w:left w:val="none" w:sz="0" w:space="0" w:color="auto"/>
                    <w:bottom w:val="none" w:sz="0" w:space="0" w:color="auto"/>
                    <w:right w:val="none" w:sz="0" w:space="0" w:color="auto"/>
                  </w:divBdr>
                  <w:divsChild>
                    <w:div w:id="952126969">
                      <w:marLeft w:val="0"/>
                      <w:marRight w:val="0"/>
                      <w:marTop w:val="0"/>
                      <w:marBottom w:val="0"/>
                      <w:divBdr>
                        <w:top w:val="none" w:sz="0" w:space="0" w:color="auto"/>
                        <w:left w:val="none" w:sz="0" w:space="0" w:color="auto"/>
                        <w:bottom w:val="none" w:sz="0" w:space="0" w:color="auto"/>
                        <w:right w:val="none" w:sz="0" w:space="0" w:color="auto"/>
                      </w:divBdr>
                    </w:div>
                  </w:divsChild>
                </w:div>
                <w:div w:id="2005283207">
                  <w:marLeft w:val="0"/>
                  <w:marRight w:val="0"/>
                  <w:marTop w:val="0"/>
                  <w:marBottom w:val="0"/>
                  <w:divBdr>
                    <w:top w:val="none" w:sz="0" w:space="0" w:color="auto"/>
                    <w:left w:val="none" w:sz="0" w:space="0" w:color="auto"/>
                    <w:bottom w:val="none" w:sz="0" w:space="0" w:color="auto"/>
                    <w:right w:val="none" w:sz="0" w:space="0" w:color="auto"/>
                  </w:divBdr>
                  <w:divsChild>
                    <w:div w:id="2074545546">
                      <w:marLeft w:val="0"/>
                      <w:marRight w:val="0"/>
                      <w:marTop w:val="0"/>
                      <w:marBottom w:val="0"/>
                      <w:divBdr>
                        <w:top w:val="none" w:sz="0" w:space="0" w:color="auto"/>
                        <w:left w:val="none" w:sz="0" w:space="0" w:color="auto"/>
                        <w:bottom w:val="none" w:sz="0" w:space="0" w:color="auto"/>
                        <w:right w:val="none" w:sz="0" w:space="0" w:color="auto"/>
                      </w:divBdr>
                    </w:div>
                  </w:divsChild>
                </w:div>
                <w:div w:id="2008560405">
                  <w:marLeft w:val="0"/>
                  <w:marRight w:val="0"/>
                  <w:marTop w:val="0"/>
                  <w:marBottom w:val="0"/>
                  <w:divBdr>
                    <w:top w:val="none" w:sz="0" w:space="0" w:color="auto"/>
                    <w:left w:val="none" w:sz="0" w:space="0" w:color="auto"/>
                    <w:bottom w:val="none" w:sz="0" w:space="0" w:color="auto"/>
                    <w:right w:val="none" w:sz="0" w:space="0" w:color="auto"/>
                  </w:divBdr>
                  <w:divsChild>
                    <w:div w:id="625816376">
                      <w:marLeft w:val="0"/>
                      <w:marRight w:val="0"/>
                      <w:marTop w:val="0"/>
                      <w:marBottom w:val="0"/>
                      <w:divBdr>
                        <w:top w:val="none" w:sz="0" w:space="0" w:color="auto"/>
                        <w:left w:val="none" w:sz="0" w:space="0" w:color="auto"/>
                        <w:bottom w:val="none" w:sz="0" w:space="0" w:color="auto"/>
                        <w:right w:val="none" w:sz="0" w:space="0" w:color="auto"/>
                      </w:divBdr>
                    </w:div>
                  </w:divsChild>
                </w:div>
                <w:div w:id="2010252582">
                  <w:marLeft w:val="0"/>
                  <w:marRight w:val="0"/>
                  <w:marTop w:val="0"/>
                  <w:marBottom w:val="0"/>
                  <w:divBdr>
                    <w:top w:val="none" w:sz="0" w:space="0" w:color="auto"/>
                    <w:left w:val="none" w:sz="0" w:space="0" w:color="auto"/>
                    <w:bottom w:val="none" w:sz="0" w:space="0" w:color="auto"/>
                    <w:right w:val="none" w:sz="0" w:space="0" w:color="auto"/>
                  </w:divBdr>
                  <w:divsChild>
                    <w:div w:id="1403605064">
                      <w:marLeft w:val="0"/>
                      <w:marRight w:val="0"/>
                      <w:marTop w:val="0"/>
                      <w:marBottom w:val="0"/>
                      <w:divBdr>
                        <w:top w:val="none" w:sz="0" w:space="0" w:color="auto"/>
                        <w:left w:val="none" w:sz="0" w:space="0" w:color="auto"/>
                        <w:bottom w:val="none" w:sz="0" w:space="0" w:color="auto"/>
                        <w:right w:val="none" w:sz="0" w:space="0" w:color="auto"/>
                      </w:divBdr>
                    </w:div>
                  </w:divsChild>
                </w:div>
                <w:div w:id="2011129908">
                  <w:marLeft w:val="0"/>
                  <w:marRight w:val="0"/>
                  <w:marTop w:val="0"/>
                  <w:marBottom w:val="0"/>
                  <w:divBdr>
                    <w:top w:val="none" w:sz="0" w:space="0" w:color="auto"/>
                    <w:left w:val="none" w:sz="0" w:space="0" w:color="auto"/>
                    <w:bottom w:val="none" w:sz="0" w:space="0" w:color="auto"/>
                    <w:right w:val="none" w:sz="0" w:space="0" w:color="auto"/>
                  </w:divBdr>
                  <w:divsChild>
                    <w:div w:id="745687155">
                      <w:marLeft w:val="0"/>
                      <w:marRight w:val="0"/>
                      <w:marTop w:val="0"/>
                      <w:marBottom w:val="0"/>
                      <w:divBdr>
                        <w:top w:val="none" w:sz="0" w:space="0" w:color="auto"/>
                        <w:left w:val="none" w:sz="0" w:space="0" w:color="auto"/>
                        <w:bottom w:val="none" w:sz="0" w:space="0" w:color="auto"/>
                        <w:right w:val="none" w:sz="0" w:space="0" w:color="auto"/>
                      </w:divBdr>
                    </w:div>
                  </w:divsChild>
                </w:div>
                <w:div w:id="2097702741">
                  <w:marLeft w:val="0"/>
                  <w:marRight w:val="0"/>
                  <w:marTop w:val="0"/>
                  <w:marBottom w:val="0"/>
                  <w:divBdr>
                    <w:top w:val="none" w:sz="0" w:space="0" w:color="auto"/>
                    <w:left w:val="none" w:sz="0" w:space="0" w:color="auto"/>
                    <w:bottom w:val="none" w:sz="0" w:space="0" w:color="auto"/>
                    <w:right w:val="none" w:sz="0" w:space="0" w:color="auto"/>
                  </w:divBdr>
                  <w:divsChild>
                    <w:div w:id="1174370823">
                      <w:marLeft w:val="0"/>
                      <w:marRight w:val="0"/>
                      <w:marTop w:val="0"/>
                      <w:marBottom w:val="0"/>
                      <w:divBdr>
                        <w:top w:val="none" w:sz="0" w:space="0" w:color="auto"/>
                        <w:left w:val="none" w:sz="0" w:space="0" w:color="auto"/>
                        <w:bottom w:val="none" w:sz="0" w:space="0" w:color="auto"/>
                        <w:right w:val="none" w:sz="0" w:space="0" w:color="auto"/>
                      </w:divBdr>
                    </w:div>
                  </w:divsChild>
                </w:div>
                <w:div w:id="2104646147">
                  <w:marLeft w:val="0"/>
                  <w:marRight w:val="0"/>
                  <w:marTop w:val="0"/>
                  <w:marBottom w:val="0"/>
                  <w:divBdr>
                    <w:top w:val="none" w:sz="0" w:space="0" w:color="auto"/>
                    <w:left w:val="none" w:sz="0" w:space="0" w:color="auto"/>
                    <w:bottom w:val="none" w:sz="0" w:space="0" w:color="auto"/>
                    <w:right w:val="none" w:sz="0" w:space="0" w:color="auto"/>
                  </w:divBdr>
                  <w:divsChild>
                    <w:div w:id="2104647453">
                      <w:marLeft w:val="0"/>
                      <w:marRight w:val="0"/>
                      <w:marTop w:val="0"/>
                      <w:marBottom w:val="0"/>
                      <w:divBdr>
                        <w:top w:val="none" w:sz="0" w:space="0" w:color="auto"/>
                        <w:left w:val="none" w:sz="0" w:space="0" w:color="auto"/>
                        <w:bottom w:val="none" w:sz="0" w:space="0" w:color="auto"/>
                        <w:right w:val="none" w:sz="0" w:space="0" w:color="auto"/>
                      </w:divBdr>
                    </w:div>
                  </w:divsChild>
                </w:div>
                <w:div w:id="2140755311">
                  <w:marLeft w:val="0"/>
                  <w:marRight w:val="0"/>
                  <w:marTop w:val="0"/>
                  <w:marBottom w:val="0"/>
                  <w:divBdr>
                    <w:top w:val="none" w:sz="0" w:space="0" w:color="auto"/>
                    <w:left w:val="none" w:sz="0" w:space="0" w:color="auto"/>
                    <w:bottom w:val="none" w:sz="0" w:space="0" w:color="auto"/>
                    <w:right w:val="none" w:sz="0" w:space="0" w:color="auto"/>
                  </w:divBdr>
                  <w:divsChild>
                    <w:div w:id="10927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047557">
          <w:marLeft w:val="0"/>
          <w:marRight w:val="0"/>
          <w:marTop w:val="0"/>
          <w:marBottom w:val="0"/>
          <w:divBdr>
            <w:top w:val="none" w:sz="0" w:space="0" w:color="auto"/>
            <w:left w:val="none" w:sz="0" w:space="0" w:color="auto"/>
            <w:bottom w:val="none" w:sz="0" w:space="0" w:color="auto"/>
            <w:right w:val="none" w:sz="0" w:space="0" w:color="auto"/>
          </w:divBdr>
        </w:div>
        <w:div w:id="2012222149">
          <w:marLeft w:val="0"/>
          <w:marRight w:val="0"/>
          <w:marTop w:val="0"/>
          <w:marBottom w:val="0"/>
          <w:divBdr>
            <w:top w:val="none" w:sz="0" w:space="0" w:color="auto"/>
            <w:left w:val="none" w:sz="0" w:space="0" w:color="auto"/>
            <w:bottom w:val="none" w:sz="0" w:space="0" w:color="auto"/>
            <w:right w:val="none" w:sz="0" w:space="0" w:color="auto"/>
          </w:divBdr>
        </w:div>
      </w:divsChild>
    </w:div>
    <w:div w:id="1510214928">
      <w:bodyDiv w:val="1"/>
      <w:marLeft w:val="0"/>
      <w:marRight w:val="0"/>
      <w:marTop w:val="0"/>
      <w:marBottom w:val="0"/>
      <w:divBdr>
        <w:top w:val="none" w:sz="0" w:space="0" w:color="auto"/>
        <w:left w:val="none" w:sz="0" w:space="0" w:color="auto"/>
        <w:bottom w:val="none" w:sz="0" w:space="0" w:color="auto"/>
        <w:right w:val="none" w:sz="0" w:space="0" w:color="auto"/>
      </w:divBdr>
      <w:divsChild>
        <w:div w:id="281228544">
          <w:marLeft w:val="0"/>
          <w:marRight w:val="0"/>
          <w:marTop w:val="0"/>
          <w:marBottom w:val="0"/>
          <w:divBdr>
            <w:top w:val="none" w:sz="0" w:space="0" w:color="auto"/>
            <w:left w:val="none" w:sz="0" w:space="0" w:color="auto"/>
            <w:bottom w:val="none" w:sz="0" w:space="0" w:color="auto"/>
            <w:right w:val="none" w:sz="0" w:space="0" w:color="auto"/>
          </w:divBdr>
        </w:div>
        <w:div w:id="471870623">
          <w:marLeft w:val="0"/>
          <w:marRight w:val="0"/>
          <w:marTop w:val="0"/>
          <w:marBottom w:val="0"/>
          <w:divBdr>
            <w:top w:val="none" w:sz="0" w:space="0" w:color="auto"/>
            <w:left w:val="none" w:sz="0" w:space="0" w:color="auto"/>
            <w:bottom w:val="none" w:sz="0" w:space="0" w:color="auto"/>
            <w:right w:val="none" w:sz="0" w:space="0" w:color="auto"/>
          </w:divBdr>
        </w:div>
        <w:div w:id="774136431">
          <w:marLeft w:val="0"/>
          <w:marRight w:val="0"/>
          <w:marTop w:val="0"/>
          <w:marBottom w:val="0"/>
          <w:divBdr>
            <w:top w:val="none" w:sz="0" w:space="0" w:color="auto"/>
            <w:left w:val="none" w:sz="0" w:space="0" w:color="auto"/>
            <w:bottom w:val="none" w:sz="0" w:space="0" w:color="auto"/>
            <w:right w:val="none" w:sz="0" w:space="0" w:color="auto"/>
          </w:divBdr>
        </w:div>
        <w:div w:id="902838349">
          <w:marLeft w:val="0"/>
          <w:marRight w:val="0"/>
          <w:marTop w:val="0"/>
          <w:marBottom w:val="0"/>
          <w:divBdr>
            <w:top w:val="none" w:sz="0" w:space="0" w:color="auto"/>
            <w:left w:val="none" w:sz="0" w:space="0" w:color="auto"/>
            <w:bottom w:val="none" w:sz="0" w:space="0" w:color="auto"/>
            <w:right w:val="none" w:sz="0" w:space="0" w:color="auto"/>
          </w:divBdr>
        </w:div>
        <w:div w:id="1419401629">
          <w:marLeft w:val="0"/>
          <w:marRight w:val="0"/>
          <w:marTop w:val="0"/>
          <w:marBottom w:val="0"/>
          <w:divBdr>
            <w:top w:val="none" w:sz="0" w:space="0" w:color="auto"/>
            <w:left w:val="none" w:sz="0" w:space="0" w:color="auto"/>
            <w:bottom w:val="none" w:sz="0" w:space="0" w:color="auto"/>
            <w:right w:val="none" w:sz="0" w:space="0" w:color="auto"/>
          </w:divBdr>
        </w:div>
        <w:div w:id="1864245920">
          <w:marLeft w:val="0"/>
          <w:marRight w:val="0"/>
          <w:marTop w:val="0"/>
          <w:marBottom w:val="0"/>
          <w:divBdr>
            <w:top w:val="none" w:sz="0" w:space="0" w:color="auto"/>
            <w:left w:val="none" w:sz="0" w:space="0" w:color="auto"/>
            <w:bottom w:val="none" w:sz="0" w:space="0" w:color="auto"/>
            <w:right w:val="none" w:sz="0" w:space="0" w:color="auto"/>
          </w:divBdr>
        </w:div>
      </w:divsChild>
    </w:div>
    <w:div w:id="181576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117" Type="http://schemas.openxmlformats.org/officeDocument/2006/relationships/hyperlink" Target="https://docs.cpuc.ca.gov/PublishedDocs/Published/G000/M070/K145/70145464.PDF" TargetMode="External"/><Relationship Id="rId21" Type="http://schemas.openxmlformats.org/officeDocument/2006/relationships/hyperlink" Target="https://docs.cpuc.ca.gov/PublishedDocs/Published/G000/M070/K145/70145464.PDF" TargetMode="External"/><Relationship Id="rId42" Type="http://schemas.openxmlformats.org/officeDocument/2006/relationships/hyperlink" Target="http://docs.cpuc.ca.gov/PublishedDocs/WORD_PDF/FINAL_DECISION/39314.PDF" TargetMode="External"/><Relationship Id="rId47" Type="http://schemas.openxmlformats.org/officeDocument/2006/relationships/hyperlink" Target="https://docs.cpuc.ca.gov/PublishedDocs/Published/G000/M520/K896/520896345.pdf" TargetMode="External"/><Relationship Id="rId63" Type="http://schemas.openxmlformats.org/officeDocument/2006/relationships/footer" Target="footer9.xml"/><Relationship Id="rId68" Type="http://schemas.openxmlformats.org/officeDocument/2006/relationships/footer" Target="footer13.xml"/><Relationship Id="rId84" Type="http://schemas.openxmlformats.org/officeDocument/2006/relationships/hyperlink" Target="https://docs.cpuc.ca.gov/PublishedDocs/Published/G000/M503/K914/503914324.PDF" TargetMode="External"/><Relationship Id="rId89" Type="http://schemas.openxmlformats.org/officeDocument/2006/relationships/hyperlink" Target="https://docs.cpuc.ca.gov/PublishedDocs/Published/G000/M503/K914/503914324.PDF" TargetMode="External"/><Relationship Id="rId112" Type="http://schemas.openxmlformats.org/officeDocument/2006/relationships/hyperlink" Target="https://docs.cpuc.ca.gov/PublishedDocs/Published/G000/M503/K914/503914324.PDF" TargetMode="External"/><Relationship Id="rId16" Type="http://schemas.openxmlformats.org/officeDocument/2006/relationships/header" Target="header3.xml"/><Relationship Id="rId107" Type="http://schemas.openxmlformats.org/officeDocument/2006/relationships/hyperlink" Target="https://docs.cpuc.ca.gov/PublishedDocs/Published/G000/M350/K789/350789679.PDF" TargetMode="External"/><Relationship Id="rId11" Type="http://schemas.openxmlformats.org/officeDocument/2006/relationships/image" Target="media/image1.png"/><Relationship Id="rId32" Type="http://schemas.openxmlformats.org/officeDocument/2006/relationships/hyperlink" Target="https://docs.cpuc.ca.gov/PublishedDocs/Published/G000/M531/K559/531559739.PDF" TargetMode="External"/><Relationship Id="rId37" Type="http://schemas.openxmlformats.org/officeDocument/2006/relationships/hyperlink" Target="https://docs.cpuc.ca.gov/PublishedDocs/Published/G000/M550/K485/550485071.pdf" TargetMode="External"/><Relationship Id="rId53" Type="http://schemas.openxmlformats.org/officeDocument/2006/relationships/hyperlink" Target="https://docs.cpuc.ca.gov/PublishedDocs/Published/G000/M350/K789/350789679.PDF" TargetMode="External"/><Relationship Id="rId58" Type="http://schemas.openxmlformats.org/officeDocument/2006/relationships/hyperlink" Target="https://docs.cpuc.ca.gov/PublishedDocs/Published/G000/M521/K196/521196139.PDF" TargetMode="External"/><Relationship Id="rId74" Type="http://schemas.openxmlformats.org/officeDocument/2006/relationships/hyperlink" Target="https://docs.cpuc.ca.gov/PublishedDocs/WORD_PDF/FINAL_DECISION/39314.PDF" TargetMode="External"/><Relationship Id="rId79" Type="http://schemas.openxmlformats.org/officeDocument/2006/relationships/hyperlink" Target="https://docs.cpuc.ca.gov/PublishedDocs/Published/G000/M350/K789/350789679.PDF" TargetMode="External"/><Relationship Id="rId102" Type="http://schemas.openxmlformats.org/officeDocument/2006/relationships/hyperlink" Target="https://docs.cpuc.ca.gov/PublishedDocs/WORD_PDF/FINAL_DECISION/39314.PDF" TargetMode="External"/><Relationship Id="rId123" Type="http://schemas.openxmlformats.org/officeDocument/2006/relationships/hyperlink" Target="https://docs.cpuc.ca.gov/PublishedDocs/Published/G000/M531/K559/531559739.PDF" TargetMode="External"/><Relationship Id="rId5" Type="http://schemas.openxmlformats.org/officeDocument/2006/relationships/numbering" Target="numbering.xml"/><Relationship Id="rId90" Type="http://schemas.openxmlformats.org/officeDocument/2006/relationships/hyperlink" Target="https://docs.cpuc.ca.gov/PublishedDocs/Published/G000/M503/K914/503914324.PDF" TargetMode="External"/><Relationship Id="rId95" Type="http://schemas.openxmlformats.org/officeDocument/2006/relationships/footer" Target="footer16.xml"/><Relationship Id="rId22" Type="http://schemas.openxmlformats.org/officeDocument/2006/relationships/hyperlink" Target="https://docs.cpuc.ca.gov/PublishedDocs/Published/G000/M350/K789/350789679.PDF" TargetMode="External"/><Relationship Id="rId27" Type="http://schemas.openxmlformats.org/officeDocument/2006/relationships/footer" Target="footer6.xml"/><Relationship Id="rId43" Type="http://schemas.openxmlformats.org/officeDocument/2006/relationships/hyperlink" Target="https://docs.cpuc.ca.gov/PublishedDocs/Published/G000/M461/K921/461921821.PDF" TargetMode="External"/><Relationship Id="rId48" Type="http://schemas.openxmlformats.org/officeDocument/2006/relationships/hyperlink" Target="https://docs.cpuc.ca.gov/PublishedDocs/Published/G000/M507/K499/507499284.PDF" TargetMode="External"/><Relationship Id="rId64" Type="http://schemas.openxmlformats.org/officeDocument/2006/relationships/footer" Target="footer10.xml"/><Relationship Id="rId69" Type="http://schemas.openxmlformats.org/officeDocument/2006/relationships/header" Target="header7.xml"/><Relationship Id="rId113" Type="http://schemas.openxmlformats.org/officeDocument/2006/relationships/hyperlink" Target="https://docs.cpuc.ca.gov/PublishedDocs/Published/G000/M531/K559/531559739.PDF" TargetMode="External"/><Relationship Id="rId118" Type="http://schemas.openxmlformats.org/officeDocument/2006/relationships/hyperlink" Target="https://docs.cpuc.ca.gov/PublishedDocs/Published/G000/M531/K559/531559739.PDF" TargetMode="External"/><Relationship Id="rId80" Type="http://schemas.openxmlformats.org/officeDocument/2006/relationships/hyperlink" Target="https://www.energy.ca.gov/data-reports/reports/energy-research-and-development-investment-plans-and-annual-reports." TargetMode="External"/><Relationship Id="rId85" Type="http://schemas.openxmlformats.org/officeDocument/2006/relationships/hyperlink" Target="https://docs.cpuc.ca.gov/PublishedDocs/Published/G000/M503/K914/503914324.PDF"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s://docs.cpuc.ca.gov/PublishedDocs/Published/G000/M461/K921/461921821.PDF" TargetMode="External"/><Relationship Id="rId38" Type="http://schemas.openxmlformats.org/officeDocument/2006/relationships/hyperlink" Target="https://docs.cpuc.ca.gov/PublishedDocs/Published/G000/M507/K499/507499284.PDF" TargetMode="External"/><Relationship Id="rId59" Type="http://schemas.openxmlformats.org/officeDocument/2006/relationships/hyperlink" Target="https://docs.cpuc.ca.gov/PublishedDocs/Published/G000/M520/K896/520896345.pdf" TargetMode="External"/><Relationship Id="rId103" Type="http://schemas.openxmlformats.org/officeDocument/2006/relationships/hyperlink" Target="https://docs.cpuc.ca.gov/word_pdf/FINAL_RESOLUTION/63130.pdf" TargetMode="External"/><Relationship Id="rId108" Type="http://schemas.openxmlformats.org/officeDocument/2006/relationships/hyperlink" Target="https://docs.cpuc.ca.gov/PublishedDocs/Published/G000/M410/K138/410138703.PDF" TargetMode="External"/><Relationship Id="rId124" Type="http://schemas.openxmlformats.org/officeDocument/2006/relationships/hyperlink" Target="https://docs.cpuc.ca.gov/PublishedDocs/Published/G000/M626/K651/626651318.pdf" TargetMode="External"/><Relationship Id="rId54" Type="http://schemas.openxmlformats.org/officeDocument/2006/relationships/hyperlink" Target="https://docs.cpuc.ca.gov/PublishedDocs/Published/G000/M372/K329/372329202.PDF" TargetMode="External"/><Relationship Id="rId70" Type="http://schemas.openxmlformats.org/officeDocument/2006/relationships/footer" Target="footer14.xml"/><Relationship Id="rId75" Type="http://schemas.openxmlformats.org/officeDocument/2006/relationships/hyperlink" Target="https://docs.cpuc.ca.gov/PublishedDocs/WORD_PDF/FINAL_DECISION/39314.PDF" TargetMode="External"/><Relationship Id="rId91" Type="http://schemas.openxmlformats.org/officeDocument/2006/relationships/hyperlink" Target="https://docs.cpuc.ca.gov/PublishedDocs/Published/G000/M070/K145/70145464.PDF" TargetMode="External"/><Relationship Id="rId96" Type="http://schemas.openxmlformats.org/officeDocument/2006/relationships/hyperlink" Target="https://docs.cpuc.ca.gov/PublishedDocs/Published/G000/M531/K559/531559739.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ocs.cpuc.ca.gov/PublishedDocs/Published/G000/M410/K138/410138703.PDF" TargetMode="External"/><Relationship Id="rId28" Type="http://schemas.openxmlformats.org/officeDocument/2006/relationships/footer" Target="footer7.xml"/><Relationship Id="rId49" Type="http://schemas.openxmlformats.org/officeDocument/2006/relationships/hyperlink" Target="https://docs.cpuc.ca.gov/PublishedDocs/Published/G000/M461/K921/461921821.PDF" TargetMode="External"/><Relationship Id="rId114" Type="http://schemas.openxmlformats.org/officeDocument/2006/relationships/hyperlink" Target="https://docs.cpuc.ca.gov/PublishedDocs/Published/G000/M531/K559/531559739.PDF" TargetMode="External"/><Relationship Id="rId119" Type="http://schemas.openxmlformats.org/officeDocument/2006/relationships/hyperlink" Target="https://www.energy.ca.gov/event/2024-02/workshop-analytical-framework-results-strategic-gas-infrastructure" TargetMode="External"/><Relationship Id="rId44" Type="http://schemas.openxmlformats.org/officeDocument/2006/relationships/hyperlink" Target="https://docs.cpuc.ca.gov/PublishedDocs/Published/G000/M503/K914/503914324.PDF" TargetMode="External"/><Relationship Id="rId60" Type="http://schemas.openxmlformats.org/officeDocument/2006/relationships/header" Target="header5.xml"/><Relationship Id="rId65" Type="http://schemas.openxmlformats.org/officeDocument/2006/relationships/hyperlink" Target="https://docs.cpuc.ca.gov/PublishedDocs/Published/G000/M081/K773/81773445.PDF" TargetMode="External"/><Relationship Id="rId81" Type="http://schemas.openxmlformats.org/officeDocument/2006/relationships/hyperlink" Target="https://docs.cpuc.ca.gov/PublishedDocs/Published/G000/M350/K789/350789679.PDF" TargetMode="External"/><Relationship Id="rId86" Type="http://schemas.openxmlformats.org/officeDocument/2006/relationships/hyperlink" Target="https://docs.cpuc.ca.gov/PublishedDocs/Published/G000/M503/K914/503914324.PDF" TargetMode="Externa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hyperlink" Target="https://docs.cpuc.ca.gov/PublishedDocs/Published/G000/M372/K329/372329202.PDF" TargetMode="External"/><Relationship Id="rId109" Type="http://schemas.openxmlformats.org/officeDocument/2006/relationships/hyperlink" Target="https://docs.cpuc.ca.gov/PublishedDocs/Published/G000/M410/K138/410138703.PDF" TargetMode="External"/><Relationship Id="rId34" Type="http://schemas.openxmlformats.org/officeDocument/2006/relationships/hyperlink" Target="https://docs.cpuc.ca.gov/PublishedDocs/Published/G000/M503/K914/503914324.PDF" TargetMode="External"/><Relationship Id="rId50" Type="http://schemas.openxmlformats.org/officeDocument/2006/relationships/hyperlink" Target="https://docs.cpuc.ca.gov/PublishedDocs/Published/G000/M520/K896/520896345.pdf" TargetMode="External"/><Relationship Id="rId55" Type="http://schemas.openxmlformats.org/officeDocument/2006/relationships/hyperlink" Target="https://docs.cpuc.ca.gov/PublishedDocs/Published/G000/M461/K921/461921821.PDF" TargetMode="External"/><Relationship Id="rId76" Type="http://schemas.openxmlformats.org/officeDocument/2006/relationships/hyperlink" Target="https://docs.cpuc.ca.gov/PublishedDocs/WORD_PDF/FINAL_DECISION/39314.PDF" TargetMode="External"/><Relationship Id="rId97" Type="http://schemas.openxmlformats.org/officeDocument/2006/relationships/hyperlink" Target="https://docs.cpuc.ca.gov/PublishedDocs/Published/G000/M531/K559/531559739.PDF" TargetMode="External"/><Relationship Id="rId104" Type="http://schemas.openxmlformats.org/officeDocument/2006/relationships/hyperlink" Target="https://docs.cpuc.ca.gov/PublishedDocs/Published/G000/M070/K145/70145464.PDF" TargetMode="External"/><Relationship Id="rId120" Type="http://schemas.openxmlformats.org/officeDocument/2006/relationships/hyperlink" Target="https://www.energy.ca.gov/event/workshop/2024-03/location-specific-gas-system-decommissioning-scoping-workshop" TargetMode="External"/><Relationship Id="rId125"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15.xml"/><Relationship Id="rId92" Type="http://schemas.openxmlformats.org/officeDocument/2006/relationships/hyperlink" Target="https://docs.cpuc.ca.gov/PublishedDocs/Published/G000/M531/K559/531559739.PDF" TargetMode="External"/><Relationship Id="rId2" Type="http://schemas.openxmlformats.org/officeDocument/2006/relationships/customXml" Target="../customXml/item2.xml"/><Relationship Id="rId29" Type="http://schemas.openxmlformats.org/officeDocument/2006/relationships/hyperlink" Target="https://docs.cpuc.ca.gov/PublishedDocs/Published/G000/M316/K704/316704666.PDF" TargetMode="External"/><Relationship Id="rId24" Type="http://schemas.openxmlformats.org/officeDocument/2006/relationships/hyperlink" Target="https://docs.cpuc.ca.gov/PublishedDocs/Published/G000/M503/K914/503914324.PDF" TargetMode="External"/><Relationship Id="rId40" Type="http://schemas.openxmlformats.org/officeDocument/2006/relationships/hyperlink" Target="https://docs.cpuc.ca.gov/PublishedDocs/Published/G000/M521/K196/521196139.PDF" TargetMode="External"/><Relationship Id="rId45" Type="http://schemas.openxmlformats.org/officeDocument/2006/relationships/hyperlink" Target="https://docs.cpuc.ca.gov/PublishedDocs/Published/G000/M521/K196/521196139.PDF" TargetMode="External"/><Relationship Id="rId66" Type="http://schemas.openxmlformats.org/officeDocument/2006/relationships/footer" Target="footer11.xml"/><Relationship Id="rId87" Type="http://schemas.openxmlformats.org/officeDocument/2006/relationships/hyperlink" Target="https://docs.cpuc.ca.gov/PublishedDocs/Published/G000/M531/K559/531559739.PDF" TargetMode="External"/><Relationship Id="rId110" Type="http://schemas.openxmlformats.org/officeDocument/2006/relationships/hyperlink" Target="https://docs.cpuc.ca.gov/PublishedDocs/Published/G000/M503/K914/503914324.PDF" TargetMode="External"/><Relationship Id="rId115" Type="http://schemas.openxmlformats.org/officeDocument/2006/relationships/hyperlink" Target="https://docs.cpuc.ca.gov/PublishedDocs/Published/G000/M503/K914/503914324.PDF" TargetMode="External"/><Relationship Id="rId61" Type="http://schemas.openxmlformats.org/officeDocument/2006/relationships/footer" Target="footer8.xml"/><Relationship Id="rId82" Type="http://schemas.openxmlformats.org/officeDocument/2006/relationships/hyperlink" Target="https://docs.cpuc.ca.gov/PublishedDocs/Published/G000/M410/K138/410138703.PDF" TargetMode="External"/><Relationship Id="rId19" Type="http://schemas.openxmlformats.org/officeDocument/2006/relationships/footer" Target="footer4.xml"/><Relationship Id="rId14" Type="http://schemas.openxmlformats.org/officeDocument/2006/relationships/header" Target="header2.xml"/><Relationship Id="rId30" Type="http://schemas.openxmlformats.org/officeDocument/2006/relationships/hyperlink" Target="https://docs.cpuc.ca.gov/PublishedDocs/Published/G000/M350/K789/350789679.PDF" TargetMode="External"/><Relationship Id="rId35" Type="http://schemas.openxmlformats.org/officeDocument/2006/relationships/hyperlink" Target="https://docs.cpuc.ca.gov/PublishedDocs/Published/G000/M521/K196/521196139.PDF" TargetMode="External"/><Relationship Id="rId56" Type="http://schemas.openxmlformats.org/officeDocument/2006/relationships/hyperlink" Target="https://www.cpuc.ca.gov/-/media/cpuc-website/divisions/news-and-outreach/documents/news-office/key-issues/esj/esj-action-plan-v2jw.pdf" TargetMode="External"/><Relationship Id="rId77" Type="http://schemas.openxmlformats.org/officeDocument/2006/relationships/hyperlink" Target="https://docs.cpuc.ca.gov/word_pdf/FINAL_RESOLUTION/63130.pdf" TargetMode="External"/><Relationship Id="rId100" Type="http://schemas.openxmlformats.org/officeDocument/2006/relationships/hyperlink" Target="https://docs.cpuc.ca.gov/PublishedDocs/WORD_PDF/FINAL_DECISION/39314.PDF" TargetMode="External"/><Relationship Id="rId105" Type="http://schemas.openxmlformats.org/officeDocument/2006/relationships/hyperlink" Target="https://docs.cpuc.ca.gov/PublishedDocs/Published/G000/M350/K789/350789679.PDF" TargetMode="External"/><Relationship Id="rId12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ca.gov/wp-content/uploads/2024/10/energy-EO-10-30-24.pdf" TargetMode="External"/><Relationship Id="rId72" Type="http://schemas.openxmlformats.org/officeDocument/2006/relationships/hyperlink" Target="https://docs.cpuc.ca.gov/PublishedDocs/Published/G000/M531/K559/531559739.PDF" TargetMode="External"/><Relationship Id="rId93" Type="http://schemas.openxmlformats.org/officeDocument/2006/relationships/hyperlink" Target="https://docs.cpuc.ca.gov/PublishedDocs/Published/G000/M531/K559/531559739.PDF" TargetMode="External"/><Relationship Id="rId98" Type="http://schemas.openxmlformats.org/officeDocument/2006/relationships/hyperlink" Target="https://docs.cpuc.ca.gov/PublishedDocs/Published/G000/M531/K559/531559739.PDF" TargetMode="External"/><Relationship Id="rId121" Type="http://schemas.openxmlformats.org/officeDocument/2006/relationships/hyperlink" Target="https://mindfuldecommissioning.dnv.com/documents/FINAL_%20Workshop%202_Presentation_10.2.24.pdf" TargetMode="External"/><Relationship Id="rId3" Type="http://schemas.openxmlformats.org/officeDocument/2006/relationships/customXml" Target="../customXml/item3.xml"/><Relationship Id="rId25" Type="http://schemas.openxmlformats.org/officeDocument/2006/relationships/hyperlink" Target="https://docs.cpuc.ca.gov/PublishedDocs/Published/G000/M531/K559/531559739.PDF" TargetMode="External"/><Relationship Id="rId46" Type="http://schemas.openxmlformats.org/officeDocument/2006/relationships/hyperlink" Target="https://docs.cpuc.ca.gov/PublishedDocs/Published/G000/M531/K559/531559739.PDF" TargetMode="External"/><Relationship Id="rId67" Type="http://schemas.openxmlformats.org/officeDocument/2006/relationships/footer" Target="footer12.xml"/><Relationship Id="rId116" Type="http://schemas.openxmlformats.org/officeDocument/2006/relationships/hyperlink" Target="https://docs.cpuc.ca.gov/PublishedDocs/Published/G000/M503/K914/503914324.PDF" TargetMode="External"/><Relationship Id="rId20" Type="http://schemas.openxmlformats.org/officeDocument/2006/relationships/hyperlink" Target="https://docs.cpuc.ca.gov/word_pdf/FINAL_RESOLUTION/63130.pdf" TargetMode="External"/><Relationship Id="rId41" Type="http://schemas.openxmlformats.org/officeDocument/2006/relationships/hyperlink" Target="https://docs.cpuc.ca.gov/PublishedDocs/Published/G000/M507/K499/507499284.PDF" TargetMode="External"/><Relationship Id="rId62" Type="http://schemas.openxmlformats.org/officeDocument/2006/relationships/header" Target="header6.xml"/><Relationship Id="rId83" Type="http://schemas.openxmlformats.org/officeDocument/2006/relationships/hyperlink" Target="https://docs.cpuc.ca.gov/PublishedDocs/Published/G000/M410/K138/410138703.PDF" TargetMode="External"/><Relationship Id="rId88" Type="http://schemas.openxmlformats.org/officeDocument/2006/relationships/hyperlink" Target="https://docs.cpuc.ca.gov/PublishedDocs/Published/G000/M531/K559/531559739.PDF" TargetMode="External"/><Relationship Id="rId111" Type="http://schemas.openxmlformats.org/officeDocument/2006/relationships/hyperlink" Target="https://docs.cpuc.ca.gov/PublishedDocs/Published/G000/M503/K914/503914324.PDF" TargetMode="External"/><Relationship Id="rId15" Type="http://schemas.openxmlformats.org/officeDocument/2006/relationships/footer" Target="footer2.xml"/><Relationship Id="rId36" Type="http://schemas.openxmlformats.org/officeDocument/2006/relationships/hyperlink" Target="https://docs.cpuc.ca.gov/PublishedDocs/Published/G000/M531/K559/531559739.PDF" TargetMode="External"/><Relationship Id="rId57" Type="http://schemas.openxmlformats.org/officeDocument/2006/relationships/hyperlink" Target="https://docs.cpuc.ca.gov/PublishedDocs/Published/G000/M503/K914/503914324.PDF" TargetMode="External"/><Relationship Id="rId106" Type="http://schemas.openxmlformats.org/officeDocument/2006/relationships/hyperlink" Target="https://www.energy.ca.gov/data-reports/reports/energy-research-and-development-investment-plans-and-annual-reports" TargetMode="External"/><Relationship Id="rId10" Type="http://schemas.openxmlformats.org/officeDocument/2006/relationships/endnotes" Target="endnotes.xml"/><Relationship Id="rId31" Type="http://schemas.openxmlformats.org/officeDocument/2006/relationships/hyperlink" Target="https://docs.cpuc.ca.gov/PublishedDocs/Published/G000/M521/K196/521196139.PDF" TargetMode="External"/><Relationship Id="rId52" Type="http://schemas.openxmlformats.org/officeDocument/2006/relationships/hyperlink" Target="https://docs.cpuc.ca.gov/PublishedDocs/Published/G000/M310/K136/310136145.PDF" TargetMode="External"/><Relationship Id="rId73" Type="http://schemas.openxmlformats.org/officeDocument/2006/relationships/hyperlink" Target="https://docs.cpuc.ca.gov/PublishedDocs/Published/G000/M531/K559/531559739.PDF" TargetMode="External"/><Relationship Id="rId78" Type="http://schemas.openxmlformats.org/officeDocument/2006/relationships/hyperlink" Target="https://docs.cpuc.ca.gov/PublishedDocs/Published/G000/M070/K145/70145464.PDF" TargetMode="External"/><Relationship Id="rId94" Type="http://schemas.openxmlformats.org/officeDocument/2006/relationships/hyperlink" Target="https://docs.cpuc.ca.gov/PublishedDocs/Published/G000/M531/K559/531559739.PDF" TargetMode="External"/><Relationship Id="rId99" Type="http://schemas.openxmlformats.org/officeDocument/2006/relationships/hyperlink" Target="https://docs.cpuc.ca.gov/PublishedDocs/Published/G000/M531/K559/531559739.PDF" TargetMode="External"/><Relationship Id="rId101" Type="http://schemas.openxmlformats.org/officeDocument/2006/relationships/hyperlink" Target="https://docs.cpuc.ca.gov/PublishedDocs/WORD_PDF/FINAL_DECISION/39314.PDF" TargetMode="External"/><Relationship Id="rId122" Type="http://schemas.openxmlformats.org/officeDocument/2006/relationships/hyperlink" Target="https://docs.cpuc.ca.gov/PublishedDocs/Published/G000/M531/K559/531559739.PDF"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17" Type="http://schemas.openxmlformats.org/officeDocument/2006/relationships/hyperlink" Target="http://docs.cpuc.ca.gov/PublishedDocs/Published/G000/M264/K677/264677853.PDF" TargetMode="External"/><Relationship Id="rId21" Type="http://schemas.openxmlformats.org/officeDocument/2006/relationships/hyperlink" Target="https://docs.cpuc.ca.gov/PublishedDocs/WORD_PDF/FINAL_DECISION/39314.PDF" TargetMode="External"/><Relationship Id="rId42" Type="http://schemas.openxmlformats.org/officeDocument/2006/relationships/hyperlink" Target="https://docs.cpuc.ca.gov/PublishedDocs/Published/G000/M410/K138/410138703.PDF" TargetMode="External"/><Relationship Id="rId63" Type="http://schemas.openxmlformats.org/officeDocument/2006/relationships/hyperlink" Target="https://docs.cpuc.ca.gov/PublishedDocs/Published/G000/M350/K789/350789679.PDF" TargetMode="External"/><Relationship Id="rId84" Type="http://schemas.openxmlformats.org/officeDocument/2006/relationships/hyperlink" Target="https://docs.cpuc.ca.gov/PublishedDocs/Published/G000/M410/K138/410138703.PDF" TargetMode="External"/><Relationship Id="rId138" Type="http://schemas.openxmlformats.org/officeDocument/2006/relationships/hyperlink" Target="http://docs.cpuc.ca.gov/PublishedDocs/Published/G000/M097/K121/97121784.PDF" TargetMode="External"/><Relationship Id="rId159" Type="http://schemas.openxmlformats.org/officeDocument/2006/relationships/hyperlink" Target="http://docs.cpuc.ca.gov/PublishedDocs/Published/G000/M264/K677/264677853.PDF" TargetMode="External"/><Relationship Id="rId170" Type="http://schemas.openxmlformats.org/officeDocument/2006/relationships/hyperlink" Target="https://docs.cpuc.ca.gov/PublishedDocs/WORD_PDF/FINAL_DECISION/167664.PDF" TargetMode="External"/><Relationship Id="rId107" Type="http://schemas.openxmlformats.org/officeDocument/2006/relationships/hyperlink" Target="https://leginfo.legislature.ca.gov/faces/billTextClient.xhtml?bill_id=199920000AB1002" TargetMode="External"/><Relationship Id="rId11" Type="http://schemas.openxmlformats.org/officeDocument/2006/relationships/hyperlink" Target="https://docs.cpuc.ca.gov/PublishedDocs/WORD_PDF/FINAL_DECISION/39314.PDF" TargetMode="External"/><Relationship Id="rId32" Type="http://schemas.openxmlformats.org/officeDocument/2006/relationships/hyperlink" Target="https://mindfuldecommissioning.dnv.com/index.html" TargetMode="External"/><Relationship Id="rId53" Type="http://schemas.openxmlformats.org/officeDocument/2006/relationships/hyperlink" Target="https://docs.cpuc.ca.gov/PublishedDocs/Published/G000/M507/K499/507499284.PDF" TargetMode="External"/><Relationship Id="rId74" Type="http://schemas.openxmlformats.org/officeDocument/2006/relationships/hyperlink" Target="http://docs.cpuc.ca.gov/PublishedDocs/Published/G000/M264/K677/264677853.PDF" TargetMode="External"/><Relationship Id="rId128" Type="http://schemas.openxmlformats.org/officeDocument/2006/relationships/hyperlink" Target="https://docs.cpuc.ca.gov/PublishedDocs/Published/G000/M596/K290/596290082.PDF" TargetMode="External"/><Relationship Id="rId149" Type="http://schemas.openxmlformats.org/officeDocument/2006/relationships/hyperlink" Target="http://docs.cpuc.ca.gov/PublishedDocs/Published/G000/M167/K772/167772745.PDF" TargetMode="External"/><Relationship Id="rId5" Type="http://schemas.openxmlformats.org/officeDocument/2006/relationships/hyperlink" Target="https://docs.cpuc.ca.gov/PublishedDocs/WORD_PDF/FINAL_DECISION/39314.PDF" TargetMode="External"/><Relationship Id="rId95" Type="http://schemas.openxmlformats.org/officeDocument/2006/relationships/hyperlink" Target="https://docs.cpuc.ca.gov/PublishedDocs/Published/G000/M410/K138/410138703.PDF" TargetMode="External"/><Relationship Id="rId160" Type="http://schemas.openxmlformats.org/officeDocument/2006/relationships/hyperlink" Target="https://docs.cpuc.ca.gov/PublishedDocs/Published/G000/M310/K136/310136145.PDF" TargetMode="External"/><Relationship Id="rId22" Type="http://schemas.openxmlformats.org/officeDocument/2006/relationships/hyperlink" Target="https://docs.cpuc.ca.gov/PublishedDocs/WORD_PDF/FINAL_DECISION/39314.PDF" TargetMode="External"/><Relationship Id="rId43" Type="http://schemas.openxmlformats.org/officeDocument/2006/relationships/hyperlink" Target="https://docs.cpuc.ca.gov/PublishedDocs/Published/G000/M503/K914/503914324.PDF" TargetMode="External"/><Relationship Id="rId64" Type="http://schemas.openxmlformats.org/officeDocument/2006/relationships/hyperlink" Target="https://docs.cpuc.ca.gov/PublishedDocs/Published/G000/M372/K329/372329202.PDF" TargetMode="External"/><Relationship Id="rId118" Type="http://schemas.openxmlformats.org/officeDocument/2006/relationships/hyperlink" Target="http://docs.cpuc.ca.gov/PublishedDocs/Published/G000/M097/K121/97121784.PDF" TargetMode="External"/><Relationship Id="rId139" Type="http://schemas.openxmlformats.org/officeDocument/2006/relationships/hyperlink" Target="http://docs.cpuc.ca.gov/PublishedDocs/Published/G000/M152/K904/152904612.PDF" TargetMode="External"/><Relationship Id="rId85" Type="http://schemas.openxmlformats.org/officeDocument/2006/relationships/hyperlink" Target="https://docs.cpuc.ca.gov/PublishedDocs/Published/G000/M503/K914/503914324.PDF" TargetMode="External"/><Relationship Id="rId150" Type="http://schemas.openxmlformats.org/officeDocument/2006/relationships/hyperlink" Target="http://docs.cpuc.ca.gov/PublishedDocs/Published/G000/M196/K543/196543815.PDF" TargetMode="External"/><Relationship Id="rId171" Type="http://schemas.openxmlformats.org/officeDocument/2006/relationships/hyperlink" Target="https://www.energy.ca.gov/sites/default/files/2026-01/TN268110_20260102T135517_Gas%20R%26D%20Program%20-%20FY%20202324%20Updated%20Proposed%20Budget%20Plan%C2%A0.pdf" TargetMode="External"/><Relationship Id="rId12" Type="http://schemas.openxmlformats.org/officeDocument/2006/relationships/hyperlink" Target="https://docs.cpuc.ca.gov/PublishedDocs/WORD_PDF/FINAL_DECISION/39314.PDF" TargetMode="External"/><Relationship Id="rId33" Type="http://schemas.openxmlformats.org/officeDocument/2006/relationships/hyperlink" Target="https://docs.cpuc.ca.gov/PublishedDocs/Published/G000/M521/K196/521196139.PDF" TargetMode="External"/><Relationship Id="rId108" Type="http://schemas.openxmlformats.org/officeDocument/2006/relationships/hyperlink" Target="https://docs.cpuc.ca.gov/PublishedDocs/Published/G000/M070/K145/70145464.PDF" TargetMode="External"/><Relationship Id="rId129" Type="http://schemas.openxmlformats.org/officeDocument/2006/relationships/hyperlink" Target="https://docs.cpuc.ca.gov/PublishedDocs/Published/G000/M503/K914/503914324.PDF" TargetMode="External"/><Relationship Id="rId54" Type="http://schemas.openxmlformats.org/officeDocument/2006/relationships/hyperlink" Target="https://www.cpuc.ca.gov/-/media/cpuc-website/divisions/news-and-outreach/documents/news-office/key-issues/esj/esj-action-plan-v2jw.pdf" TargetMode="External"/><Relationship Id="rId75" Type="http://schemas.openxmlformats.org/officeDocument/2006/relationships/hyperlink" Target="https://docs.cpuc.ca.gov/PublishedDocs/Published/G000/M503/K914/503914324.PDF" TargetMode="External"/><Relationship Id="rId96" Type="http://schemas.openxmlformats.org/officeDocument/2006/relationships/hyperlink" Target="https://docs.cpuc.ca.gov/PublishedDocs/Published/G000/M503/K914/503914324.PDF" TargetMode="External"/><Relationship Id="rId140" Type="http://schemas.openxmlformats.org/officeDocument/2006/relationships/hyperlink" Target="http://docs.cpuc.ca.gov/PublishedDocs/Published/G000/M167/K772/167772745.PDF" TargetMode="External"/><Relationship Id="rId161" Type="http://schemas.openxmlformats.org/officeDocument/2006/relationships/hyperlink" Target="https://docs.cpuc.ca.gov/PublishedDocs/Published/G000/M350/K789/350789679.PDF" TargetMode="External"/><Relationship Id="rId6" Type="http://schemas.openxmlformats.org/officeDocument/2006/relationships/hyperlink" Target="https://docs.cpuc.ca.gov/PublishedDocs/Published/G000/M350/K789/350789679.PDF" TargetMode="External"/><Relationship Id="rId23" Type="http://schemas.openxmlformats.org/officeDocument/2006/relationships/hyperlink" Target="https://docs.cpuc.ca.gov/PublishedDocs/WORD_PDF/FINAL_DECISION/39314.PDF" TargetMode="External"/><Relationship Id="rId28" Type="http://schemas.openxmlformats.org/officeDocument/2006/relationships/hyperlink" Target="https://docs.cpuc.ca.gov/PublishedDocs/WORD_PDF/FINAL_DECISION/39314.PDF" TargetMode="External"/><Relationship Id="rId49" Type="http://schemas.openxmlformats.org/officeDocument/2006/relationships/hyperlink" Target="https://docs.cpuc.ca.gov/PublishedDocs/Published/G000/M503/K914/503914324.PDF" TargetMode="External"/><Relationship Id="rId114" Type="http://schemas.openxmlformats.org/officeDocument/2006/relationships/hyperlink" Target="https://docs.cpuc.ca.gov/PublishedDocs/Published/G000/M310/K136/310136145.PDF" TargetMode="External"/><Relationship Id="rId119" Type="http://schemas.openxmlformats.org/officeDocument/2006/relationships/hyperlink" Target="https://docs.cpuc.ca.gov/PublishedDocs/Published/G000/M531/K559/531559739.PDF" TargetMode="External"/><Relationship Id="rId44" Type="http://schemas.openxmlformats.org/officeDocument/2006/relationships/hyperlink" Target="https://docs.cpuc.ca.gov/PublishedDocs/WORD_PDF/FINAL_DECISION/39314.PDF" TargetMode="External"/><Relationship Id="rId60" Type="http://schemas.openxmlformats.org/officeDocument/2006/relationships/hyperlink" Target="https://docs.cpuc.ca.gov/PublishedDocs/Published/G000/M527/K228/527228647.PDF" TargetMode="External"/><Relationship Id="rId65" Type="http://schemas.openxmlformats.org/officeDocument/2006/relationships/hyperlink" Target="https://docs.cpuc.ca.gov/PublishedDocs/Published/G000/M461/K921/461921821.PDF" TargetMode="External"/><Relationship Id="rId81" Type="http://schemas.openxmlformats.org/officeDocument/2006/relationships/hyperlink" Target="https://docs.cpuc.ca.gov/PublishedDocs/WORD_PDF/FINAL_DECISION/39314.PDF" TargetMode="External"/><Relationship Id="rId86" Type="http://schemas.openxmlformats.org/officeDocument/2006/relationships/hyperlink" Target="https://docs.cpuc.ca.gov/PublishedDocs/Published/G000/M410/K138/410138703.PDF" TargetMode="External"/><Relationship Id="rId130" Type="http://schemas.openxmlformats.org/officeDocument/2006/relationships/hyperlink" Target="https://docs.cpuc.ca.gov/PublishedDocs/WORD_PDF/FINAL_DECISION/39314.PDF" TargetMode="External"/><Relationship Id="rId135" Type="http://schemas.openxmlformats.org/officeDocument/2006/relationships/hyperlink" Target="https://docs.cpuc.ca.gov/PublishedDocs/Published/G000/M310/K136/310136145.PDF" TargetMode="External"/><Relationship Id="rId151" Type="http://schemas.openxmlformats.org/officeDocument/2006/relationships/hyperlink" Target="https://docs.cpuc.ca.gov/PublishedDocs/Published/G000/M310/K136/310136145.PDF" TargetMode="External"/><Relationship Id="rId156" Type="http://schemas.openxmlformats.org/officeDocument/2006/relationships/hyperlink" Target="https://www.energy.ca.gov/publications/2021/california-building-decarbonization-assessment" TargetMode="External"/><Relationship Id="rId177" Type="http://schemas.openxmlformats.org/officeDocument/2006/relationships/hyperlink" Target="https://docs.cpuc.ca.gov/PublishedDocs/Published/G000/M531/K559/531559739.PDF" TargetMode="External"/><Relationship Id="rId172" Type="http://schemas.openxmlformats.org/officeDocument/2006/relationships/hyperlink" Target="https://docs.cpuc.ca.gov/PublishedDocs/Published/G000/M350/K789/350789679.PDF" TargetMode="External"/><Relationship Id="rId13" Type="http://schemas.openxmlformats.org/officeDocument/2006/relationships/hyperlink" Target="https://docs.cpuc.ca.gov/PublishedDocs/Published/G000/M531/K559/531559739.PDF" TargetMode="External"/><Relationship Id="rId18" Type="http://schemas.openxmlformats.org/officeDocument/2006/relationships/hyperlink" Target="https://docs.cpuc.ca.gov/PublishedDocs/Published/G000/M531/K559/531559739.PDF" TargetMode="External"/><Relationship Id="rId39" Type="http://schemas.openxmlformats.org/officeDocument/2006/relationships/hyperlink" Target="https://docs.cpuc.ca.gov/PublishedDocs/Published/G000/M531/K559/531559739.PDF" TargetMode="External"/><Relationship Id="rId109" Type="http://schemas.openxmlformats.org/officeDocument/2006/relationships/hyperlink" Target="http://docs.cpuc.ca.gov/PublishedDocs/Published/G000/M097/K121/97121784.PDF" TargetMode="External"/><Relationship Id="rId34" Type="http://schemas.openxmlformats.org/officeDocument/2006/relationships/hyperlink" Target="https://docs.cpuc.ca.gov/PublishedDocs/Published/G000/M410/K138/410138703.PDF" TargetMode="External"/><Relationship Id="rId50" Type="http://schemas.openxmlformats.org/officeDocument/2006/relationships/hyperlink" Target="http://docs.cpuc.ca.gov/PublishedDocs/Published/G000/M264/K677/264677853.PDF" TargetMode="External"/><Relationship Id="rId55" Type="http://schemas.openxmlformats.org/officeDocument/2006/relationships/hyperlink" Target="https://docs.cpuc.ca.gov/PublishedDocs/Published/G000/M350/K789/350789679.PDF" TargetMode="External"/><Relationship Id="rId76" Type="http://schemas.openxmlformats.org/officeDocument/2006/relationships/hyperlink" Target="mailto:EnergyDivisionCentralFiles@cpuc.ca.gov" TargetMode="External"/><Relationship Id="rId97" Type="http://schemas.openxmlformats.org/officeDocument/2006/relationships/hyperlink" Target="https://california.public.law/codes/public_utilities_code_section_384" TargetMode="External"/><Relationship Id="rId104" Type="http://schemas.openxmlformats.org/officeDocument/2006/relationships/hyperlink" Target="https://docs.cpuc.ca.gov/PublishedDocs/Published/G000/M507/K499/507499284.PDF" TargetMode="External"/><Relationship Id="rId120" Type="http://schemas.openxmlformats.org/officeDocument/2006/relationships/hyperlink" Target="https://docs.cpuc.ca.gov/PublishedDocs/Published/G000/M410/K138/410138703.PDF" TargetMode="External"/><Relationship Id="rId125" Type="http://schemas.openxmlformats.org/officeDocument/2006/relationships/hyperlink" Target="https://docs.cpuc.ca.gov/PublishedDocs/WORD_PDF/FINAL_DECISION/39314.PDF" TargetMode="External"/><Relationship Id="rId141" Type="http://schemas.openxmlformats.org/officeDocument/2006/relationships/hyperlink" Target="http://docs.cpuc.ca.gov/PublishedDocs/Published/G000/M196/K543/196543815.PDF" TargetMode="External"/><Relationship Id="rId146" Type="http://schemas.openxmlformats.org/officeDocument/2006/relationships/hyperlink" Target="https://docs.cpuc.ca.gov/PublishedDocs/Published/G000/M070/K145/70145464.PDF" TargetMode="External"/><Relationship Id="rId167" Type="http://schemas.openxmlformats.org/officeDocument/2006/relationships/hyperlink" Target="https://docs.cpuc.ca.gov/PublishedDocs/Published/G000/M503/K914/503914324.PDF" TargetMode="External"/><Relationship Id="rId7" Type="http://schemas.openxmlformats.org/officeDocument/2006/relationships/hyperlink" Target="https://leginfo.legislature.ca.gov/faces/billTextClient.xhtml?bill_id=199920000AB1002" TargetMode="External"/><Relationship Id="rId71" Type="http://schemas.openxmlformats.org/officeDocument/2006/relationships/hyperlink" Target="https://docs.cpuc.ca.gov/PublishedDocs/Published/G000/M023/K381/23381302.PDF" TargetMode="External"/><Relationship Id="rId92" Type="http://schemas.openxmlformats.org/officeDocument/2006/relationships/hyperlink" Target="https://docs.cpuc.ca.gov/PublishedDocs/Published/G000/M503/K914/503914324.PDF" TargetMode="External"/><Relationship Id="rId162" Type="http://schemas.openxmlformats.org/officeDocument/2006/relationships/hyperlink" Target="https://docs.cpuc.ca.gov/PublishedDocs/WORD_PDF/FINAL_DECISION/39314.PDF" TargetMode="External"/><Relationship Id="rId2" Type="http://schemas.openxmlformats.org/officeDocument/2006/relationships/hyperlink" Target="https://docs.cpuc.ca.gov/PublishedDocs/Published/G000/M410/K138/410138703.PDF" TargetMode="External"/><Relationship Id="rId29" Type="http://schemas.openxmlformats.org/officeDocument/2006/relationships/hyperlink" Target="https://docs.cpuc.ca.gov/PublishedDocs/Published/G000/M531/K559/531559739.PDF" TargetMode="External"/><Relationship Id="rId24" Type="http://schemas.openxmlformats.org/officeDocument/2006/relationships/hyperlink" Target="https://docs.cpuc.ca.gov/PublishedDocs/WORD_PDF/FINAL_DECISION/39314.PDF" TargetMode="External"/><Relationship Id="rId40" Type="http://schemas.openxmlformats.org/officeDocument/2006/relationships/hyperlink" Target="http://docs.cpuc.ca.gov/PublishedDocs/Published/G000/M264/K677/264677853.PDF" TargetMode="External"/><Relationship Id="rId45" Type="http://schemas.openxmlformats.org/officeDocument/2006/relationships/hyperlink" Target="https://docs.cpuc.ca.gov/PublishedDocs/Published/G000/M503/K914/503914324.PDF" TargetMode="External"/><Relationship Id="rId66" Type="http://schemas.openxmlformats.org/officeDocument/2006/relationships/hyperlink" Target="https://docs.cpuc.ca.gov/PublishedDocs/Published/G000/M503/K914/503914324.PDF" TargetMode="External"/><Relationship Id="rId87" Type="http://schemas.openxmlformats.org/officeDocument/2006/relationships/hyperlink" Target="https://docs.cpuc.ca.gov/PublishedDocs/Published/G000/M410/K138/410138703.PDF" TargetMode="External"/><Relationship Id="rId110" Type="http://schemas.openxmlformats.org/officeDocument/2006/relationships/hyperlink" Target="http://docs.cpuc.ca.gov/PublishedDocs/Published/G000/M152/K904/152904612.PDF" TargetMode="External"/><Relationship Id="rId115" Type="http://schemas.openxmlformats.org/officeDocument/2006/relationships/hyperlink" Target="https://docs.cpuc.ca.gov/PublishedDocs/Published/G000/M410/K138/410138703.PDF" TargetMode="External"/><Relationship Id="rId131" Type="http://schemas.openxmlformats.org/officeDocument/2006/relationships/hyperlink" Target="https://docs.cpuc.ca.gov/PublishedDocs/WORD_PDF/FINAL_DECISION/39314.PDF" TargetMode="External"/><Relationship Id="rId136" Type="http://schemas.openxmlformats.org/officeDocument/2006/relationships/hyperlink" Target="https://docs.cpuc.ca.gov/PublishedDocs/WORD_PDF/FINAL_RESOLUTION/42432.PDF" TargetMode="External"/><Relationship Id="rId157" Type="http://schemas.openxmlformats.org/officeDocument/2006/relationships/hyperlink" Target="https://docs.cpuc.ca.gov/PublishedDocs/Published/G000/M503/K914/503914324.PDF" TargetMode="External"/><Relationship Id="rId178" Type="http://schemas.openxmlformats.org/officeDocument/2006/relationships/hyperlink" Target="https://www.energy.ca.gov/publications/2021/california-building-decarbonization-assessment" TargetMode="External"/><Relationship Id="rId61" Type="http://schemas.openxmlformats.org/officeDocument/2006/relationships/hyperlink" Target="https://docs.cpuc.ca.gov/PublishedDocs/Published/G000/M542/K029/542029029.PDF" TargetMode="External"/><Relationship Id="rId82" Type="http://schemas.openxmlformats.org/officeDocument/2006/relationships/hyperlink" Target="https://docs.cpuc.ca.gov/PublishedDocs/WORD_PDF/FINAL_DECISION/39314.PDF" TargetMode="External"/><Relationship Id="rId152" Type="http://schemas.openxmlformats.org/officeDocument/2006/relationships/hyperlink" Target="https://docs.cpuc.ca.gov/PublishedDocs/Published/G000/M410/K138/410138703.PDF" TargetMode="External"/><Relationship Id="rId173" Type="http://schemas.openxmlformats.org/officeDocument/2006/relationships/hyperlink" Target="https://docs.cpuc.ca.gov/PublishedDocs/Published/G000/M531/K559/531559739.PDF" TargetMode="External"/><Relationship Id="rId19" Type="http://schemas.openxmlformats.org/officeDocument/2006/relationships/hyperlink" Target="https://docs.cpuc.ca.gov/PublishedDocs/WORD_PDF/FINAL_DECISION/39314.PDF" TargetMode="External"/><Relationship Id="rId14" Type="http://schemas.openxmlformats.org/officeDocument/2006/relationships/hyperlink" Target="https://docs.cpuc.ca.gov/PublishedDocs/Published/G000/M503/K914/503914324.PDF" TargetMode="External"/><Relationship Id="rId30" Type="http://schemas.openxmlformats.org/officeDocument/2006/relationships/hyperlink" Target="https://leginfo.legislature.ca.gov/faces/billNavClient.xhtml?bill_id=202320240SB1221" TargetMode="External"/><Relationship Id="rId35" Type="http://schemas.openxmlformats.org/officeDocument/2006/relationships/hyperlink" Target="https://docs.cpuc.ca.gov/PublishedDocs/Published/G000/M503/K914/503914324.PDF" TargetMode="External"/><Relationship Id="rId56" Type="http://schemas.openxmlformats.org/officeDocument/2006/relationships/hyperlink" Target="https://docs.cpuc.ca.gov/PublishedDocs/Published/G000/M503/K914/503914324.PDF" TargetMode="External"/><Relationship Id="rId77" Type="http://schemas.openxmlformats.org/officeDocument/2006/relationships/hyperlink" Target="https://docs.cpuc.ca.gov/PublishedDocs/WORD_PDF/FINAL_DECISION/39314.PDF" TargetMode="External"/><Relationship Id="rId100" Type="http://schemas.openxmlformats.org/officeDocument/2006/relationships/hyperlink" Target="https://docs.cpuc.ca.gov/PublishedDocs/Published/G000/M503/K914/503914324.PDF" TargetMode="External"/><Relationship Id="rId105" Type="http://schemas.openxmlformats.org/officeDocument/2006/relationships/hyperlink" Target="https://docs.cpuc.ca.gov/PublishedDocs/Published/G000/M527/K228/527228647.PDF" TargetMode="External"/><Relationship Id="rId126" Type="http://schemas.openxmlformats.org/officeDocument/2006/relationships/hyperlink" Target="https://docs.cpuc.ca.gov/PublishedDocs/Published/G000/M507/K499/507499284.PDF" TargetMode="External"/><Relationship Id="rId147" Type="http://schemas.openxmlformats.org/officeDocument/2006/relationships/hyperlink" Target="http://docs.cpuc.ca.gov/PublishedDocs/Published/G000/M097/K121/97121784.PDF" TargetMode="External"/><Relationship Id="rId168" Type="http://schemas.openxmlformats.org/officeDocument/2006/relationships/hyperlink" Target="https://docs.cpuc.ca.gov/PublishedDocs/Published/G000/M521/K196/521196139.PDF" TargetMode="External"/><Relationship Id="rId8" Type="http://schemas.openxmlformats.org/officeDocument/2006/relationships/hyperlink" Target="https://docs.cpuc.ca.gov/PublishedDocs/WORD_PDF/FINAL_DECISION/39314.PDF" TargetMode="External"/><Relationship Id="rId51" Type="http://schemas.openxmlformats.org/officeDocument/2006/relationships/hyperlink" Target="https://docs.cpuc.ca.gov/PublishedDocs/Published/G000/M503/K914/503914324.PDF" TargetMode="External"/><Relationship Id="rId72" Type="http://schemas.openxmlformats.org/officeDocument/2006/relationships/hyperlink" Target="https://docs.cpuc.ca.gov/PublishedDocs/WORD_PDF/FINAL_DECISION/39314.PDF" TargetMode="External"/><Relationship Id="rId93" Type="http://schemas.openxmlformats.org/officeDocument/2006/relationships/hyperlink" Target="https://docs.cpuc.ca.gov/word_pdf/FINAL_RESOLUTION/63130.pdf" TargetMode="External"/><Relationship Id="rId98" Type="http://schemas.openxmlformats.org/officeDocument/2006/relationships/hyperlink" Target="https://www.cpuc.ca.gov/-/media/cpuc-website/divisions/utility-audits--risk--and-compliance-division/reports/energy/2025/energy_2025-08-28_cec_grdp.pdf" TargetMode="External"/><Relationship Id="rId121" Type="http://schemas.openxmlformats.org/officeDocument/2006/relationships/hyperlink" Target="https://docs.cpuc.ca.gov/PublishedDocs/Published/G000/M503/K914/503914324.PDF" TargetMode="External"/><Relationship Id="rId142" Type="http://schemas.openxmlformats.org/officeDocument/2006/relationships/hyperlink" Target="http://docs.cpuc.ca.gov/PublishedDocs/Published/G000/M264/K677/264677853.PDF" TargetMode="External"/><Relationship Id="rId163" Type="http://schemas.openxmlformats.org/officeDocument/2006/relationships/hyperlink" Target="https://docs.cpuc.ca.gov/PublishedDocs/Published/G000/M531/K559/531559739.PDF" TargetMode="External"/><Relationship Id="rId3" Type="http://schemas.openxmlformats.org/officeDocument/2006/relationships/hyperlink" Target="https://docs.cpuc.ca.gov/PublishedDocs/Published/G000/M503/K914/503914324.PDF" TargetMode="External"/><Relationship Id="rId25" Type="http://schemas.openxmlformats.org/officeDocument/2006/relationships/hyperlink" Target="https://docs.cpuc.ca.gov/PublishedDocs/WORD_PDF/FINAL_DECISION/39314.PDF" TargetMode="External"/><Relationship Id="rId46" Type="http://schemas.openxmlformats.org/officeDocument/2006/relationships/hyperlink" Target="http://docs.cpuc.ca.gov/PublishedDocs/Published/G000/M097/K121/97121784.PDF" TargetMode="External"/><Relationship Id="rId67" Type="http://schemas.openxmlformats.org/officeDocument/2006/relationships/hyperlink" Target="https://docs.cpuc.ca.gov/PublishedDocs/Published/G000/M350/K789/350789679.PDF" TargetMode="External"/><Relationship Id="rId116" Type="http://schemas.openxmlformats.org/officeDocument/2006/relationships/hyperlink" Target="https://docs.cpuc.ca.gov/PublishedDocs/Published/G000/M503/K914/503914324.PDF" TargetMode="External"/><Relationship Id="rId137" Type="http://schemas.openxmlformats.org/officeDocument/2006/relationships/hyperlink" Target="https://california.public.law/codes/public_utilities_code_section_384" TargetMode="External"/><Relationship Id="rId158" Type="http://schemas.openxmlformats.org/officeDocument/2006/relationships/hyperlink" Target="http://docs.cpuc.ca.gov/PublishedDocs/Published/G000/M264/K677/264677853.PDF" TargetMode="External"/><Relationship Id="rId20" Type="http://schemas.openxmlformats.org/officeDocument/2006/relationships/hyperlink" Target="https://docs.cpuc.ca.gov/PublishedDocs/Published/G000/M503/K914/503914324.PDF" TargetMode="External"/><Relationship Id="rId41" Type="http://schemas.openxmlformats.org/officeDocument/2006/relationships/hyperlink" Target="https://docs.cpuc.ca.gov/PublishedDocs/Published/G000/M503/K914/503914324.PDF" TargetMode="External"/><Relationship Id="rId62" Type="http://schemas.openxmlformats.org/officeDocument/2006/relationships/hyperlink" Target="https://docs.cpuc.ca.gov/PublishedDocs/Published/G000/M310/K136/310136145.PDF" TargetMode="External"/><Relationship Id="rId83" Type="http://schemas.openxmlformats.org/officeDocument/2006/relationships/hyperlink" Target="https://docs.cpuc.ca.gov/PublishedDocs/Published/G000/M503/K914/503914324.PDF" TargetMode="External"/><Relationship Id="rId88" Type="http://schemas.openxmlformats.org/officeDocument/2006/relationships/hyperlink" Target="https://docs.cpuc.ca.gov/PublishedDocs/Published/G000/M350/K789/350789679.PDF" TargetMode="External"/><Relationship Id="rId111" Type="http://schemas.openxmlformats.org/officeDocument/2006/relationships/hyperlink" Target="http://docs.cpuc.ca.gov/PublishedDocs/Published/G000/M167/K772/167772745.PDF" TargetMode="External"/><Relationship Id="rId132" Type="http://schemas.openxmlformats.org/officeDocument/2006/relationships/hyperlink" Target="https://docs.cpuc.ca.gov/PublishedDocs/WORD_PDF/FINAL_DECISION/39314.PDF" TargetMode="External"/><Relationship Id="rId153" Type="http://schemas.openxmlformats.org/officeDocument/2006/relationships/hyperlink" Target="https://docs.cpuc.ca.gov/PublishedDocs/Published/G000/M350/K789/350789679.PDF" TargetMode="External"/><Relationship Id="rId174" Type="http://schemas.openxmlformats.org/officeDocument/2006/relationships/hyperlink" Target="https://www.energy.ca.gov/publications/2021/california-building-decarbonization-assessment" TargetMode="External"/><Relationship Id="rId179" Type="http://schemas.openxmlformats.org/officeDocument/2006/relationships/hyperlink" Target="https://docs.cpuc.ca.gov/PublishedDocs/Published/G000/M097/K121/97121784.PDF" TargetMode="External"/><Relationship Id="rId15" Type="http://schemas.openxmlformats.org/officeDocument/2006/relationships/hyperlink" Target="https://www.gov.ca.gov/wp-content/uploads/2024/10/energy-EO-10-30-24.pdf" TargetMode="External"/><Relationship Id="rId36" Type="http://schemas.openxmlformats.org/officeDocument/2006/relationships/hyperlink" Target="https://docs.cpuc.ca.gov/PublishedDocs/WORD_PDF/FINAL_DECISION/39314.PDF" TargetMode="External"/><Relationship Id="rId57" Type="http://schemas.openxmlformats.org/officeDocument/2006/relationships/hyperlink" Target="https://docs.cpuc.ca.gov/PublishedDocs/Published/G000/M531/K559/531559739.PDF" TargetMode="External"/><Relationship Id="rId106" Type="http://schemas.openxmlformats.org/officeDocument/2006/relationships/hyperlink" Target="https://docs.cpuc.ca.gov/PublishedDocs/Published/G000/M410/K138/410138703.PDF" TargetMode="External"/><Relationship Id="rId127" Type="http://schemas.openxmlformats.org/officeDocument/2006/relationships/hyperlink" Target="https://docs.cpuc.ca.gov/PublishedDocs/Published/G000/M527/K228/527228647.PDF" TargetMode="External"/><Relationship Id="rId10" Type="http://schemas.openxmlformats.org/officeDocument/2006/relationships/hyperlink" Target="https://docs.cpuc.ca.gov/PublishedDocs/WORD_PDF/FINAL_DECISION/39314.PDF" TargetMode="External"/><Relationship Id="rId31" Type="http://schemas.openxmlformats.org/officeDocument/2006/relationships/hyperlink" Target="https://apps.cpuc.ca.gov/apex/f?p=401:56::::RP,57,RIR:P5_PROCEEDING_SELECT:R2409012" TargetMode="External"/><Relationship Id="rId52" Type="http://schemas.openxmlformats.org/officeDocument/2006/relationships/hyperlink" Target="https://docs.cpuc.ca.gov/PublishedDocs/Published/G000/M521/K196/521196139.PDF" TargetMode="External"/><Relationship Id="rId73" Type="http://schemas.openxmlformats.org/officeDocument/2006/relationships/hyperlink" Target="https://docs.cpuc.ca.gov/PublishedDocs/WORD_PDF/FINAL_DECISION/39314.PDF" TargetMode="External"/><Relationship Id="rId78" Type="http://schemas.openxmlformats.org/officeDocument/2006/relationships/hyperlink" Target="https://docs.cpuc.ca.gov/PublishedDocs/Published/G000/M097/K121/97121784.PDF" TargetMode="External"/><Relationship Id="rId94" Type="http://schemas.openxmlformats.org/officeDocument/2006/relationships/hyperlink" Target="https://docs.cpuc.ca.gov/PublishedDocs/Published/G000/M097/K121/97121784.PDF" TargetMode="External"/><Relationship Id="rId99" Type="http://schemas.openxmlformats.org/officeDocument/2006/relationships/hyperlink" Target="https://benefits.calhr.ca.gov/state-employees/work-resources/travel-reimbursements/" TargetMode="External"/><Relationship Id="rId101" Type="http://schemas.openxmlformats.org/officeDocument/2006/relationships/hyperlink" Target="https://docs.cpuc.ca.gov/PublishedDocs/Published/G000/M521/K196/521196139.PDF" TargetMode="External"/><Relationship Id="rId122" Type="http://schemas.openxmlformats.org/officeDocument/2006/relationships/hyperlink" Target="http://docs.cpuc.ca.gov/PublishedDocs/Published/G000/M264/K677/264677853.PDF" TargetMode="External"/><Relationship Id="rId143" Type="http://schemas.openxmlformats.org/officeDocument/2006/relationships/hyperlink" Target="https://docs.cpuc.ca.gov/PublishedDocs/Published/G000/M310/K136/310136145.PDF" TargetMode="External"/><Relationship Id="rId148" Type="http://schemas.openxmlformats.org/officeDocument/2006/relationships/hyperlink" Target="http://docs.cpuc.ca.gov/PublishedDocs/Published/G000/M152/K904/152904612.PDF" TargetMode="External"/><Relationship Id="rId164" Type="http://schemas.openxmlformats.org/officeDocument/2006/relationships/hyperlink" Target="https://docs.cpuc.ca.gov/PublishedDocs/Published/G000/M410/K138/410138703.PDF" TargetMode="External"/><Relationship Id="rId169" Type="http://schemas.openxmlformats.org/officeDocument/2006/relationships/hyperlink" Target="https://docs.cpuc.ca.gov/PublishedDocs/Published/G000/M507/K499/507499284.PDF" TargetMode="External"/><Relationship Id="rId4" Type="http://schemas.openxmlformats.org/officeDocument/2006/relationships/hyperlink" Target="https://docs.cpuc.ca.gov/PublishedDocs/WORD_PDF/FINAL_DECISION/39314.PDF" TargetMode="External"/><Relationship Id="rId9" Type="http://schemas.openxmlformats.org/officeDocument/2006/relationships/hyperlink" Target="https://docs.cpuc.ca.gov/PublishedDocs/WORD_PDF/FINAL_DECISION/39314.PDF" TargetMode="External"/><Relationship Id="rId26" Type="http://schemas.openxmlformats.org/officeDocument/2006/relationships/hyperlink" Target="https://docs.cpuc.ca.gov/PublishedDocs/WORD_PDF/FINAL_DECISION/39314.PDF" TargetMode="External"/><Relationship Id="rId47" Type="http://schemas.openxmlformats.org/officeDocument/2006/relationships/hyperlink" Target="https://docs.cpuc.ca.gov/PublishedDocs/Published/G000/M097/K121/97121784.PDF" TargetMode="External"/><Relationship Id="rId68" Type="http://schemas.openxmlformats.org/officeDocument/2006/relationships/hyperlink" Target="https://docs.cpuc.ca.gov/PublishedDocs/Published/G000/M503/K914/503914324.PDF" TargetMode="External"/><Relationship Id="rId89" Type="http://schemas.openxmlformats.org/officeDocument/2006/relationships/hyperlink" Target="https://docs.cpuc.ca.gov/PublishedDocs/Published/G000/M410/K138/410138703.PDF" TargetMode="External"/><Relationship Id="rId112" Type="http://schemas.openxmlformats.org/officeDocument/2006/relationships/hyperlink" Target="http://docs.cpuc.ca.gov/PublishedDocs/Published/G000/M196/K543/196543815.PDF" TargetMode="External"/><Relationship Id="rId133" Type="http://schemas.openxmlformats.org/officeDocument/2006/relationships/hyperlink" Target="https://docs.cpuc.ca.gov/PublishedDocs/Published/G000/M507/K499/507499284.PDF" TargetMode="External"/><Relationship Id="rId154" Type="http://schemas.openxmlformats.org/officeDocument/2006/relationships/hyperlink" Target="https://docs.cpuc.ca.gov/PublishedDocs/Published/G000/M531/K559/531559739.PDF" TargetMode="External"/><Relationship Id="rId175" Type="http://schemas.openxmlformats.org/officeDocument/2006/relationships/hyperlink" Target="https://docs.cpuc.ca.gov/PublishedDocs/Published/G000/M097/K121/97121784.PDF" TargetMode="External"/><Relationship Id="rId16" Type="http://schemas.openxmlformats.org/officeDocument/2006/relationships/hyperlink" Target="https://docs.cpuc.ca.gov/PublishedDocs/WORD_PDF/FINAL_DECISION/39314.PDF" TargetMode="External"/><Relationship Id="rId37" Type="http://schemas.openxmlformats.org/officeDocument/2006/relationships/hyperlink" Target="https://docs.cpuc.ca.gov/PublishedDocs/Published/G000/M531/K559/531559739.PDF" TargetMode="External"/><Relationship Id="rId58" Type="http://schemas.openxmlformats.org/officeDocument/2006/relationships/hyperlink" Target="https://docs.cpuc.ca.gov/PublishedDocs/Published/G000/M350/K789/350789679.PDF" TargetMode="External"/><Relationship Id="rId79" Type="http://schemas.openxmlformats.org/officeDocument/2006/relationships/hyperlink" Target="https://docs.cpuc.ca.gov/PublishedDocs/Published/G000/M410/K138/410138703.PDF" TargetMode="External"/><Relationship Id="rId102" Type="http://schemas.openxmlformats.org/officeDocument/2006/relationships/hyperlink" Target="https://docs.cpuc.ca.gov/PublishedDocs/Published/G000/M520/K896/520896345.pdf" TargetMode="External"/><Relationship Id="rId123" Type="http://schemas.openxmlformats.org/officeDocument/2006/relationships/hyperlink" Target="http://docs.cpuc.ca.gov/PublishedDocs/Published/G000/M264/K677/264677853.PDF" TargetMode="External"/><Relationship Id="rId144" Type="http://schemas.openxmlformats.org/officeDocument/2006/relationships/hyperlink" Target="https://docs.cpuc.ca.gov/PublishedDocs/Published/G000/M410/K138/410138703.PDF" TargetMode="External"/><Relationship Id="rId90" Type="http://schemas.openxmlformats.org/officeDocument/2006/relationships/hyperlink" Target="https://docs.cpuc.ca.gov/PublishedDocs/Published/G000/M503/K914/503914324.PDF" TargetMode="External"/><Relationship Id="rId165" Type="http://schemas.openxmlformats.org/officeDocument/2006/relationships/hyperlink" Target="https://docs.cpuc.ca.gov/PublishedDocs/WORD_PDF/FINAL_DECISION/39314.PDF" TargetMode="External"/><Relationship Id="rId27" Type="http://schemas.openxmlformats.org/officeDocument/2006/relationships/hyperlink" Target="https://docs.cpuc.ca.gov/PublishedDocs/WORD_PDF/FINAL_RESOLUTION/42432.PDF" TargetMode="External"/><Relationship Id="rId48" Type="http://schemas.openxmlformats.org/officeDocument/2006/relationships/hyperlink" Target="https://docs.cpuc.ca.gov/PublishedDocs/Published/G000/M410/K138/410138703.PDF" TargetMode="External"/><Relationship Id="rId69" Type="http://schemas.openxmlformats.org/officeDocument/2006/relationships/hyperlink" Target="https://docs.cpuc.ca.gov/PublishedDocs/Published/G000/M350/K789/350789679.PDF" TargetMode="External"/><Relationship Id="rId113" Type="http://schemas.openxmlformats.org/officeDocument/2006/relationships/hyperlink" Target="http://docs.cpuc.ca.gov/PublishedDocs/Published/G000/M264/K677/264677853.PDF" TargetMode="External"/><Relationship Id="rId134" Type="http://schemas.openxmlformats.org/officeDocument/2006/relationships/hyperlink" Target="https://docs.cpuc.ca.gov/PublishedDocs/WORD_PDF/FINAL_DECISION/39314.PDF" TargetMode="External"/><Relationship Id="rId80" Type="http://schemas.openxmlformats.org/officeDocument/2006/relationships/hyperlink" Target="https://docs.cpuc.ca.gov/PublishedDocs/Published/G000/M503/K914/503914324.PDF" TargetMode="External"/><Relationship Id="rId155" Type="http://schemas.openxmlformats.org/officeDocument/2006/relationships/hyperlink" Target="https://docs.cpuc.ca.gov/PublishedDocs/Published/G000/M503/K914/503914324.PDF" TargetMode="External"/><Relationship Id="rId176" Type="http://schemas.openxmlformats.org/officeDocument/2006/relationships/hyperlink" Target="https://docs.cpuc.ca.gov/PublishedDocs/Published/G000/M350/K789/350789679.PDF" TargetMode="External"/><Relationship Id="rId17" Type="http://schemas.openxmlformats.org/officeDocument/2006/relationships/hyperlink" Target="https://docs.cpuc.ca.gov/PublishedDocs/WORD_PDF/FINAL_DECISION/39314.PDF" TargetMode="External"/><Relationship Id="rId38" Type="http://schemas.openxmlformats.org/officeDocument/2006/relationships/hyperlink" Target="https://docs.cpuc.ca.gov/PublishedDocs/Published/G000/M531/K559/531559739.PDF" TargetMode="External"/><Relationship Id="rId59" Type="http://schemas.openxmlformats.org/officeDocument/2006/relationships/hyperlink" Target="https://docs.cpuc.ca.gov/PublishedDocs/Published/G000/M531/K559/531559739.PDF" TargetMode="External"/><Relationship Id="rId103" Type="http://schemas.openxmlformats.org/officeDocument/2006/relationships/hyperlink" Target="https://docs.cpuc.ca.gov/PublishedDocs/Published/G000/M596/K290/596290082.PDF" TargetMode="External"/><Relationship Id="rId124" Type="http://schemas.openxmlformats.org/officeDocument/2006/relationships/hyperlink" Target="https://docs.cpuc.ca.gov/PublishedDocs/Published/G000/M503/K914/503914324.PDF" TargetMode="External"/><Relationship Id="rId70" Type="http://schemas.openxmlformats.org/officeDocument/2006/relationships/hyperlink" Target="https://docs.cpuc.ca.gov/PublishedDocs/Published/G000/M350/K789/350789679.PDF" TargetMode="External"/><Relationship Id="rId91" Type="http://schemas.openxmlformats.org/officeDocument/2006/relationships/hyperlink" Target="https://docs.cpuc.ca.gov/PublishedDocs/WORD_PDF/FINAL_DECISION/39314.PDF" TargetMode="External"/><Relationship Id="rId145" Type="http://schemas.openxmlformats.org/officeDocument/2006/relationships/hyperlink" Target="https://docs.cpuc.ca.gov/PublishedDocs/Published/G000/M503/K914/503914324.PDF" TargetMode="External"/><Relationship Id="rId166" Type="http://schemas.openxmlformats.org/officeDocument/2006/relationships/hyperlink" Target="https://docs.cpuc.ca.gov/PublishedDocs/Published/G000/M503/K914/503914324.PDF" TargetMode="External"/><Relationship Id="rId1" Type="http://schemas.openxmlformats.org/officeDocument/2006/relationships/hyperlink" Target="https://docs.cpuc.ca.gov/word_pdf/FINAL_RESOLUTION/631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23B08E15-EE36-4DF4-8C24-28E64942335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117</ap:Pages>
  <ap:Words>32093</ap:Words>
  <ap:Characters>184538</ap:Characters>
  <ap:Application>Microsoft Office Word</ap:Application>
  <ap:DocSecurity>0</ap:DocSecurity>
  <ap:Lines>4613</ap:Lines>
  <ap:Paragraphs>1558</ap:Paragraphs>
  <ap:ScaleCrop>false</ap:ScaleCrop>
  <ap:Company/>
  <ap:LinksUpToDate>false</ap:LinksUpToDate>
  <ap:CharactersWithSpaces>215073</ap:CharactersWithSpaces>
  <ap:SharedDoc>false</ap:SharedDoc>
  <ap:HLinks>
    <vt:vector baseType="variant" size="1608">
      <vt:variant>
        <vt:i4>1179714</vt:i4>
      </vt:variant>
      <vt:variant>
        <vt:i4>264</vt:i4>
      </vt:variant>
      <vt:variant>
        <vt:i4>0</vt:i4>
      </vt:variant>
      <vt:variant>
        <vt:i4>5</vt:i4>
      </vt:variant>
      <vt:variant>
        <vt:lpwstr>https://docs.cpuc.ca.gov/PublishedDocs/Published/G000/M531/K559/531559739.PDF</vt:lpwstr>
      </vt:variant>
      <vt:variant>
        <vt:lpwstr/>
      </vt:variant>
      <vt:variant>
        <vt:i4>1179714</vt:i4>
      </vt:variant>
      <vt:variant>
        <vt:i4>261</vt:i4>
      </vt:variant>
      <vt:variant>
        <vt:i4>0</vt:i4>
      </vt:variant>
      <vt:variant>
        <vt:i4>5</vt:i4>
      </vt:variant>
      <vt:variant>
        <vt:lpwstr>https://docs.cpuc.ca.gov/PublishedDocs/Published/G000/M531/K559/531559739.PDF</vt:lpwstr>
      </vt:variant>
      <vt:variant>
        <vt:lpwstr/>
      </vt:variant>
      <vt:variant>
        <vt:i4>4391027</vt:i4>
      </vt:variant>
      <vt:variant>
        <vt:i4>258</vt:i4>
      </vt:variant>
      <vt:variant>
        <vt:i4>0</vt:i4>
      </vt:variant>
      <vt:variant>
        <vt:i4>5</vt:i4>
      </vt:variant>
      <vt:variant>
        <vt:lpwstr>https://mindfuldecommissioning.dnv.com/documents/FINAL_ Workshop 2_Presentation_10.2.24.pdf</vt:lpwstr>
      </vt:variant>
      <vt:variant>
        <vt:lpwstr/>
      </vt:variant>
      <vt:variant>
        <vt:i4>2949172</vt:i4>
      </vt:variant>
      <vt:variant>
        <vt:i4>255</vt:i4>
      </vt:variant>
      <vt:variant>
        <vt:i4>0</vt:i4>
      </vt:variant>
      <vt:variant>
        <vt:i4>5</vt:i4>
      </vt:variant>
      <vt:variant>
        <vt:lpwstr>https://www.energy.ca.gov/event/workshop/2024-03/location-specific-gas-system-decommissioning-scoping-workshop</vt:lpwstr>
      </vt:variant>
      <vt:variant>
        <vt:lpwstr>:%7E:text=The%20California%20Energy%20Commission%20%28CEC%29%20will%20host%20a,research%20addressing%20location-specific%20aspects%20of%20long-term%20gas%20decommissioning.</vt:lpwstr>
      </vt:variant>
      <vt:variant>
        <vt:i4>2359339</vt:i4>
      </vt:variant>
      <vt:variant>
        <vt:i4>252</vt:i4>
      </vt:variant>
      <vt:variant>
        <vt:i4>0</vt:i4>
      </vt:variant>
      <vt:variant>
        <vt:i4>5</vt:i4>
      </vt:variant>
      <vt:variant>
        <vt:lpwstr>https://www.energy.ca.gov/event/2024-02/workshop-analytical-framework-results-strategic-gas-infrastructure</vt:lpwstr>
      </vt:variant>
      <vt:variant>
        <vt:lpwstr/>
      </vt:variant>
      <vt:variant>
        <vt:i4>1179714</vt:i4>
      </vt:variant>
      <vt:variant>
        <vt:i4>249</vt:i4>
      </vt:variant>
      <vt:variant>
        <vt:i4>0</vt:i4>
      </vt:variant>
      <vt:variant>
        <vt:i4>5</vt:i4>
      </vt:variant>
      <vt:variant>
        <vt:lpwstr>https://docs.cpuc.ca.gov/PublishedDocs/Published/G000/M531/K559/531559739.PDF</vt:lpwstr>
      </vt:variant>
      <vt:variant>
        <vt:lpwstr/>
      </vt:variant>
      <vt:variant>
        <vt:i4>4390990</vt:i4>
      </vt:variant>
      <vt:variant>
        <vt:i4>246</vt:i4>
      </vt:variant>
      <vt:variant>
        <vt:i4>0</vt:i4>
      </vt:variant>
      <vt:variant>
        <vt:i4>5</vt:i4>
      </vt:variant>
      <vt:variant>
        <vt:lpwstr>https://docs.cpuc.ca.gov/PublishedDocs/Published/G000/M070/K145/70145464.PDF</vt:lpwstr>
      </vt:variant>
      <vt:variant>
        <vt:lpwstr/>
      </vt:variant>
      <vt:variant>
        <vt:i4>1507407</vt:i4>
      </vt:variant>
      <vt:variant>
        <vt:i4>243</vt:i4>
      </vt:variant>
      <vt:variant>
        <vt:i4>0</vt:i4>
      </vt:variant>
      <vt:variant>
        <vt:i4>5</vt:i4>
      </vt:variant>
      <vt:variant>
        <vt:lpwstr>https://docs.cpuc.ca.gov/PublishedDocs/Published/G000/M503/K914/503914324.PDF</vt:lpwstr>
      </vt:variant>
      <vt:variant>
        <vt:lpwstr/>
      </vt:variant>
      <vt:variant>
        <vt:i4>1507407</vt:i4>
      </vt:variant>
      <vt:variant>
        <vt:i4>240</vt:i4>
      </vt:variant>
      <vt:variant>
        <vt:i4>0</vt:i4>
      </vt:variant>
      <vt:variant>
        <vt:i4>5</vt:i4>
      </vt:variant>
      <vt:variant>
        <vt:lpwstr>https://docs.cpuc.ca.gov/PublishedDocs/Published/G000/M503/K914/503914324.PDF</vt:lpwstr>
      </vt:variant>
      <vt:variant>
        <vt:lpwstr/>
      </vt:variant>
      <vt:variant>
        <vt:i4>1179714</vt:i4>
      </vt:variant>
      <vt:variant>
        <vt:i4>237</vt:i4>
      </vt:variant>
      <vt:variant>
        <vt:i4>0</vt:i4>
      </vt:variant>
      <vt:variant>
        <vt:i4>5</vt:i4>
      </vt:variant>
      <vt:variant>
        <vt:lpwstr>https://docs.cpuc.ca.gov/PublishedDocs/Published/G000/M531/K559/531559739.PDF</vt:lpwstr>
      </vt:variant>
      <vt:variant>
        <vt:lpwstr/>
      </vt:variant>
      <vt:variant>
        <vt:i4>1179714</vt:i4>
      </vt:variant>
      <vt:variant>
        <vt:i4>234</vt:i4>
      </vt:variant>
      <vt:variant>
        <vt:i4>0</vt:i4>
      </vt:variant>
      <vt:variant>
        <vt:i4>5</vt:i4>
      </vt:variant>
      <vt:variant>
        <vt:lpwstr>https://docs.cpuc.ca.gov/PublishedDocs/Published/G000/M531/K559/531559739.PDF</vt:lpwstr>
      </vt:variant>
      <vt:variant>
        <vt:lpwstr/>
      </vt:variant>
      <vt:variant>
        <vt:i4>1507407</vt:i4>
      </vt:variant>
      <vt:variant>
        <vt:i4>231</vt:i4>
      </vt:variant>
      <vt:variant>
        <vt:i4>0</vt:i4>
      </vt:variant>
      <vt:variant>
        <vt:i4>5</vt:i4>
      </vt:variant>
      <vt:variant>
        <vt:lpwstr>https://docs.cpuc.ca.gov/PublishedDocs/Published/G000/M503/K914/503914324.PDF</vt:lpwstr>
      </vt:variant>
      <vt:variant>
        <vt:lpwstr/>
      </vt:variant>
      <vt:variant>
        <vt:i4>1507407</vt:i4>
      </vt:variant>
      <vt:variant>
        <vt:i4>228</vt:i4>
      </vt:variant>
      <vt:variant>
        <vt:i4>0</vt:i4>
      </vt:variant>
      <vt:variant>
        <vt:i4>5</vt:i4>
      </vt:variant>
      <vt:variant>
        <vt:lpwstr>https://docs.cpuc.ca.gov/PublishedDocs/Published/G000/M503/K914/503914324.PDF</vt:lpwstr>
      </vt:variant>
      <vt:variant>
        <vt:lpwstr/>
      </vt:variant>
      <vt:variant>
        <vt:i4>1507407</vt:i4>
      </vt:variant>
      <vt:variant>
        <vt:i4>225</vt:i4>
      </vt:variant>
      <vt:variant>
        <vt:i4>0</vt:i4>
      </vt:variant>
      <vt:variant>
        <vt:i4>5</vt:i4>
      </vt:variant>
      <vt:variant>
        <vt:lpwstr>https://docs.cpuc.ca.gov/PublishedDocs/Published/G000/M503/K914/503914324.PDF</vt:lpwstr>
      </vt:variant>
      <vt:variant>
        <vt:lpwstr/>
      </vt:variant>
      <vt:variant>
        <vt:i4>1048649</vt:i4>
      </vt:variant>
      <vt:variant>
        <vt:i4>222</vt:i4>
      </vt:variant>
      <vt:variant>
        <vt:i4>0</vt:i4>
      </vt:variant>
      <vt:variant>
        <vt:i4>5</vt:i4>
      </vt:variant>
      <vt:variant>
        <vt:lpwstr>https://docs.cpuc.ca.gov/PublishedDocs/Published/G000/M410/K138/410138703.PDF</vt:lpwstr>
      </vt:variant>
      <vt:variant>
        <vt:lpwstr/>
      </vt:variant>
      <vt:variant>
        <vt:i4>1048649</vt:i4>
      </vt:variant>
      <vt:variant>
        <vt:i4>219</vt:i4>
      </vt:variant>
      <vt:variant>
        <vt:i4>0</vt:i4>
      </vt:variant>
      <vt:variant>
        <vt:i4>5</vt:i4>
      </vt:variant>
      <vt:variant>
        <vt:lpwstr>https://docs.cpuc.ca.gov/PublishedDocs/Published/G000/M410/K138/410138703.PDF</vt:lpwstr>
      </vt:variant>
      <vt:variant>
        <vt:lpwstr/>
      </vt:variant>
      <vt:variant>
        <vt:i4>1572941</vt:i4>
      </vt:variant>
      <vt:variant>
        <vt:i4>216</vt:i4>
      </vt:variant>
      <vt:variant>
        <vt:i4>0</vt:i4>
      </vt:variant>
      <vt:variant>
        <vt:i4>5</vt:i4>
      </vt:variant>
      <vt:variant>
        <vt:lpwstr>https://docs.cpuc.ca.gov/PublishedDocs/Published/G000/M350/K789/350789679.PDF</vt:lpwstr>
      </vt:variant>
      <vt:variant>
        <vt:lpwstr/>
      </vt:variant>
      <vt:variant>
        <vt:i4>3145785</vt:i4>
      </vt:variant>
      <vt:variant>
        <vt:i4>213</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210</vt:i4>
      </vt:variant>
      <vt:variant>
        <vt:i4>0</vt:i4>
      </vt:variant>
      <vt:variant>
        <vt:i4>5</vt:i4>
      </vt:variant>
      <vt:variant>
        <vt:lpwstr>https://docs.cpuc.ca.gov/PublishedDocs/Published/G000/M350/K789/350789679.PDF</vt:lpwstr>
      </vt:variant>
      <vt:variant>
        <vt:lpwstr/>
      </vt:variant>
      <vt:variant>
        <vt:i4>4390990</vt:i4>
      </vt:variant>
      <vt:variant>
        <vt:i4>207</vt:i4>
      </vt:variant>
      <vt:variant>
        <vt:i4>0</vt:i4>
      </vt:variant>
      <vt:variant>
        <vt:i4>5</vt:i4>
      </vt:variant>
      <vt:variant>
        <vt:lpwstr>https://docs.cpuc.ca.gov/PublishedDocs/Published/G000/M070/K145/70145464.PDF</vt:lpwstr>
      </vt:variant>
      <vt:variant>
        <vt:lpwstr/>
      </vt:variant>
      <vt:variant>
        <vt:i4>5898269</vt:i4>
      </vt:variant>
      <vt:variant>
        <vt:i4>204</vt:i4>
      </vt:variant>
      <vt:variant>
        <vt:i4>0</vt:i4>
      </vt:variant>
      <vt:variant>
        <vt:i4>5</vt:i4>
      </vt:variant>
      <vt:variant>
        <vt:lpwstr>https://docs.cpuc.ca.gov/word_pdf/FINAL_RESOLUTION/63130.pdf</vt:lpwstr>
      </vt:variant>
      <vt:variant>
        <vt:lpwstr/>
      </vt:variant>
      <vt:variant>
        <vt:i4>4259935</vt:i4>
      </vt:variant>
      <vt:variant>
        <vt:i4>201</vt:i4>
      </vt:variant>
      <vt:variant>
        <vt:i4>0</vt:i4>
      </vt:variant>
      <vt:variant>
        <vt:i4>5</vt:i4>
      </vt:variant>
      <vt:variant>
        <vt:lpwstr>https://docs.cpuc.ca.gov/PublishedDocs/WORD_PDF/FINAL_DECISION/39314.PDF</vt:lpwstr>
      </vt:variant>
      <vt:variant>
        <vt:lpwstr/>
      </vt:variant>
      <vt:variant>
        <vt:i4>4259935</vt:i4>
      </vt:variant>
      <vt:variant>
        <vt:i4>198</vt:i4>
      </vt:variant>
      <vt:variant>
        <vt:i4>0</vt:i4>
      </vt:variant>
      <vt:variant>
        <vt:i4>5</vt:i4>
      </vt:variant>
      <vt:variant>
        <vt:lpwstr>https://docs.cpuc.ca.gov/PublishedDocs/WORD_PDF/FINAL_DECISION/39314.PDF</vt:lpwstr>
      </vt:variant>
      <vt:variant>
        <vt:lpwstr/>
      </vt:variant>
      <vt:variant>
        <vt:i4>4259935</vt:i4>
      </vt:variant>
      <vt:variant>
        <vt:i4>195</vt:i4>
      </vt:variant>
      <vt:variant>
        <vt:i4>0</vt:i4>
      </vt:variant>
      <vt:variant>
        <vt:i4>5</vt:i4>
      </vt:variant>
      <vt:variant>
        <vt:lpwstr>https://docs.cpuc.ca.gov/PublishedDocs/WORD_PDF/FINAL_DECISION/39314.PDF</vt:lpwstr>
      </vt:variant>
      <vt:variant>
        <vt:lpwstr/>
      </vt:variant>
      <vt:variant>
        <vt:i4>1179714</vt:i4>
      </vt:variant>
      <vt:variant>
        <vt:i4>192</vt:i4>
      </vt:variant>
      <vt:variant>
        <vt:i4>0</vt:i4>
      </vt:variant>
      <vt:variant>
        <vt:i4>5</vt:i4>
      </vt:variant>
      <vt:variant>
        <vt:lpwstr>https://docs.cpuc.ca.gov/PublishedDocs/Published/G000/M531/K559/531559739.PDF</vt:lpwstr>
      </vt:variant>
      <vt:variant>
        <vt:lpwstr/>
      </vt:variant>
      <vt:variant>
        <vt:i4>1179714</vt:i4>
      </vt:variant>
      <vt:variant>
        <vt:i4>189</vt:i4>
      </vt:variant>
      <vt:variant>
        <vt:i4>0</vt:i4>
      </vt:variant>
      <vt:variant>
        <vt:i4>5</vt:i4>
      </vt:variant>
      <vt:variant>
        <vt:lpwstr>https://docs.cpuc.ca.gov/PublishedDocs/Published/G000/M531/K559/531559739.PDF</vt:lpwstr>
      </vt:variant>
      <vt:variant>
        <vt:lpwstr/>
      </vt:variant>
      <vt:variant>
        <vt:i4>1179714</vt:i4>
      </vt:variant>
      <vt:variant>
        <vt:i4>186</vt:i4>
      </vt:variant>
      <vt:variant>
        <vt:i4>0</vt:i4>
      </vt:variant>
      <vt:variant>
        <vt:i4>5</vt:i4>
      </vt:variant>
      <vt:variant>
        <vt:lpwstr>https://docs.cpuc.ca.gov/PublishedDocs/Published/G000/M531/K559/531559739.PDF</vt:lpwstr>
      </vt:variant>
      <vt:variant>
        <vt:lpwstr/>
      </vt:variant>
      <vt:variant>
        <vt:i4>1179714</vt:i4>
      </vt:variant>
      <vt:variant>
        <vt:i4>183</vt:i4>
      </vt:variant>
      <vt:variant>
        <vt:i4>0</vt:i4>
      </vt:variant>
      <vt:variant>
        <vt:i4>5</vt:i4>
      </vt:variant>
      <vt:variant>
        <vt:lpwstr>https://docs.cpuc.ca.gov/PublishedDocs/Published/G000/M531/K559/531559739.PDF</vt:lpwstr>
      </vt:variant>
      <vt:variant>
        <vt:lpwstr/>
      </vt:variant>
      <vt:variant>
        <vt:i4>1179714</vt:i4>
      </vt:variant>
      <vt:variant>
        <vt:i4>180</vt:i4>
      </vt:variant>
      <vt:variant>
        <vt:i4>0</vt:i4>
      </vt:variant>
      <vt:variant>
        <vt:i4>5</vt:i4>
      </vt:variant>
      <vt:variant>
        <vt:lpwstr>https://docs.cpuc.ca.gov/PublishedDocs/Published/G000/M531/K559/531559739.PDF</vt:lpwstr>
      </vt:variant>
      <vt:variant>
        <vt:lpwstr/>
      </vt:variant>
      <vt:variant>
        <vt:i4>1179714</vt:i4>
      </vt:variant>
      <vt:variant>
        <vt:i4>177</vt:i4>
      </vt:variant>
      <vt:variant>
        <vt:i4>0</vt:i4>
      </vt:variant>
      <vt:variant>
        <vt:i4>5</vt:i4>
      </vt:variant>
      <vt:variant>
        <vt:lpwstr>https://docs.cpuc.ca.gov/PublishedDocs/Published/G000/M531/K559/531559739.PDF</vt:lpwstr>
      </vt:variant>
      <vt:variant>
        <vt:lpwstr/>
      </vt:variant>
      <vt:variant>
        <vt:i4>1179714</vt:i4>
      </vt:variant>
      <vt:variant>
        <vt:i4>174</vt:i4>
      </vt:variant>
      <vt:variant>
        <vt:i4>0</vt:i4>
      </vt:variant>
      <vt:variant>
        <vt:i4>5</vt:i4>
      </vt:variant>
      <vt:variant>
        <vt:lpwstr>https://docs.cpuc.ca.gov/PublishedDocs/Published/G000/M531/K559/531559739.PDF</vt:lpwstr>
      </vt:variant>
      <vt:variant>
        <vt:lpwstr/>
      </vt:variant>
      <vt:variant>
        <vt:i4>4390990</vt:i4>
      </vt:variant>
      <vt:variant>
        <vt:i4>171</vt:i4>
      </vt:variant>
      <vt:variant>
        <vt:i4>0</vt:i4>
      </vt:variant>
      <vt:variant>
        <vt:i4>5</vt:i4>
      </vt:variant>
      <vt:variant>
        <vt:lpwstr>https://docs.cpuc.ca.gov/PublishedDocs/Published/G000/M070/K145/70145464.PDF</vt:lpwstr>
      </vt:variant>
      <vt:variant>
        <vt:lpwstr/>
      </vt:variant>
      <vt:variant>
        <vt:i4>1507407</vt:i4>
      </vt:variant>
      <vt:variant>
        <vt:i4>168</vt:i4>
      </vt:variant>
      <vt:variant>
        <vt:i4>0</vt:i4>
      </vt:variant>
      <vt:variant>
        <vt:i4>5</vt:i4>
      </vt:variant>
      <vt:variant>
        <vt:lpwstr>https://docs.cpuc.ca.gov/PublishedDocs/Published/G000/M503/K914/503914324.PDF</vt:lpwstr>
      </vt:variant>
      <vt:variant>
        <vt:lpwstr/>
      </vt:variant>
      <vt:variant>
        <vt:i4>1507407</vt:i4>
      </vt:variant>
      <vt:variant>
        <vt:i4>165</vt:i4>
      </vt:variant>
      <vt:variant>
        <vt:i4>0</vt:i4>
      </vt:variant>
      <vt:variant>
        <vt:i4>5</vt:i4>
      </vt:variant>
      <vt:variant>
        <vt:lpwstr>https://docs.cpuc.ca.gov/PublishedDocs/Published/G000/M503/K914/503914324.PDF</vt:lpwstr>
      </vt:variant>
      <vt:variant>
        <vt:lpwstr/>
      </vt:variant>
      <vt:variant>
        <vt:i4>1179714</vt:i4>
      </vt:variant>
      <vt:variant>
        <vt:i4>162</vt:i4>
      </vt:variant>
      <vt:variant>
        <vt:i4>0</vt:i4>
      </vt:variant>
      <vt:variant>
        <vt:i4>5</vt:i4>
      </vt:variant>
      <vt:variant>
        <vt:lpwstr>https://docs.cpuc.ca.gov/PublishedDocs/Published/G000/M531/K559/531559739.PDF</vt:lpwstr>
      </vt:variant>
      <vt:variant>
        <vt:lpwstr/>
      </vt:variant>
      <vt:variant>
        <vt:i4>1179714</vt:i4>
      </vt:variant>
      <vt:variant>
        <vt:i4>159</vt:i4>
      </vt:variant>
      <vt:variant>
        <vt:i4>0</vt:i4>
      </vt:variant>
      <vt:variant>
        <vt:i4>5</vt:i4>
      </vt:variant>
      <vt:variant>
        <vt:lpwstr>https://docs.cpuc.ca.gov/PublishedDocs/Published/G000/M531/K559/531559739.PDF</vt:lpwstr>
      </vt:variant>
      <vt:variant>
        <vt:lpwstr/>
      </vt:variant>
      <vt:variant>
        <vt:i4>1507407</vt:i4>
      </vt:variant>
      <vt:variant>
        <vt:i4>156</vt:i4>
      </vt:variant>
      <vt:variant>
        <vt:i4>0</vt:i4>
      </vt:variant>
      <vt:variant>
        <vt:i4>5</vt:i4>
      </vt:variant>
      <vt:variant>
        <vt:lpwstr>https://docs.cpuc.ca.gov/PublishedDocs/Published/G000/M503/K914/503914324.PDF</vt:lpwstr>
      </vt:variant>
      <vt:variant>
        <vt:lpwstr/>
      </vt:variant>
      <vt:variant>
        <vt:i4>1507407</vt:i4>
      </vt:variant>
      <vt:variant>
        <vt:i4>153</vt:i4>
      </vt:variant>
      <vt:variant>
        <vt:i4>0</vt:i4>
      </vt:variant>
      <vt:variant>
        <vt:i4>5</vt:i4>
      </vt:variant>
      <vt:variant>
        <vt:lpwstr>https://docs.cpuc.ca.gov/PublishedDocs/Published/G000/M503/K914/503914324.PDF</vt:lpwstr>
      </vt:variant>
      <vt:variant>
        <vt:lpwstr/>
      </vt:variant>
      <vt:variant>
        <vt:i4>1507407</vt:i4>
      </vt:variant>
      <vt:variant>
        <vt:i4>150</vt:i4>
      </vt:variant>
      <vt:variant>
        <vt:i4>0</vt:i4>
      </vt:variant>
      <vt:variant>
        <vt:i4>5</vt:i4>
      </vt:variant>
      <vt:variant>
        <vt:lpwstr>https://docs.cpuc.ca.gov/PublishedDocs/Published/G000/M503/K914/503914324.PDF</vt:lpwstr>
      </vt:variant>
      <vt:variant>
        <vt:lpwstr/>
      </vt:variant>
      <vt:variant>
        <vt:i4>1048649</vt:i4>
      </vt:variant>
      <vt:variant>
        <vt:i4>147</vt:i4>
      </vt:variant>
      <vt:variant>
        <vt:i4>0</vt:i4>
      </vt:variant>
      <vt:variant>
        <vt:i4>5</vt:i4>
      </vt:variant>
      <vt:variant>
        <vt:lpwstr>https://docs.cpuc.ca.gov/PublishedDocs/Published/G000/M410/K138/410138703.PDF</vt:lpwstr>
      </vt:variant>
      <vt:variant>
        <vt:lpwstr/>
      </vt:variant>
      <vt:variant>
        <vt:i4>1048649</vt:i4>
      </vt:variant>
      <vt:variant>
        <vt:i4>144</vt:i4>
      </vt:variant>
      <vt:variant>
        <vt:i4>0</vt:i4>
      </vt:variant>
      <vt:variant>
        <vt:i4>5</vt:i4>
      </vt:variant>
      <vt:variant>
        <vt:lpwstr>https://docs.cpuc.ca.gov/PublishedDocs/Published/G000/M410/K138/410138703.PDF</vt:lpwstr>
      </vt:variant>
      <vt:variant>
        <vt:lpwstr/>
      </vt:variant>
      <vt:variant>
        <vt:i4>1572941</vt:i4>
      </vt:variant>
      <vt:variant>
        <vt:i4>141</vt:i4>
      </vt:variant>
      <vt:variant>
        <vt:i4>0</vt:i4>
      </vt:variant>
      <vt:variant>
        <vt:i4>5</vt:i4>
      </vt:variant>
      <vt:variant>
        <vt:lpwstr>https://docs.cpuc.ca.gov/PublishedDocs/Published/G000/M350/K789/350789679.PDF</vt:lpwstr>
      </vt:variant>
      <vt:variant>
        <vt:lpwstr/>
      </vt:variant>
      <vt:variant>
        <vt:i4>3145785</vt:i4>
      </vt:variant>
      <vt:variant>
        <vt:i4>138</vt:i4>
      </vt:variant>
      <vt:variant>
        <vt:i4>0</vt:i4>
      </vt:variant>
      <vt:variant>
        <vt:i4>5</vt:i4>
      </vt:variant>
      <vt:variant>
        <vt:lpwstr>https://www.energy.ca.gov/data-reports/reports/energy-research-and-development-investment-plans-and-annual-reports.</vt:lpwstr>
      </vt:variant>
      <vt:variant>
        <vt:lpwstr/>
      </vt:variant>
      <vt:variant>
        <vt:i4>1572941</vt:i4>
      </vt:variant>
      <vt:variant>
        <vt:i4>135</vt:i4>
      </vt:variant>
      <vt:variant>
        <vt:i4>0</vt:i4>
      </vt:variant>
      <vt:variant>
        <vt:i4>5</vt:i4>
      </vt:variant>
      <vt:variant>
        <vt:lpwstr>https://docs.cpuc.ca.gov/PublishedDocs/Published/G000/M350/K789/350789679.PDF</vt:lpwstr>
      </vt:variant>
      <vt:variant>
        <vt:lpwstr/>
      </vt:variant>
      <vt:variant>
        <vt:i4>4390990</vt:i4>
      </vt:variant>
      <vt:variant>
        <vt:i4>132</vt:i4>
      </vt:variant>
      <vt:variant>
        <vt:i4>0</vt:i4>
      </vt:variant>
      <vt:variant>
        <vt:i4>5</vt:i4>
      </vt:variant>
      <vt:variant>
        <vt:lpwstr>https://docs.cpuc.ca.gov/PublishedDocs/Published/G000/M070/K145/70145464.PDF</vt:lpwstr>
      </vt:variant>
      <vt:variant>
        <vt:lpwstr/>
      </vt:variant>
      <vt:variant>
        <vt:i4>5898269</vt:i4>
      </vt:variant>
      <vt:variant>
        <vt:i4>129</vt:i4>
      </vt:variant>
      <vt:variant>
        <vt:i4>0</vt:i4>
      </vt:variant>
      <vt:variant>
        <vt:i4>5</vt:i4>
      </vt:variant>
      <vt:variant>
        <vt:lpwstr>https://docs.cpuc.ca.gov/word_pdf/FINAL_RESOLUTION/63130.pdf</vt:lpwstr>
      </vt:variant>
      <vt:variant>
        <vt:lpwstr/>
      </vt:variant>
      <vt:variant>
        <vt:i4>4259935</vt:i4>
      </vt:variant>
      <vt:variant>
        <vt:i4>126</vt:i4>
      </vt:variant>
      <vt:variant>
        <vt:i4>0</vt:i4>
      </vt:variant>
      <vt:variant>
        <vt:i4>5</vt:i4>
      </vt:variant>
      <vt:variant>
        <vt:lpwstr>https://docs.cpuc.ca.gov/PublishedDocs/WORD_PDF/FINAL_DECISION/39314.PDF</vt:lpwstr>
      </vt:variant>
      <vt:variant>
        <vt:lpwstr/>
      </vt:variant>
      <vt:variant>
        <vt:i4>4259935</vt:i4>
      </vt:variant>
      <vt:variant>
        <vt:i4>123</vt:i4>
      </vt:variant>
      <vt:variant>
        <vt:i4>0</vt:i4>
      </vt:variant>
      <vt:variant>
        <vt:i4>5</vt:i4>
      </vt:variant>
      <vt:variant>
        <vt:lpwstr>https://docs.cpuc.ca.gov/PublishedDocs/WORD_PDF/FINAL_DECISION/39314.PDF</vt:lpwstr>
      </vt:variant>
      <vt:variant>
        <vt:lpwstr/>
      </vt:variant>
      <vt:variant>
        <vt:i4>4259935</vt:i4>
      </vt:variant>
      <vt:variant>
        <vt:i4>120</vt:i4>
      </vt:variant>
      <vt:variant>
        <vt:i4>0</vt:i4>
      </vt:variant>
      <vt:variant>
        <vt:i4>5</vt:i4>
      </vt:variant>
      <vt:variant>
        <vt:lpwstr>https://docs.cpuc.ca.gov/PublishedDocs/WORD_PDF/FINAL_DECISION/39314.PDF</vt:lpwstr>
      </vt:variant>
      <vt:variant>
        <vt:lpwstr/>
      </vt:variant>
      <vt:variant>
        <vt:i4>1179714</vt:i4>
      </vt:variant>
      <vt:variant>
        <vt:i4>117</vt:i4>
      </vt:variant>
      <vt:variant>
        <vt:i4>0</vt:i4>
      </vt:variant>
      <vt:variant>
        <vt:i4>5</vt:i4>
      </vt:variant>
      <vt:variant>
        <vt:lpwstr>https://docs.cpuc.ca.gov/PublishedDocs/Published/G000/M531/K559/531559739.PDF</vt:lpwstr>
      </vt:variant>
      <vt:variant>
        <vt:lpwstr/>
      </vt:variant>
      <vt:variant>
        <vt:i4>1179714</vt:i4>
      </vt:variant>
      <vt:variant>
        <vt:i4>114</vt:i4>
      </vt:variant>
      <vt:variant>
        <vt:i4>0</vt:i4>
      </vt:variant>
      <vt:variant>
        <vt:i4>5</vt:i4>
      </vt:variant>
      <vt:variant>
        <vt:lpwstr>https://docs.cpuc.ca.gov/PublishedDocs/Published/G000/M531/K559/531559739.PDF</vt:lpwstr>
      </vt:variant>
      <vt:variant>
        <vt:lpwstr/>
      </vt:variant>
      <vt:variant>
        <vt:i4>4325452</vt:i4>
      </vt:variant>
      <vt:variant>
        <vt:i4>111</vt:i4>
      </vt:variant>
      <vt:variant>
        <vt:i4>0</vt:i4>
      </vt:variant>
      <vt:variant>
        <vt:i4>5</vt:i4>
      </vt:variant>
      <vt:variant>
        <vt:lpwstr>https://docs.cpuc.ca.gov/PublishedDocs/Published/G000/M081/K773/81773445.PDF</vt:lpwstr>
      </vt:variant>
      <vt:variant>
        <vt:lpwstr/>
      </vt:variant>
      <vt:variant>
        <vt:i4>1769540</vt:i4>
      </vt:variant>
      <vt:variant>
        <vt:i4>108</vt:i4>
      </vt:variant>
      <vt:variant>
        <vt:i4>0</vt:i4>
      </vt:variant>
      <vt:variant>
        <vt:i4>5</vt:i4>
      </vt:variant>
      <vt:variant>
        <vt:lpwstr>https://docs.cpuc.ca.gov/PublishedDocs/Published/G000/M520/K896/520896345.pdf</vt:lpwstr>
      </vt:variant>
      <vt:variant>
        <vt:lpwstr/>
      </vt:variant>
      <vt:variant>
        <vt:i4>1310786</vt:i4>
      </vt:variant>
      <vt:variant>
        <vt:i4>105</vt:i4>
      </vt:variant>
      <vt:variant>
        <vt:i4>0</vt:i4>
      </vt:variant>
      <vt:variant>
        <vt:i4>5</vt:i4>
      </vt:variant>
      <vt:variant>
        <vt:lpwstr>https://docs.cpuc.ca.gov/PublishedDocs/Published/G000/M521/K196/521196139.PDF</vt:lpwstr>
      </vt:variant>
      <vt:variant>
        <vt:lpwstr/>
      </vt:variant>
      <vt:variant>
        <vt:i4>1507407</vt:i4>
      </vt:variant>
      <vt:variant>
        <vt:i4>102</vt:i4>
      </vt:variant>
      <vt:variant>
        <vt:i4>0</vt:i4>
      </vt:variant>
      <vt:variant>
        <vt:i4>5</vt:i4>
      </vt:variant>
      <vt:variant>
        <vt:lpwstr>https://docs.cpuc.ca.gov/PublishedDocs/Published/G000/M503/K914/503914324.PDF</vt:lpwstr>
      </vt:variant>
      <vt:variant>
        <vt:lpwstr/>
      </vt:variant>
      <vt:variant>
        <vt:i4>3539067</vt:i4>
      </vt:variant>
      <vt:variant>
        <vt:i4>99</vt:i4>
      </vt:variant>
      <vt:variant>
        <vt:i4>0</vt:i4>
      </vt:variant>
      <vt:variant>
        <vt:i4>5</vt:i4>
      </vt:variant>
      <vt:variant>
        <vt:lpwstr>https://www.cpuc.ca.gov/-/media/cpuc-website/divisions/news-and-outreach/documents/news-office/key-issues/esj/esj-action-plan-v2jw.pdf</vt:lpwstr>
      </vt:variant>
      <vt:variant>
        <vt:lpwstr/>
      </vt:variant>
      <vt:variant>
        <vt:i4>1310786</vt:i4>
      </vt:variant>
      <vt:variant>
        <vt:i4>96</vt:i4>
      </vt:variant>
      <vt:variant>
        <vt:i4>0</vt:i4>
      </vt:variant>
      <vt:variant>
        <vt:i4>5</vt:i4>
      </vt:variant>
      <vt:variant>
        <vt:lpwstr>https://docs.cpuc.ca.gov/PublishedDocs/Published/G000/M461/K921/461921821.PDF</vt:lpwstr>
      </vt:variant>
      <vt:variant>
        <vt:lpwstr/>
      </vt:variant>
      <vt:variant>
        <vt:i4>1114188</vt:i4>
      </vt:variant>
      <vt:variant>
        <vt:i4>93</vt:i4>
      </vt:variant>
      <vt:variant>
        <vt:i4>0</vt:i4>
      </vt:variant>
      <vt:variant>
        <vt:i4>5</vt:i4>
      </vt:variant>
      <vt:variant>
        <vt:lpwstr>https://docs.cpuc.ca.gov/PublishedDocs/Published/G000/M372/K329/372329202.PDF</vt:lpwstr>
      </vt:variant>
      <vt:variant>
        <vt:lpwstr/>
      </vt:variant>
      <vt:variant>
        <vt:i4>1572941</vt:i4>
      </vt:variant>
      <vt:variant>
        <vt:i4>90</vt:i4>
      </vt:variant>
      <vt:variant>
        <vt:i4>0</vt:i4>
      </vt:variant>
      <vt:variant>
        <vt:i4>5</vt:i4>
      </vt:variant>
      <vt:variant>
        <vt:lpwstr>https://docs.cpuc.ca.gov/PublishedDocs/Published/G000/M350/K789/350789679.PDF</vt:lpwstr>
      </vt:variant>
      <vt:variant>
        <vt:lpwstr/>
      </vt:variant>
      <vt:variant>
        <vt:i4>1900608</vt:i4>
      </vt:variant>
      <vt:variant>
        <vt:i4>87</vt:i4>
      </vt:variant>
      <vt:variant>
        <vt:i4>0</vt:i4>
      </vt:variant>
      <vt:variant>
        <vt:i4>5</vt:i4>
      </vt:variant>
      <vt:variant>
        <vt:lpwstr>https://docs.cpuc.ca.gov/PublishedDocs/Published/G000/M310/K136/310136145.PDF</vt:lpwstr>
      </vt:variant>
      <vt:variant>
        <vt:lpwstr/>
      </vt:variant>
      <vt:variant>
        <vt:i4>1441877</vt:i4>
      </vt:variant>
      <vt:variant>
        <vt:i4>84</vt:i4>
      </vt:variant>
      <vt:variant>
        <vt:i4>0</vt:i4>
      </vt:variant>
      <vt:variant>
        <vt:i4>5</vt:i4>
      </vt:variant>
      <vt:variant>
        <vt:lpwstr>https://www.gov.ca.gov/wp-content/uploads/2024/10/energy-EO-10-30-24.pdf</vt:lpwstr>
      </vt:variant>
      <vt:variant>
        <vt:lpwstr/>
      </vt:variant>
      <vt:variant>
        <vt:i4>1769540</vt:i4>
      </vt:variant>
      <vt:variant>
        <vt:i4>81</vt:i4>
      </vt:variant>
      <vt:variant>
        <vt:i4>0</vt:i4>
      </vt:variant>
      <vt:variant>
        <vt:i4>5</vt:i4>
      </vt:variant>
      <vt:variant>
        <vt:lpwstr>https://docs.cpuc.ca.gov/PublishedDocs/Published/G000/M520/K896/520896345.pdf</vt:lpwstr>
      </vt:variant>
      <vt:variant>
        <vt:lpwstr/>
      </vt:variant>
      <vt:variant>
        <vt:i4>1310786</vt:i4>
      </vt:variant>
      <vt:variant>
        <vt:i4>78</vt:i4>
      </vt:variant>
      <vt:variant>
        <vt:i4>0</vt:i4>
      </vt:variant>
      <vt:variant>
        <vt:i4>5</vt:i4>
      </vt:variant>
      <vt:variant>
        <vt:lpwstr>https://docs.cpuc.ca.gov/PublishedDocs/Published/G000/M461/K921/461921821.PDF</vt:lpwstr>
      </vt:variant>
      <vt:variant>
        <vt:lpwstr/>
      </vt:variant>
      <vt:variant>
        <vt:i4>1114178</vt:i4>
      </vt:variant>
      <vt:variant>
        <vt:i4>75</vt:i4>
      </vt:variant>
      <vt:variant>
        <vt:i4>0</vt:i4>
      </vt:variant>
      <vt:variant>
        <vt:i4>5</vt:i4>
      </vt:variant>
      <vt:variant>
        <vt:lpwstr>https://docs.cpuc.ca.gov/PublishedDocs/Published/G000/M507/K499/507499284.PDF</vt:lpwstr>
      </vt:variant>
      <vt:variant>
        <vt:lpwstr/>
      </vt:variant>
      <vt:variant>
        <vt:i4>1769540</vt:i4>
      </vt:variant>
      <vt:variant>
        <vt:i4>72</vt:i4>
      </vt:variant>
      <vt:variant>
        <vt:i4>0</vt:i4>
      </vt:variant>
      <vt:variant>
        <vt:i4>5</vt:i4>
      </vt:variant>
      <vt:variant>
        <vt:lpwstr>https://docs.cpuc.ca.gov/PublishedDocs/Published/G000/M520/K896/520896345.pdf</vt:lpwstr>
      </vt:variant>
      <vt:variant>
        <vt:lpwstr/>
      </vt:variant>
      <vt:variant>
        <vt:i4>1179714</vt:i4>
      </vt:variant>
      <vt:variant>
        <vt:i4>69</vt:i4>
      </vt:variant>
      <vt:variant>
        <vt:i4>0</vt:i4>
      </vt:variant>
      <vt:variant>
        <vt:i4>5</vt:i4>
      </vt:variant>
      <vt:variant>
        <vt:lpwstr>https://docs.cpuc.ca.gov/PublishedDocs/Published/G000/M531/K559/531559739.PDF</vt:lpwstr>
      </vt:variant>
      <vt:variant>
        <vt:lpwstr/>
      </vt:variant>
      <vt:variant>
        <vt:i4>1310786</vt:i4>
      </vt:variant>
      <vt:variant>
        <vt:i4>66</vt:i4>
      </vt:variant>
      <vt:variant>
        <vt:i4>0</vt:i4>
      </vt:variant>
      <vt:variant>
        <vt:i4>5</vt:i4>
      </vt:variant>
      <vt:variant>
        <vt:lpwstr>https://docs.cpuc.ca.gov/PublishedDocs/Published/G000/M521/K196/521196139.PDF</vt:lpwstr>
      </vt:variant>
      <vt:variant>
        <vt:lpwstr/>
      </vt:variant>
      <vt:variant>
        <vt:i4>1507407</vt:i4>
      </vt:variant>
      <vt:variant>
        <vt:i4>63</vt:i4>
      </vt:variant>
      <vt:variant>
        <vt:i4>0</vt:i4>
      </vt:variant>
      <vt:variant>
        <vt:i4>5</vt:i4>
      </vt:variant>
      <vt:variant>
        <vt:lpwstr>https://docs.cpuc.ca.gov/PublishedDocs/Published/G000/M503/K914/503914324.PDF</vt:lpwstr>
      </vt:variant>
      <vt:variant>
        <vt:lpwstr/>
      </vt:variant>
      <vt:variant>
        <vt:i4>1310786</vt:i4>
      </vt:variant>
      <vt:variant>
        <vt:i4>60</vt:i4>
      </vt:variant>
      <vt:variant>
        <vt:i4>0</vt:i4>
      </vt:variant>
      <vt:variant>
        <vt:i4>5</vt:i4>
      </vt:variant>
      <vt:variant>
        <vt:lpwstr>https://docs.cpuc.ca.gov/PublishedDocs/Published/G000/M461/K921/461921821.PDF</vt:lpwstr>
      </vt:variant>
      <vt:variant>
        <vt:lpwstr/>
      </vt:variant>
      <vt:variant>
        <vt:i4>3407935</vt:i4>
      </vt:variant>
      <vt:variant>
        <vt:i4>57</vt:i4>
      </vt:variant>
      <vt:variant>
        <vt:i4>0</vt:i4>
      </vt:variant>
      <vt:variant>
        <vt:i4>5</vt:i4>
      </vt:variant>
      <vt:variant>
        <vt:lpwstr>http://docs.cpuc.ca.gov/PublishedDocs/WORD_PDF/FINAL_DECISION/39314.PDF</vt:lpwstr>
      </vt:variant>
      <vt:variant>
        <vt:lpwstr/>
      </vt:variant>
      <vt:variant>
        <vt:i4>1114178</vt:i4>
      </vt:variant>
      <vt:variant>
        <vt:i4>54</vt:i4>
      </vt:variant>
      <vt:variant>
        <vt:i4>0</vt:i4>
      </vt:variant>
      <vt:variant>
        <vt:i4>5</vt:i4>
      </vt:variant>
      <vt:variant>
        <vt:lpwstr>https://docs.cpuc.ca.gov/PublishedDocs/Published/G000/M507/K499/507499284.PDF</vt:lpwstr>
      </vt:variant>
      <vt:variant>
        <vt:lpwstr/>
      </vt:variant>
      <vt:variant>
        <vt:i4>1310786</vt:i4>
      </vt:variant>
      <vt:variant>
        <vt:i4>51</vt:i4>
      </vt:variant>
      <vt:variant>
        <vt:i4>0</vt:i4>
      </vt:variant>
      <vt:variant>
        <vt:i4>5</vt:i4>
      </vt:variant>
      <vt:variant>
        <vt:lpwstr>https://docs.cpuc.ca.gov/PublishedDocs/Published/G000/M521/K196/521196139.PDF</vt:lpwstr>
      </vt:variant>
      <vt:variant>
        <vt:lpwstr/>
      </vt:variant>
      <vt:variant>
        <vt:i4>1114188</vt:i4>
      </vt:variant>
      <vt:variant>
        <vt:i4>48</vt:i4>
      </vt:variant>
      <vt:variant>
        <vt:i4>0</vt:i4>
      </vt:variant>
      <vt:variant>
        <vt:i4>5</vt:i4>
      </vt:variant>
      <vt:variant>
        <vt:lpwstr>https://docs.cpuc.ca.gov/PublishedDocs/Published/G000/M372/K329/372329202.PDF</vt:lpwstr>
      </vt:variant>
      <vt:variant>
        <vt:lpwstr/>
      </vt:variant>
      <vt:variant>
        <vt:i4>1114178</vt:i4>
      </vt:variant>
      <vt:variant>
        <vt:i4>45</vt:i4>
      </vt:variant>
      <vt:variant>
        <vt:i4>0</vt:i4>
      </vt:variant>
      <vt:variant>
        <vt:i4>5</vt:i4>
      </vt:variant>
      <vt:variant>
        <vt:lpwstr>https://docs.cpuc.ca.gov/PublishedDocs/Published/G000/M507/K499/507499284.PDF</vt:lpwstr>
      </vt:variant>
      <vt:variant>
        <vt:lpwstr/>
      </vt:variant>
      <vt:variant>
        <vt:i4>1114186</vt:i4>
      </vt:variant>
      <vt:variant>
        <vt:i4>42</vt:i4>
      </vt:variant>
      <vt:variant>
        <vt:i4>0</vt:i4>
      </vt:variant>
      <vt:variant>
        <vt:i4>5</vt:i4>
      </vt:variant>
      <vt:variant>
        <vt:lpwstr>https://docs.cpuc.ca.gov/PublishedDocs/Published/G000/M550/K485/550485071.pdf</vt:lpwstr>
      </vt:variant>
      <vt:variant>
        <vt:lpwstr/>
      </vt:variant>
      <vt:variant>
        <vt:i4>1179714</vt:i4>
      </vt:variant>
      <vt:variant>
        <vt:i4>39</vt:i4>
      </vt:variant>
      <vt:variant>
        <vt:i4>0</vt:i4>
      </vt:variant>
      <vt:variant>
        <vt:i4>5</vt:i4>
      </vt:variant>
      <vt:variant>
        <vt:lpwstr>https://docs.cpuc.ca.gov/PublishedDocs/Published/G000/M531/K559/531559739.PDF</vt:lpwstr>
      </vt:variant>
      <vt:variant>
        <vt:lpwstr/>
      </vt:variant>
      <vt:variant>
        <vt:i4>1310786</vt:i4>
      </vt:variant>
      <vt:variant>
        <vt:i4>36</vt:i4>
      </vt:variant>
      <vt:variant>
        <vt:i4>0</vt:i4>
      </vt:variant>
      <vt:variant>
        <vt:i4>5</vt:i4>
      </vt:variant>
      <vt:variant>
        <vt:lpwstr>https://docs.cpuc.ca.gov/PublishedDocs/Published/G000/M521/K196/521196139.PDF</vt:lpwstr>
      </vt:variant>
      <vt:variant>
        <vt:lpwstr/>
      </vt:variant>
      <vt:variant>
        <vt:i4>1507407</vt:i4>
      </vt:variant>
      <vt:variant>
        <vt:i4>33</vt:i4>
      </vt:variant>
      <vt:variant>
        <vt:i4>0</vt:i4>
      </vt:variant>
      <vt:variant>
        <vt:i4>5</vt:i4>
      </vt:variant>
      <vt:variant>
        <vt:lpwstr>https://docs.cpuc.ca.gov/PublishedDocs/Published/G000/M503/K914/503914324.PDF</vt:lpwstr>
      </vt:variant>
      <vt:variant>
        <vt:lpwstr/>
      </vt:variant>
      <vt:variant>
        <vt:i4>1310786</vt:i4>
      </vt:variant>
      <vt:variant>
        <vt:i4>30</vt:i4>
      </vt:variant>
      <vt:variant>
        <vt:i4>0</vt:i4>
      </vt:variant>
      <vt:variant>
        <vt:i4>5</vt:i4>
      </vt:variant>
      <vt:variant>
        <vt:lpwstr>https://docs.cpuc.ca.gov/PublishedDocs/Published/G000/M461/K921/461921821.PDF</vt:lpwstr>
      </vt:variant>
      <vt:variant>
        <vt:lpwstr/>
      </vt:variant>
      <vt:variant>
        <vt:i4>1179714</vt:i4>
      </vt:variant>
      <vt:variant>
        <vt:i4>27</vt:i4>
      </vt:variant>
      <vt:variant>
        <vt:i4>0</vt:i4>
      </vt:variant>
      <vt:variant>
        <vt:i4>5</vt:i4>
      </vt:variant>
      <vt:variant>
        <vt:lpwstr>https://docs.cpuc.ca.gov/PublishedDocs/Published/G000/M531/K559/531559739.PDF</vt:lpwstr>
      </vt:variant>
      <vt:variant>
        <vt:lpwstr/>
      </vt:variant>
      <vt:variant>
        <vt:i4>1310786</vt:i4>
      </vt:variant>
      <vt:variant>
        <vt:i4>24</vt:i4>
      </vt:variant>
      <vt:variant>
        <vt:i4>0</vt:i4>
      </vt:variant>
      <vt:variant>
        <vt:i4>5</vt:i4>
      </vt:variant>
      <vt:variant>
        <vt:lpwstr>https://docs.cpuc.ca.gov/PublishedDocs/Published/G000/M521/K196/521196139.PDF</vt:lpwstr>
      </vt:variant>
      <vt:variant>
        <vt:lpwstr/>
      </vt:variant>
      <vt:variant>
        <vt:i4>1572941</vt:i4>
      </vt:variant>
      <vt:variant>
        <vt:i4>21</vt:i4>
      </vt:variant>
      <vt:variant>
        <vt:i4>0</vt:i4>
      </vt:variant>
      <vt:variant>
        <vt:i4>5</vt:i4>
      </vt:variant>
      <vt:variant>
        <vt:lpwstr>https://docs.cpuc.ca.gov/PublishedDocs/Published/G000/M350/K789/350789679.PDF</vt:lpwstr>
      </vt:variant>
      <vt:variant>
        <vt:lpwstr/>
      </vt:variant>
      <vt:variant>
        <vt:i4>1966149</vt:i4>
      </vt:variant>
      <vt:variant>
        <vt:i4>18</vt:i4>
      </vt:variant>
      <vt:variant>
        <vt:i4>0</vt:i4>
      </vt:variant>
      <vt:variant>
        <vt:i4>5</vt:i4>
      </vt:variant>
      <vt:variant>
        <vt:lpwstr>https://docs.cpuc.ca.gov/PublishedDocs/Published/G000/M316/K704/316704666.PDF</vt:lpwstr>
      </vt:variant>
      <vt:variant>
        <vt:lpwstr/>
      </vt:variant>
      <vt:variant>
        <vt:i4>1179714</vt:i4>
      </vt:variant>
      <vt:variant>
        <vt:i4>15</vt:i4>
      </vt:variant>
      <vt:variant>
        <vt:i4>0</vt:i4>
      </vt:variant>
      <vt:variant>
        <vt:i4>5</vt:i4>
      </vt:variant>
      <vt:variant>
        <vt:lpwstr>https://docs.cpuc.ca.gov/PublishedDocs/Published/G000/M531/K559/531559739.PDF</vt:lpwstr>
      </vt:variant>
      <vt:variant>
        <vt:lpwstr/>
      </vt:variant>
      <vt:variant>
        <vt:i4>1507407</vt:i4>
      </vt:variant>
      <vt:variant>
        <vt:i4>12</vt:i4>
      </vt:variant>
      <vt:variant>
        <vt:i4>0</vt:i4>
      </vt:variant>
      <vt:variant>
        <vt:i4>5</vt:i4>
      </vt:variant>
      <vt:variant>
        <vt:lpwstr>https://docs.cpuc.ca.gov/PublishedDocs/Published/G000/M503/K914/503914324.PDF</vt:lpwstr>
      </vt:variant>
      <vt:variant>
        <vt:lpwstr/>
      </vt:variant>
      <vt:variant>
        <vt:i4>1048649</vt:i4>
      </vt:variant>
      <vt:variant>
        <vt:i4>9</vt:i4>
      </vt:variant>
      <vt:variant>
        <vt:i4>0</vt:i4>
      </vt:variant>
      <vt:variant>
        <vt:i4>5</vt:i4>
      </vt:variant>
      <vt:variant>
        <vt:lpwstr>https://docs.cpuc.ca.gov/PublishedDocs/Published/G000/M410/K138/410138703.PDF</vt:lpwstr>
      </vt:variant>
      <vt:variant>
        <vt:lpwstr/>
      </vt:variant>
      <vt:variant>
        <vt:i4>1572941</vt:i4>
      </vt:variant>
      <vt:variant>
        <vt:i4>6</vt:i4>
      </vt:variant>
      <vt:variant>
        <vt:i4>0</vt:i4>
      </vt:variant>
      <vt:variant>
        <vt:i4>5</vt:i4>
      </vt:variant>
      <vt:variant>
        <vt:lpwstr>https://docs.cpuc.ca.gov/PublishedDocs/Published/G000/M350/K789/350789679.PDF</vt:lpwstr>
      </vt:variant>
      <vt:variant>
        <vt:lpwstr/>
      </vt:variant>
      <vt:variant>
        <vt:i4>4390990</vt:i4>
      </vt:variant>
      <vt:variant>
        <vt:i4>3</vt:i4>
      </vt:variant>
      <vt:variant>
        <vt:i4>0</vt:i4>
      </vt:variant>
      <vt:variant>
        <vt:i4>5</vt:i4>
      </vt:variant>
      <vt:variant>
        <vt:lpwstr>https://docs.cpuc.ca.gov/PublishedDocs/Published/G000/M070/K145/70145464.PDF</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ariant>
        <vt:i4>4194368</vt:i4>
      </vt:variant>
      <vt:variant>
        <vt:i4>534</vt:i4>
      </vt:variant>
      <vt:variant>
        <vt:i4>0</vt:i4>
      </vt:variant>
      <vt:variant>
        <vt:i4>5</vt:i4>
      </vt:variant>
      <vt:variant>
        <vt:lpwstr>https://docs.cpuc.ca.gov/PublishedDocs/Published/G000/M097/K121/97121784.PDF</vt:lpwstr>
      </vt:variant>
      <vt:variant>
        <vt:lpwstr/>
      </vt:variant>
      <vt:variant>
        <vt:i4>6881397</vt:i4>
      </vt:variant>
      <vt:variant>
        <vt:i4>531</vt:i4>
      </vt:variant>
      <vt:variant>
        <vt:i4>0</vt:i4>
      </vt:variant>
      <vt:variant>
        <vt:i4>5</vt:i4>
      </vt:variant>
      <vt:variant>
        <vt:lpwstr>https://www.energy.ca.gov/publications/2021/california-building-decarbonization-assessment</vt:lpwstr>
      </vt:variant>
      <vt:variant>
        <vt:lpwstr/>
      </vt:variant>
      <vt:variant>
        <vt:i4>1179714</vt:i4>
      </vt:variant>
      <vt:variant>
        <vt:i4>528</vt:i4>
      </vt:variant>
      <vt:variant>
        <vt:i4>0</vt:i4>
      </vt:variant>
      <vt:variant>
        <vt:i4>5</vt:i4>
      </vt:variant>
      <vt:variant>
        <vt:lpwstr>https://docs.cpuc.ca.gov/PublishedDocs/Published/G000/M531/K559/531559739.PDF</vt:lpwstr>
      </vt:variant>
      <vt:variant>
        <vt:lpwstr/>
      </vt:variant>
      <vt:variant>
        <vt:i4>1572941</vt:i4>
      </vt:variant>
      <vt:variant>
        <vt:i4>525</vt:i4>
      </vt:variant>
      <vt:variant>
        <vt:i4>0</vt:i4>
      </vt:variant>
      <vt:variant>
        <vt:i4>5</vt:i4>
      </vt:variant>
      <vt:variant>
        <vt:lpwstr>https://docs.cpuc.ca.gov/PublishedDocs/Published/G000/M350/K789/350789679.PDF</vt:lpwstr>
      </vt:variant>
      <vt:variant>
        <vt:lpwstr/>
      </vt:variant>
      <vt:variant>
        <vt:i4>4194368</vt:i4>
      </vt:variant>
      <vt:variant>
        <vt:i4>522</vt:i4>
      </vt:variant>
      <vt:variant>
        <vt:i4>0</vt:i4>
      </vt:variant>
      <vt:variant>
        <vt:i4>5</vt:i4>
      </vt:variant>
      <vt:variant>
        <vt:lpwstr>https://docs.cpuc.ca.gov/PublishedDocs/Published/G000/M097/K121/97121784.PDF</vt:lpwstr>
      </vt:variant>
      <vt:variant>
        <vt:lpwstr/>
      </vt:variant>
      <vt:variant>
        <vt:i4>6881397</vt:i4>
      </vt:variant>
      <vt:variant>
        <vt:i4>519</vt:i4>
      </vt:variant>
      <vt:variant>
        <vt:i4>0</vt:i4>
      </vt:variant>
      <vt:variant>
        <vt:i4>5</vt:i4>
      </vt:variant>
      <vt:variant>
        <vt:lpwstr>https://www.energy.ca.gov/publications/2021/california-building-decarbonization-assessment</vt:lpwstr>
      </vt:variant>
      <vt:variant>
        <vt:lpwstr/>
      </vt:variant>
      <vt:variant>
        <vt:i4>1179714</vt:i4>
      </vt:variant>
      <vt:variant>
        <vt:i4>516</vt:i4>
      </vt:variant>
      <vt:variant>
        <vt:i4>0</vt:i4>
      </vt:variant>
      <vt:variant>
        <vt:i4>5</vt:i4>
      </vt:variant>
      <vt:variant>
        <vt:lpwstr>https://docs.cpuc.ca.gov/PublishedDocs/Published/G000/M531/K559/531559739.PDF</vt:lpwstr>
      </vt:variant>
      <vt:variant>
        <vt:lpwstr/>
      </vt:variant>
      <vt:variant>
        <vt:i4>1572941</vt:i4>
      </vt:variant>
      <vt:variant>
        <vt:i4>513</vt:i4>
      </vt:variant>
      <vt:variant>
        <vt:i4>0</vt:i4>
      </vt:variant>
      <vt:variant>
        <vt:i4>5</vt:i4>
      </vt:variant>
      <vt:variant>
        <vt:lpwstr>https://docs.cpuc.ca.gov/PublishedDocs/Published/G000/M350/K789/350789679.PDF</vt:lpwstr>
      </vt:variant>
      <vt:variant>
        <vt:lpwstr/>
      </vt:variant>
      <vt:variant>
        <vt:i4>7405695</vt:i4>
      </vt:variant>
      <vt:variant>
        <vt:i4>510</vt:i4>
      </vt:variant>
      <vt:variant>
        <vt:i4>0</vt:i4>
      </vt:variant>
      <vt:variant>
        <vt:i4>5</vt:i4>
      </vt:variant>
      <vt:variant>
        <vt:lpwstr>https://www.energy.ca.gov/sites/default/files/2026-01/TN268110_20260102T135517_Gas R%26D Program - FY 202324 Updated Proposed Budget Plan%C2%A0.pdf</vt:lpwstr>
      </vt:variant>
      <vt:variant>
        <vt:lpwstr/>
      </vt:variant>
      <vt:variant>
        <vt:i4>1638489</vt:i4>
      </vt:variant>
      <vt:variant>
        <vt:i4>507</vt:i4>
      </vt:variant>
      <vt:variant>
        <vt:i4>0</vt:i4>
      </vt:variant>
      <vt:variant>
        <vt:i4>5</vt:i4>
      </vt:variant>
      <vt:variant>
        <vt:lpwstr>https://docs.cpuc.ca.gov/PublishedDocs/WORD_PDF/FINAL_DECISION/167664.PDF</vt:lpwstr>
      </vt:variant>
      <vt:variant>
        <vt:lpwstr/>
      </vt:variant>
      <vt:variant>
        <vt:i4>1114178</vt:i4>
      </vt:variant>
      <vt:variant>
        <vt:i4>504</vt:i4>
      </vt:variant>
      <vt:variant>
        <vt:i4>0</vt:i4>
      </vt:variant>
      <vt:variant>
        <vt:i4>5</vt:i4>
      </vt:variant>
      <vt:variant>
        <vt:lpwstr>https://docs.cpuc.ca.gov/PublishedDocs/Published/G000/M507/K499/507499284.PDF</vt:lpwstr>
      </vt:variant>
      <vt:variant>
        <vt:lpwstr/>
      </vt:variant>
      <vt:variant>
        <vt:i4>1310786</vt:i4>
      </vt:variant>
      <vt:variant>
        <vt:i4>501</vt:i4>
      </vt:variant>
      <vt:variant>
        <vt:i4>0</vt:i4>
      </vt:variant>
      <vt:variant>
        <vt:i4>5</vt:i4>
      </vt:variant>
      <vt:variant>
        <vt:lpwstr>https://docs.cpuc.ca.gov/PublishedDocs/Published/G000/M521/K196/521196139.PDF</vt:lpwstr>
      </vt:variant>
      <vt:variant>
        <vt:lpwstr/>
      </vt:variant>
      <vt:variant>
        <vt:i4>1507407</vt:i4>
      </vt:variant>
      <vt:variant>
        <vt:i4>498</vt:i4>
      </vt:variant>
      <vt:variant>
        <vt:i4>0</vt:i4>
      </vt:variant>
      <vt:variant>
        <vt:i4>5</vt:i4>
      </vt:variant>
      <vt:variant>
        <vt:lpwstr>https://docs.cpuc.ca.gov/PublishedDocs/Published/G000/M503/K914/503914324.PDF</vt:lpwstr>
      </vt:variant>
      <vt:variant>
        <vt:lpwstr/>
      </vt:variant>
      <vt:variant>
        <vt:i4>1507407</vt:i4>
      </vt:variant>
      <vt:variant>
        <vt:i4>495</vt:i4>
      </vt:variant>
      <vt:variant>
        <vt:i4>0</vt:i4>
      </vt:variant>
      <vt:variant>
        <vt:i4>5</vt:i4>
      </vt:variant>
      <vt:variant>
        <vt:lpwstr>https://docs.cpuc.ca.gov/PublishedDocs/Published/G000/M503/K914/503914324.PDF</vt:lpwstr>
      </vt:variant>
      <vt:variant>
        <vt:lpwstr/>
      </vt:variant>
      <vt:variant>
        <vt:i4>4259935</vt:i4>
      </vt:variant>
      <vt:variant>
        <vt:i4>492</vt:i4>
      </vt:variant>
      <vt:variant>
        <vt:i4>0</vt:i4>
      </vt:variant>
      <vt:variant>
        <vt:i4>5</vt:i4>
      </vt:variant>
      <vt:variant>
        <vt:lpwstr>https://docs.cpuc.ca.gov/PublishedDocs/WORD_PDF/FINAL_DECISION/39314.PDF</vt:lpwstr>
      </vt:variant>
      <vt:variant>
        <vt:lpwstr/>
      </vt:variant>
      <vt:variant>
        <vt:i4>1048649</vt:i4>
      </vt:variant>
      <vt:variant>
        <vt:i4>489</vt:i4>
      </vt:variant>
      <vt:variant>
        <vt:i4>0</vt:i4>
      </vt:variant>
      <vt:variant>
        <vt:i4>5</vt:i4>
      </vt:variant>
      <vt:variant>
        <vt:lpwstr>https://docs.cpuc.ca.gov/PublishedDocs/Published/G000/M410/K138/410138703.PDF</vt:lpwstr>
      </vt:variant>
      <vt:variant>
        <vt:lpwstr/>
      </vt:variant>
      <vt:variant>
        <vt:i4>1179714</vt:i4>
      </vt:variant>
      <vt:variant>
        <vt:i4>486</vt:i4>
      </vt:variant>
      <vt:variant>
        <vt:i4>0</vt:i4>
      </vt:variant>
      <vt:variant>
        <vt:i4>5</vt:i4>
      </vt:variant>
      <vt:variant>
        <vt:lpwstr>https://docs.cpuc.ca.gov/PublishedDocs/Published/G000/M531/K559/531559739.PDF</vt:lpwstr>
      </vt:variant>
      <vt:variant>
        <vt:lpwstr/>
      </vt:variant>
      <vt:variant>
        <vt:i4>4259935</vt:i4>
      </vt:variant>
      <vt:variant>
        <vt:i4>483</vt:i4>
      </vt:variant>
      <vt:variant>
        <vt:i4>0</vt:i4>
      </vt:variant>
      <vt:variant>
        <vt:i4>5</vt:i4>
      </vt:variant>
      <vt:variant>
        <vt:lpwstr>https://docs.cpuc.ca.gov/PublishedDocs/WORD_PDF/FINAL_DECISION/39314.PDF</vt:lpwstr>
      </vt:variant>
      <vt:variant>
        <vt:lpwstr/>
      </vt:variant>
      <vt:variant>
        <vt:i4>1572941</vt:i4>
      </vt:variant>
      <vt:variant>
        <vt:i4>480</vt:i4>
      </vt:variant>
      <vt:variant>
        <vt:i4>0</vt:i4>
      </vt:variant>
      <vt:variant>
        <vt:i4>5</vt:i4>
      </vt:variant>
      <vt:variant>
        <vt:lpwstr>https://docs.cpuc.ca.gov/PublishedDocs/Published/G000/M350/K789/350789679.PDF</vt:lpwstr>
      </vt:variant>
      <vt:variant>
        <vt:lpwstr/>
      </vt:variant>
      <vt:variant>
        <vt:i4>1900608</vt:i4>
      </vt:variant>
      <vt:variant>
        <vt:i4>477</vt:i4>
      </vt:variant>
      <vt:variant>
        <vt:i4>0</vt:i4>
      </vt:variant>
      <vt:variant>
        <vt:i4>5</vt:i4>
      </vt:variant>
      <vt:variant>
        <vt:lpwstr>https://docs.cpuc.ca.gov/PublishedDocs/Published/G000/M310/K136/310136145.PDF</vt:lpwstr>
      </vt:variant>
      <vt:variant>
        <vt:lpwstr/>
      </vt:variant>
      <vt:variant>
        <vt:i4>4325380</vt:i4>
      </vt:variant>
      <vt:variant>
        <vt:i4>474</vt:i4>
      </vt:variant>
      <vt:variant>
        <vt:i4>0</vt:i4>
      </vt:variant>
      <vt:variant>
        <vt:i4>5</vt:i4>
      </vt:variant>
      <vt:variant>
        <vt:lpwstr>http://docs.cpuc.ca.gov/PublishedDocs/Published/G000/M264/K677/264677853.PDF</vt:lpwstr>
      </vt:variant>
      <vt:variant>
        <vt:lpwstr/>
      </vt:variant>
      <vt:variant>
        <vt:i4>4325380</vt:i4>
      </vt:variant>
      <vt:variant>
        <vt:i4>471</vt:i4>
      </vt:variant>
      <vt:variant>
        <vt:i4>0</vt:i4>
      </vt:variant>
      <vt:variant>
        <vt:i4>5</vt:i4>
      </vt:variant>
      <vt:variant>
        <vt:lpwstr>http://docs.cpuc.ca.gov/PublishedDocs/Published/G000/M264/K677/264677853.PDF</vt:lpwstr>
      </vt:variant>
      <vt:variant>
        <vt:lpwstr/>
      </vt:variant>
      <vt:variant>
        <vt:i4>1507407</vt:i4>
      </vt:variant>
      <vt:variant>
        <vt:i4>468</vt:i4>
      </vt:variant>
      <vt:variant>
        <vt:i4>0</vt:i4>
      </vt:variant>
      <vt:variant>
        <vt:i4>5</vt:i4>
      </vt:variant>
      <vt:variant>
        <vt:lpwstr>https://docs.cpuc.ca.gov/PublishedDocs/Published/G000/M503/K914/503914324.PDF</vt:lpwstr>
      </vt:variant>
      <vt:variant>
        <vt:lpwstr/>
      </vt:variant>
      <vt:variant>
        <vt:i4>6881397</vt:i4>
      </vt:variant>
      <vt:variant>
        <vt:i4>465</vt:i4>
      </vt:variant>
      <vt:variant>
        <vt:i4>0</vt:i4>
      </vt:variant>
      <vt:variant>
        <vt:i4>5</vt:i4>
      </vt:variant>
      <vt:variant>
        <vt:lpwstr>https://www.energy.ca.gov/publications/2021/california-building-decarbonization-assessment</vt:lpwstr>
      </vt:variant>
      <vt:variant>
        <vt:lpwstr/>
      </vt:variant>
      <vt:variant>
        <vt:i4>1507407</vt:i4>
      </vt:variant>
      <vt:variant>
        <vt:i4>462</vt:i4>
      </vt:variant>
      <vt:variant>
        <vt:i4>0</vt:i4>
      </vt:variant>
      <vt:variant>
        <vt:i4>5</vt:i4>
      </vt:variant>
      <vt:variant>
        <vt:lpwstr>https://docs.cpuc.ca.gov/PublishedDocs/Published/G000/M503/K914/503914324.PDF</vt:lpwstr>
      </vt:variant>
      <vt:variant>
        <vt:lpwstr/>
      </vt:variant>
      <vt:variant>
        <vt:i4>1179714</vt:i4>
      </vt:variant>
      <vt:variant>
        <vt:i4>459</vt:i4>
      </vt:variant>
      <vt:variant>
        <vt:i4>0</vt:i4>
      </vt:variant>
      <vt:variant>
        <vt:i4>5</vt:i4>
      </vt:variant>
      <vt:variant>
        <vt:lpwstr>https://docs.cpuc.ca.gov/PublishedDocs/Published/G000/M531/K559/531559739.PDF</vt:lpwstr>
      </vt:variant>
      <vt:variant>
        <vt:lpwstr/>
      </vt:variant>
      <vt:variant>
        <vt:i4>1572941</vt:i4>
      </vt:variant>
      <vt:variant>
        <vt:i4>456</vt:i4>
      </vt:variant>
      <vt:variant>
        <vt:i4>0</vt:i4>
      </vt:variant>
      <vt:variant>
        <vt:i4>5</vt:i4>
      </vt:variant>
      <vt:variant>
        <vt:lpwstr>https://docs.cpuc.ca.gov/PublishedDocs/Published/G000/M350/K789/350789679.PDF</vt:lpwstr>
      </vt:variant>
      <vt:variant>
        <vt:lpwstr/>
      </vt:variant>
      <vt:variant>
        <vt:i4>1048649</vt:i4>
      </vt:variant>
      <vt:variant>
        <vt:i4>453</vt:i4>
      </vt:variant>
      <vt:variant>
        <vt:i4>0</vt:i4>
      </vt:variant>
      <vt:variant>
        <vt:i4>5</vt:i4>
      </vt:variant>
      <vt:variant>
        <vt:lpwstr>https://docs.cpuc.ca.gov/PublishedDocs/Published/G000/M410/K138/410138703.PDF</vt:lpwstr>
      </vt:variant>
      <vt:variant>
        <vt:lpwstr/>
      </vt:variant>
      <vt:variant>
        <vt:i4>1900608</vt:i4>
      </vt:variant>
      <vt:variant>
        <vt:i4>450</vt:i4>
      </vt:variant>
      <vt:variant>
        <vt:i4>0</vt:i4>
      </vt:variant>
      <vt:variant>
        <vt:i4>5</vt:i4>
      </vt:variant>
      <vt:variant>
        <vt:lpwstr>https://docs.cpuc.ca.gov/PublishedDocs/Published/G000/M310/K136/310136145.PDF</vt:lpwstr>
      </vt:variant>
      <vt:variant>
        <vt:lpwstr/>
      </vt:variant>
      <vt:variant>
        <vt:i4>5111818</vt:i4>
      </vt:variant>
      <vt:variant>
        <vt:i4>447</vt:i4>
      </vt:variant>
      <vt:variant>
        <vt:i4>0</vt:i4>
      </vt:variant>
      <vt:variant>
        <vt:i4>5</vt:i4>
      </vt:variant>
      <vt:variant>
        <vt:lpwstr>http://docs.cpuc.ca.gov/PublishedDocs/Published/G000/M196/K543/196543815.PDF</vt:lpwstr>
      </vt:variant>
      <vt:variant>
        <vt:lpwstr/>
      </vt:variant>
      <vt:variant>
        <vt:i4>5177345</vt:i4>
      </vt:variant>
      <vt:variant>
        <vt:i4>444</vt:i4>
      </vt:variant>
      <vt:variant>
        <vt:i4>0</vt:i4>
      </vt:variant>
      <vt:variant>
        <vt:i4>5</vt:i4>
      </vt:variant>
      <vt:variant>
        <vt:lpwstr>http://docs.cpuc.ca.gov/PublishedDocs/Published/G000/M167/K772/167772745.PDF</vt:lpwstr>
      </vt:variant>
      <vt:variant>
        <vt:lpwstr/>
      </vt:variant>
      <vt:variant>
        <vt:i4>4194317</vt:i4>
      </vt:variant>
      <vt:variant>
        <vt:i4>441</vt:i4>
      </vt:variant>
      <vt:variant>
        <vt:i4>0</vt:i4>
      </vt:variant>
      <vt:variant>
        <vt:i4>5</vt:i4>
      </vt:variant>
      <vt:variant>
        <vt:lpwstr>http://docs.cpuc.ca.gov/PublishedDocs/Published/G000/M152/K904/152904612.PDF</vt:lpwstr>
      </vt:variant>
      <vt:variant>
        <vt:lpwstr/>
      </vt:variant>
      <vt:variant>
        <vt:i4>2818110</vt:i4>
      </vt:variant>
      <vt:variant>
        <vt:i4>438</vt:i4>
      </vt:variant>
      <vt:variant>
        <vt:i4>0</vt:i4>
      </vt:variant>
      <vt:variant>
        <vt:i4>5</vt:i4>
      </vt:variant>
      <vt:variant>
        <vt:lpwstr>http://docs.cpuc.ca.gov/PublishedDocs/Published/G000/M097/K121/97121784.PDF</vt:lpwstr>
      </vt:variant>
      <vt:variant>
        <vt:lpwstr/>
      </vt:variant>
      <vt:variant>
        <vt:i4>4390990</vt:i4>
      </vt:variant>
      <vt:variant>
        <vt:i4>435</vt:i4>
      </vt:variant>
      <vt:variant>
        <vt:i4>0</vt:i4>
      </vt:variant>
      <vt:variant>
        <vt:i4>5</vt:i4>
      </vt:variant>
      <vt:variant>
        <vt:lpwstr>https://docs.cpuc.ca.gov/PublishedDocs/Published/G000/M070/K145/70145464.PDF</vt:lpwstr>
      </vt:variant>
      <vt:variant>
        <vt:lpwstr/>
      </vt:variant>
      <vt:variant>
        <vt:i4>1507407</vt:i4>
      </vt:variant>
      <vt:variant>
        <vt:i4>432</vt:i4>
      </vt:variant>
      <vt:variant>
        <vt:i4>0</vt:i4>
      </vt:variant>
      <vt:variant>
        <vt:i4>5</vt:i4>
      </vt:variant>
      <vt:variant>
        <vt:lpwstr>https://docs.cpuc.ca.gov/PublishedDocs/Published/G000/M503/K914/503914324.PDF</vt:lpwstr>
      </vt:variant>
      <vt:variant>
        <vt:lpwstr/>
      </vt:variant>
      <vt:variant>
        <vt:i4>1048649</vt:i4>
      </vt:variant>
      <vt:variant>
        <vt:i4>429</vt:i4>
      </vt:variant>
      <vt:variant>
        <vt:i4>0</vt:i4>
      </vt:variant>
      <vt:variant>
        <vt:i4>5</vt:i4>
      </vt:variant>
      <vt:variant>
        <vt:lpwstr>https://docs.cpuc.ca.gov/PublishedDocs/Published/G000/M410/K138/410138703.PDF</vt:lpwstr>
      </vt:variant>
      <vt:variant>
        <vt:lpwstr/>
      </vt:variant>
      <vt:variant>
        <vt:i4>1900608</vt:i4>
      </vt:variant>
      <vt:variant>
        <vt:i4>426</vt:i4>
      </vt:variant>
      <vt:variant>
        <vt:i4>0</vt:i4>
      </vt:variant>
      <vt:variant>
        <vt:i4>5</vt:i4>
      </vt:variant>
      <vt:variant>
        <vt:lpwstr>https://docs.cpuc.ca.gov/PublishedDocs/Published/G000/M310/K136/310136145.PDF</vt:lpwstr>
      </vt:variant>
      <vt:variant>
        <vt:lpwstr/>
      </vt:variant>
      <vt:variant>
        <vt:i4>4325380</vt:i4>
      </vt:variant>
      <vt:variant>
        <vt:i4>423</vt:i4>
      </vt:variant>
      <vt:variant>
        <vt:i4>0</vt:i4>
      </vt:variant>
      <vt:variant>
        <vt:i4>5</vt:i4>
      </vt:variant>
      <vt:variant>
        <vt:lpwstr>http://docs.cpuc.ca.gov/PublishedDocs/Published/G000/M264/K677/264677853.PDF</vt:lpwstr>
      </vt:variant>
      <vt:variant>
        <vt:lpwstr/>
      </vt:variant>
      <vt:variant>
        <vt:i4>5111818</vt:i4>
      </vt:variant>
      <vt:variant>
        <vt:i4>420</vt:i4>
      </vt:variant>
      <vt:variant>
        <vt:i4>0</vt:i4>
      </vt:variant>
      <vt:variant>
        <vt:i4>5</vt:i4>
      </vt:variant>
      <vt:variant>
        <vt:lpwstr>http://docs.cpuc.ca.gov/PublishedDocs/Published/G000/M196/K543/196543815.PDF</vt:lpwstr>
      </vt:variant>
      <vt:variant>
        <vt:lpwstr/>
      </vt:variant>
      <vt:variant>
        <vt:i4>5177345</vt:i4>
      </vt:variant>
      <vt:variant>
        <vt:i4>417</vt:i4>
      </vt:variant>
      <vt:variant>
        <vt:i4>0</vt:i4>
      </vt:variant>
      <vt:variant>
        <vt:i4>5</vt:i4>
      </vt:variant>
      <vt:variant>
        <vt:lpwstr>http://docs.cpuc.ca.gov/PublishedDocs/Published/G000/M167/K772/167772745.PDF</vt:lpwstr>
      </vt:variant>
      <vt:variant>
        <vt:lpwstr/>
      </vt:variant>
      <vt:variant>
        <vt:i4>4194317</vt:i4>
      </vt:variant>
      <vt:variant>
        <vt:i4>414</vt:i4>
      </vt:variant>
      <vt:variant>
        <vt:i4>0</vt:i4>
      </vt:variant>
      <vt:variant>
        <vt:i4>5</vt:i4>
      </vt:variant>
      <vt:variant>
        <vt:lpwstr>http://docs.cpuc.ca.gov/PublishedDocs/Published/G000/M152/K904/152904612.PDF</vt:lpwstr>
      </vt:variant>
      <vt:variant>
        <vt:lpwstr/>
      </vt:variant>
      <vt:variant>
        <vt:i4>2818110</vt:i4>
      </vt:variant>
      <vt:variant>
        <vt:i4>411</vt:i4>
      </vt:variant>
      <vt:variant>
        <vt:i4>0</vt:i4>
      </vt:variant>
      <vt:variant>
        <vt:i4>5</vt:i4>
      </vt:variant>
      <vt:variant>
        <vt:lpwstr>http://docs.cpuc.ca.gov/PublishedDocs/Published/G000/M097/K121/97121784.PDF</vt:lpwstr>
      </vt:variant>
      <vt:variant>
        <vt:lpwstr/>
      </vt:variant>
      <vt:variant>
        <vt:i4>1245269</vt:i4>
      </vt:variant>
      <vt:variant>
        <vt:i4>408</vt:i4>
      </vt:variant>
      <vt:variant>
        <vt:i4>0</vt:i4>
      </vt:variant>
      <vt:variant>
        <vt:i4>5</vt:i4>
      </vt:variant>
      <vt:variant>
        <vt:lpwstr>https://california.public.law/codes/public_utilities_code_section_384</vt:lpwstr>
      </vt:variant>
      <vt:variant>
        <vt:lpwstr/>
      </vt:variant>
      <vt:variant>
        <vt:i4>3407931</vt:i4>
      </vt:variant>
      <vt:variant>
        <vt:i4>405</vt:i4>
      </vt:variant>
      <vt:variant>
        <vt:i4>0</vt:i4>
      </vt:variant>
      <vt:variant>
        <vt:i4>5</vt:i4>
      </vt:variant>
      <vt:variant>
        <vt:lpwstr>https://docs.cpuc.ca.gov/PublishedDocs/WORD_PDF/FINAL_RESOLUTION/42432.PDF</vt:lpwstr>
      </vt:variant>
      <vt:variant>
        <vt:lpwstr/>
      </vt:variant>
      <vt:variant>
        <vt:i4>1900608</vt:i4>
      </vt:variant>
      <vt:variant>
        <vt:i4>402</vt:i4>
      </vt:variant>
      <vt:variant>
        <vt:i4>0</vt:i4>
      </vt:variant>
      <vt:variant>
        <vt:i4>5</vt:i4>
      </vt:variant>
      <vt:variant>
        <vt:lpwstr>https://docs.cpuc.ca.gov/PublishedDocs/Published/G000/M310/K136/310136145.PDF</vt:lpwstr>
      </vt:variant>
      <vt:variant>
        <vt:lpwstr/>
      </vt:variant>
      <vt:variant>
        <vt:i4>4259935</vt:i4>
      </vt:variant>
      <vt:variant>
        <vt:i4>399</vt:i4>
      </vt:variant>
      <vt:variant>
        <vt:i4>0</vt:i4>
      </vt:variant>
      <vt:variant>
        <vt:i4>5</vt:i4>
      </vt:variant>
      <vt:variant>
        <vt:lpwstr>https://docs.cpuc.ca.gov/PublishedDocs/WORD_PDF/FINAL_DECISION/39314.PDF</vt:lpwstr>
      </vt:variant>
      <vt:variant>
        <vt:lpwstr/>
      </vt:variant>
      <vt:variant>
        <vt:i4>1114178</vt:i4>
      </vt:variant>
      <vt:variant>
        <vt:i4>396</vt:i4>
      </vt:variant>
      <vt:variant>
        <vt:i4>0</vt:i4>
      </vt:variant>
      <vt:variant>
        <vt:i4>5</vt:i4>
      </vt:variant>
      <vt:variant>
        <vt:lpwstr>https://docs.cpuc.ca.gov/PublishedDocs/Published/G000/M507/K499/507499284.PDF</vt:lpwstr>
      </vt:variant>
      <vt:variant>
        <vt:lpwstr/>
      </vt:variant>
      <vt:variant>
        <vt:i4>4259935</vt:i4>
      </vt:variant>
      <vt:variant>
        <vt:i4>393</vt:i4>
      </vt:variant>
      <vt:variant>
        <vt:i4>0</vt:i4>
      </vt:variant>
      <vt:variant>
        <vt:i4>5</vt:i4>
      </vt:variant>
      <vt:variant>
        <vt:lpwstr>https://docs.cpuc.ca.gov/PublishedDocs/WORD_PDF/FINAL_DECISION/39314.PDF</vt:lpwstr>
      </vt:variant>
      <vt:variant>
        <vt:lpwstr/>
      </vt:variant>
      <vt:variant>
        <vt:i4>4259935</vt:i4>
      </vt:variant>
      <vt:variant>
        <vt:i4>390</vt:i4>
      </vt:variant>
      <vt:variant>
        <vt:i4>0</vt:i4>
      </vt:variant>
      <vt:variant>
        <vt:i4>5</vt:i4>
      </vt:variant>
      <vt:variant>
        <vt:lpwstr>https://docs.cpuc.ca.gov/PublishedDocs/WORD_PDF/FINAL_DECISION/39314.PDF</vt:lpwstr>
      </vt:variant>
      <vt:variant>
        <vt:lpwstr/>
      </vt:variant>
      <vt:variant>
        <vt:i4>4259935</vt:i4>
      </vt:variant>
      <vt:variant>
        <vt:i4>387</vt:i4>
      </vt:variant>
      <vt:variant>
        <vt:i4>0</vt:i4>
      </vt:variant>
      <vt:variant>
        <vt:i4>5</vt:i4>
      </vt:variant>
      <vt:variant>
        <vt:lpwstr>https://docs.cpuc.ca.gov/PublishedDocs/WORD_PDF/FINAL_DECISION/39314.PDF</vt:lpwstr>
      </vt:variant>
      <vt:variant>
        <vt:lpwstr/>
      </vt:variant>
      <vt:variant>
        <vt:i4>1507407</vt:i4>
      </vt:variant>
      <vt:variant>
        <vt:i4>384</vt:i4>
      </vt:variant>
      <vt:variant>
        <vt:i4>0</vt:i4>
      </vt:variant>
      <vt:variant>
        <vt:i4>5</vt:i4>
      </vt:variant>
      <vt:variant>
        <vt:lpwstr>https://docs.cpuc.ca.gov/PublishedDocs/Published/G000/M503/K914/503914324.PDF</vt:lpwstr>
      </vt:variant>
      <vt:variant>
        <vt:lpwstr/>
      </vt:variant>
      <vt:variant>
        <vt:i4>1441857</vt:i4>
      </vt:variant>
      <vt:variant>
        <vt:i4>381</vt:i4>
      </vt:variant>
      <vt:variant>
        <vt:i4>0</vt:i4>
      </vt:variant>
      <vt:variant>
        <vt:i4>5</vt:i4>
      </vt:variant>
      <vt:variant>
        <vt:lpwstr>https://docs.cpuc.ca.gov/PublishedDocs/Published/G000/M596/K290/596290082.PDF</vt:lpwstr>
      </vt:variant>
      <vt:variant>
        <vt:lpwstr/>
      </vt:variant>
      <vt:variant>
        <vt:i4>1245259</vt:i4>
      </vt:variant>
      <vt:variant>
        <vt:i4>378</vt:i4>
      </vt:variant>
      <vt:variant>
        <vt:i4>0</vt:i4>
      </vt:variant>
      <vt:variant>
        <vt:i4>5</vt:i4>
      </vt:variant>
      <vt:variant>
        <vt:lpwstr>https://docs.cpuc.ca.gov/PublishedDocs/Published/G000/M527/K228/527228647.PDF</vt:lpwstr>
      </vt:variant>
      <vt:variant>
        <vt:lpwstr/>
      </vt:variant>
      <vt:variant>
        <vt:i4>1114178</vt:i4>
      </vt:variant>
      <vt:variant>
        <vt:i4>375</vt:i4>
      </vt:variant>
      <vt:variant>
        <vt:i4>0</vt:i4>
      </vt:variant>
      <vt:variant>
        <vt:i4>5</vt:i4>
      </vt:variant>
      <vt:variant>
        <vt:lpwstr>https://docs.cpuc.ca.gov/PublishedDocs/Published/G000/M507/K499/507499284.PDF</vt:lpwstr>
      </vt:variant>
      <vt:variant>
        <vt:lpwstr/>
      </vt:variant>
      <vt:variant>
        <vt:i4>4259935</vt:i4>
      </vt:variant>
      <vt:variant>
        <vt:i4>372</vt:i4>
      </vt:variant>
      <vt:variant>
        <vt:i4>0</vt:i4>
      </vt:variant>
      <vt:variant>
        <vt:i4>5</vt:i4>
      </vt:variant>
      <vt:variant>
        <vt:lpwstr>https://docs.cpuc.ca.gov/PublishedDocs/WORD_PDF/FINAL_DECISION/39314.PDF</vt:lpwstr>
      </vt:variant>
      <vt:variant>
        <vt:lpwstr/>
      </vt:variant>
      <vt:variant>
        <vt:i4>1507407</vt:i4>
      </vt:variant>
      <vt:variant>
        <vt:i4>369</vt:i4>
      </vt:variant>
      <vt:variant>
        <vt:i4>0</vt:i4>
      </vt:variant>
      <vt:variant>
        <vt:i4>5</vt:i4>
      </vt:variant>
      <vt:variant>
        <vt:lpwstr>https://docs.cpuc.ca.gov/PublishedDocs/Published/G000/M503/K914/503914324.PDF</vt:lpwstr>
      </vt:variant>
      <vt:variant>
        <vt:lpwstr/>
      </vt:variant>
      <vt:variant>
        <vt:i4>4325380</vt:i4>
      </vt:variant>
      <vt:variant>
        <vt:i4>366</vt:i4>
      </vt:variant>
      <vt:variant>
        <vt:i4>0</vt:i4>
      </vt:variant>
      <vt:variant>
        <vt:i4>5</vt:i4>
      </vt:variant>
      <vt:variant>
        <vt:lpwstr>http://docs.cpuc.ca.gov/PublishedDocs/Published/G000/M264/K677/264677853.PDF</vt:lpwstr>
      </vt:variant>
      <vt:variant>
        <vt:lpwstr/>
      </vt:variant>
      <vt:variant>
        <vt:i4>4325380</vt:i4>
      </vt:variant>
      <vt:variant>
        <vt:i4>363</vt:i4>
      </vt:variant>
      <vt:variant>
        <vt:i4>0</vt:i4>
      </vt:variant>
      <vt:variant>
        <vt:i4>5</vt:i4>
      </vt:variant>
      <vt:variant>
        <vt:lpwstr>http://docs.cpuc.ca.gov/PublishedDocs/Published/G000/M264/K677/264677853.PDF</vt:lpwstr>
      </vt:variant>
      <vt:variant>
        <vt:lpwstr/>
      </vt:variant>
      <vt:variant>
        <vt:i4>1507407</vt:i4>
      </vt:variant>
      <vt:variant>
        <vt:i4>360</vt:i4>
      </vt:variant>
      <vt:variant>
        <vt:i4>0</vt:i4>
      </vt:variant>
      <vt:variant>
        <vt:i4>5</vt:i4>
      </vt:variant>
      <vt:variant>
        <vt:lpwstr>https://docs.cpuc.ca.gov/PublishedDocs/Published/G000/M503/K914/503914324.PDF</vt:lpwstr>
      </vt:variant>
      <vt:variant>
        <vt:lpwstr/>
      </vt:variant>
      <vt:variant>
        <vt:i4>1048649</vt:i4>
      </vt:variant>
      <vt:variant>
        <vt:i4>357</vt:i4>
      </vt:variant>
      <vt:variant>
        <vt:i4>0</vt:i4>
      </vt:variant>
      <vt:variant>
        <vt:i4>5</vt:i4>
      </vt:variant>
      <vt:variant>
        <vt:lpwstr>https://docs.cpuc.ca.gov/PublishedDocs/Published/G000/M410/K138/410138703.PDF</vt:lpwstr>
      </vt:variant>
      <vt:variant>
        <vt:lpwstr/>
      </vt:variant>
      <vt:variant>
        <vt:i4>1179714</vt:i4>
      </vt:variant>
      <vt:variant>
        <vt:i4>354</vt:i4>
      </vt:variant>
      <vt:variant>
        <vt:i4>0</vt:i4>
      </vt:variant>
      <vt:variant>
        <vt:i4>5</vt:i4>
      </vt:variant>
      <vt:variant>
        <vt:lpwstr>https://docs.cpuc.ca.gov/PublishedDocs/Published/G000/M531/K559/531559739.PDF</vt:lpwstr>
      </vt:variant>
      <vt:variant>
        <vt:lpwstr/>
      </vt:variant>
      <vt:variant>
        <vt:i4>2818110</vt:i4>
      </vt:variant>
      <vt:variant>
        <vt:i4>351</vt:i4>
      </vt:variant>
      <vt:variant>
        <vt:i4>0</vt:i4>
      </vt:variant>
      <vt:variant>
        <vt:i4>5</vt:i4>
      </vt:variant>
      <vt:variant>
        <vt:lpwstr>http://docs.cpuc.ca.gov/PublishedDocs/Published/G000/M097/K121/97121784.PDF</vt:lpwstr>
      </vt:variant>
      <vt:variant>
        <vt:lpwstr/>
      </vt:variant>
      <vt:variant>
        <vt:i4>4325380</vt:i4>
      </vt:variant>
      <vt:variant>
        <vt:i4>348</vt:i4>
      </vt:variant>
      <vt:variant>
        <vt:i4>0</vt:i4>
      </vt:variant>
      <vt:variant>
        <vt:i4>5</vt:i4>
      </vt:variant>
      <vt:variant>
        <vt:lpwstr>http://docs.cpuc.ca.gov/PublishedDocs/Published/G000/M264/K677/264677853.PDF</vt:lpwstr>
      </vt:variant>
      <vt:variant>
        <vt:lpwstr/>
      </vt:variant>
      <vt:variant>
        <vt:i4>1507407</vt:i4>
      </vt:variant>
      <vt:variant>
        <vt:i4>345</vt:i4>
      </vt:variant>
      <vt:variant>
        <vt:i4>0</vt:i4>
      </vt:variant>
      <vt:variant>
        <vt:i4>5</vt:i4>
      </vt:variant>
      <vt:variant>
        <vt:lpwstr>https://docs.cpuc.ca.gov/PublishedDocs/Published/G000/M503/K914/503914324.PDF</vt:lpwstr>
      </vt:variant>
      <vt:variant>
        <vt:lpwstr/>
      </vt:variant>
      <vt:variant>
        <vt:i4>1048649</vt:i4>
      </vt:variant>
      <vt:variant>
        <vt:i4>342</vt:i4>
      </vt:variant>
      <vt:variant>
        <vt:i4>0</vt:i4>
      </vt:variant>
      <vt:variant>
        <vt:i4>5</vt:i4>
      </vt:variant>
      <vt:variant>
        <vt:lpwstr>https://docs.cpuc.ca.gov/PublishedDocs/Published/G000/M410/K138/410138703.PDF</vt:lpwstr>
      </vt:variant>
      <vt:variant>
        <vt:lpwstr/>
      </vt:variant>
      <vt:variant>
        <vt:i4>1900608</vt:i4>
      </vt:variant>
      <vt:variant>
        <vt:i4>339</vt:i4>
      </vt:variant>
      <vt:variant>
        <vt:i4>0</vt:i4>
      </vt:variant>
      <vt:variant>
        <vt:i4>5</vt:i4>
      </vt:variant>
      <vt:variant>
        <vt:lpwstr>https://docs.cpuc.ca.gov/PublishedDocs/Published/G000/M310/K136/310136145.PDF</vt:lpwstr>
      </vt:variant>
      <vt:variant>
        <vt:lpwstr/>
      </vt:variant>
      <vt:variant>
        <vt:i4>4325380</vt:i4>
      </vt:variant>
      <vt:variant>
        <vt:i4>336</vt:i4>
      </vt:variant>
      <vt:variant>
        <vt:i4>0</vt:i4>
      </vt:variant>
      <vt:variant>
        <vt:i4>5</vt:i4>
      </vt:variant>
      <vt:variant>
        <vt:lpwstr>http://docs.cpuc.ca.gov/PublishedDocs/Published/G000/M264/K677/264677853.PDF</vt:lpwstr>
      </vt:variant>
      <vt:variant>
        <vt:lpwstr/>
      </vt:variant>
      <vt:variant>
        <vt:i4>5111818</vt:i4>
      </vt:variant>
      <vt:variant>
        <vt:i4>333</vt:i4>
      </vt:variant>
      <vt:variant>
        <vt:i4>0</vt:i4>
      </vt:variant>
      <vt:variant>
        <vt:i4>5</vt:i4>
      </vt:variant>
      <vt:variant>
        <vt:lpwstr>http://docs.cpuc.ca.gov/PublishedDocs/Published/G000/M196/K543/196543815.PDF</vt:lpwstr>
      </vt:variant>
      <vt:variant>
        <vt:lpwstr/>
      </vt:variant>
      <vt:variant>
        <vt:i4>5177345</vt:i4>
      </vt:variant>
      <vt:variant>
        <vt:i4>330</vt:i4>
      </vt:variant>
      <vt:variant>
        <vt:i4>0</vt:i4>
      </vt:variant>
      <vt:variant>
        <vt:i4>5</vt:i4>
      </vt:variant>
      <vt:variant>
        <vt:lpwstr>http://docs.cpuc.ca.gov/PublishedDocs/Published/G000/M167/K772/167772745.PDF</vt:lpwstr>
      </vt:variant>
      <vt:variant>
        <vt:lpwstr/>
      </vt:variant>
      <vt:variant>
        <vt:i4>4194317</vt:i4>
      </vt:variant>
      <vt:variant>
        <vt:i4>327</vt:i4>
      </vt:variant>
      <vt:variant>
        <vt:i4>0</vt:i4>
      </vt:variant>
      <vt:variant>
        <vt:i4>5</vt:i4>
      </vt:variant>
      <vt:variant>
        <vt:lpwstr>http://docs.cpuc.ca.gov/PublishedDocs/Published/G000/M152/K904/152904612.PDF</vt:lpwstr>
      </vt:variant>
      <vt:variant>
        <vt:lpwstr/>
      </vt:variant>
      <vt:variant>
        <vt:i4>2818110</vt:i4>
      </vt:variant>
      <vt:variant>
        <vt:i4>324</vt:i4>
      </vt:variant>
      <vt:variant>
        <vt:i4>0</vt:i4>
      </vt:variant>
      <vt:variant>
        <vt:i4>5</vt:i4>
      </vt:variant>
      <vt:variant>
        <vt:lpwstr>http://docs.cpuc.ca.gov/PublishedDocs/Published/G000/M097/K121/97121784.PDF</vt:lpwstr>
      </vt:variant>
      <vt:variant>
        <vt:lpwstr/>
      </vt:variant>
      <vt:variant>
        <vt:i4>4390990</vt:i4>
      </vt:variant>
      <vt:variant>
        <vt:i4>321</vt:i4>
      </vt:variant>
      <vt:variant>
        <vt:i4>0</vt:i4>
      </vt:variant>
      <vt:variant>
        <vt:i4>5</vt:i4>
      </vt:variant>
      <vt:variant>
        <vt:lpwstr>https://docs.cpuc.ca.gov/PublishedDocs/Published/G000/M070/K145/70145464.PDF</vt:lpwstr>
      </vt:variant>
      <vt:variant>
        <vt:lpwstr/>
      </vt:variant>
      <vt:variant>
        <vt:i4>5767217</vt:i4>
      </vt:variant>
      <vt:variant>
        <vt:i4>318</vt:i4>
      </vt:variant>
      <vt:variant>
        <vt:i4>0</vt:i4>
      </vt:variant>
      <vt:variant>
        <vt:i4>5</vt:i4>
      </vt:variant>
      <vt:variant>
        <vt:lpwstr>https://leginfo.legislature.ca.gov/faces/billTextClient.xhtml?bill_id=199920000AB1002</vt:lpwstr>
      </vt:variant>
      <vt:variant>
        <vt:lpwstr/>
      </vt:variant>
      <vt:variant>
        <vt:i4>1048649</vt:i4>
      </vt:variant>
      <vt:variant>
        <vt:i4>315</vt:i4>
      </vt:variant>
      <vt:variant>
        <vt:i4>0</vt:i4>
      </vt:variant>
      <vt:variant>
        <vt:i4>5</vt:i4>
      </vt:variant>
      <vt:variant>
        <vt:lpwstr>https://docs.cpuc.ca.gov/PublishedDocs/Published/G000/M410/K138/410138703.PDF</vt:lpwstr>
      </vt:variant>
      <vt:variant>
        <vt:lpwstr/>
      </vt:variant>
      <vt:variant>
        <vt:i4>1245259</vt:i4>
      </vt:variant>
      <vt:variant>
        <vt:i4>312</vt:i4>
      </vt:variant>
      <vt:variant>
        <vt:i4>0</vt:i4>
      </vt:variant>
      <vt:variant>
        <vt:i4>5</vt:i4>
      </vt:variant>
      <vt:variant>
        <vt:lpwstr>https://docs.cpuc.ca.gov/PublishedDocs/Published/G000/M527/K228/527228647.PDF</vt:lpwstr>
      </vt:variant>
      <vt:variant>
        <vt:lpwstr/>
      </vt:variant>
      <vt:variant>
        <vt:i4>1114178</vt:i4>
      </vt:variant>
      <vt:variant>
        <vt:i4>309</vt:i4>
      </vt:variant>
      <vt:variant>
        <vt:i4>0</vt:i4>
      </vt:variant>
      <vt:variant>
        <vt:i4>5</vt:i4>
      </vt:variant>
      <vt:variant>
        <vt:lpwstr>https://docs.cpuc.ca.gov/PublishedDocs/Published/G000/M507/K499/507499284.PDF</vt:lpwstr>
      </vt:variant>
      <vt:variant>
        <vt:lpwstr/>
      </vt:variant>
      <vt:variant>
        <vt:i4>1441857</vt:i4>
      </vt:variant>
      <vt:variant>
        <vt:i4>306</vt:i4>
      </vt:variant>
      <vt:variant>
        <vt:i4>0</vt:i4>
      </vt:variant>
      <vt:variant>
        <vt:i4>5</vt:i4>
      </vt:variant>
      <vt:variant>
        <vt:lpwstr>https://docs.cpuc.ca.gov/PublishedDocs/Published/G000/M596/K290/596290082.PDF</vt:lpwstr>
      </vt:variant>
      <vt:variant>
        <vt:lpwstr/>
      </vt:variant>
      <vt:variant>
        <vt:i4>1769540</vt:i4>
      </vt:variant>
      <vt:variant>
        <vt:i4>303</vt:i4>
      </vt:variant>
      <vt:variant>
        <vt:i4>0</vt:i4>
      </vt:variant>
      <vt:variant>
        <vt:i4>5</vt:i4>
      </vt:variant>
      <vt:variant>
        <vt:lpwstr>https://docs.cpuc.ca.gov/PublishedDocs/Published/G000/M520/K896/520896345.pdf</vt:lpwstr>
      </vt:variant>
      <vt:variant>
        <vt:lpwstr/>
      </vt:variant>
      <vt:variant>
        <vt:i4>1310786</vt:i4>
      </vt:variant>
      <vt:variant>
        <vt:i4>300</vt:i4>
      </vt:variant>
      <vt:variant>
        <vt:i4>0</vt:i4>
      </vt:variant>
      <vt:variant>
        <vt:i4>5</vt:i4>
      </vt:variant>
      <vt:variant>
        <vt:lpwstr>https://docs.cpuc.ca.gov/PublishedDocs/Published/G000/M521/K196/521196139.PDF</vt:lpwstr>
      </vt:variant>
      <vt:variant>
        <vt:lpwstr/>
      </vt:variant>
      <vt:variant>
        <vt:i4>1507407</vt:i4>
      </vt:variant>
      <vt:variant>
        <vt:i4>297</vt:i4>
      </vt:variant>
      <vt:variant>
        <vt:i4>0</vt:i4>
      </vt:variant>
      <vt:variant>
        <vt:i4>5</vt:i4>
      </vt:variant>
      <vt:variant>
        <vt:lpwstr>https://docs.cpuc.ca.gov/PublishedDocs/Published/G000/M503/K914/503914324.PDF</vt:lpwstr>
      </vt:variant>
      <vt:variant>
        <vt:lpwstr/>
      </vt:variant>
      <vt:variant>
        <vt:i4>2555953</vt:i4>
      </vt:variant>
      <vt:variant>
        <vt:i4>294</vt:i4>
      </vt:variant>
      <vt:variant>
        <vt:i4>0</vt:i4>
      </vt:variant>
      <vt:variant>
        <vt:i4>5</vt:i4>
      </vt:variant>
      <vt:variant>
        <vt:lpwstr>https://benefits.calhr.ca.gov/state-employees/work-resources/travel-reimbursements/</vt:lpwstr>
      </vt:variant>
      <vt:variant>
        <vt:lpwstr/>
      </vt:variant>
      <vt:variant>
        <vt:i4>65646</vt:i4>
      </vt:variant>
      <vt:variant>
        <vt:i4>291</vt:i4>
      </vt:variant>
      <vt:variant>
        <vt:i4>0</vt:i4>
      </vt:variant>
      <vt:variant>
        <vt:i4>5</vt:i4>
      </vt:variant>
      <vt:variant>
        <vt:lpwstr>https://www.cpuc.ca.gov/-/media/cpuc-website/divisions/utility-audits--risk--and-compliance-division/reports/energy/2025/energy_2025-08-28_cec_grdp.pdf</vt:lpwstr>
      </vt:variant>
      <vt:variant>
        <vt:lpwstr/>
      </vt:variant>
      <vt:variant>
        <vt:i4>1245269</vt:i4>
      </vt:variant>
      <vt:variant>
        <vt:i4>288</vt:i4>
      </vt:variant>
      <vt:variant>
        <vt:i4>0</vt:i4>
      </vt:variant>
      <vt:variant>
        <vt:i4>5</vt:i4>
      </vt:variant>
      <vt:variant>
        <vt:lpwstr>https://california.public.law/codes/public_utilities_code_section_384</vt:lpwstr>
      </vt:variant>
      <vt:variant>
        <vt:lpwstr/>
      </vt:variant>
      <vt:variant>
        <vt:i4>1507407</vt:i4>
      </vt:variant>
      <vt:variant>
        <vt:i4>285</vt:i4>
      </vt:variant>
      <vt:variant>
        <vt:i4>0</vt:i4>
      </vt:variant>
      <vt:variant>
        <vt:i4>5</vt:i4>
      </vt:variant>
      <vt:variant>
        <vt:lpwstr>https://docs.cpuc.ca.gov/PublishedDocs/Published/G000/M503/K914/503914324.PDF</vt:lpwstr>
      </vt:variant>
      <vt:variant>
        <vt:lpwstr/>
      </vt:variant>
      <vt:variant>
        <vt:i4>1048649</vt:i4>
      </vt:variant>
      <vt:variant>
        <vt:i4>282</vt:i4>
      </vt:variant>
      <vt:variant>
        <vt:i4>0</vt:i4>
      </vt:variant>
      <vt:variant>
        <vt:i4>5</vt:i4>
      </vt:variant>
      <vt:variant>
        <vt:lpwstr>https://docs.cpuc.ca.gov/PublishedDocs/Published/G000/M410/K138/410138703.PDF</vt:lpwstr>
      </vt:variant>
      <vt:variant>
        <vt:lpwstr/>
      </vt:variant>
      <vt:variant>
        <vt:i4>4194368</vt:i4>
      </vt:variant>
      <vt:variant>
        <vt:i4>279</vt:i4>
      </vt:variant>
      <vt:variant>
        <vt:i4>0</vt:i4>
      </vt:variant>
      <vt:variant>
        <vt:i4>5</vt:i4>
      </vt:variant>
      <vt:variant>
        <vt:lpwstr>https://docs.cpuc.ca.gov/PublishedDocs/Published/G000/M097/K121/97121784.PDF</vt:lpwstr>
      </vt:variant>
      <vt:variant>
        <vt:lpwstr/>
      </vt:variant>
      <vt:variant>
        <vt:i4>5898269</vt:i4>
      </vt:variant>
      <vt:variant>
        <vt:i4>276</vt:i4>
      </vt:variant>
      <vt:variant>
        <vt:i4>0</vt:i4>
      </vt:variant>
      <vt:variant>
        <vt:i4>5</vt:i4>
      </vt:variant>
      <vt:variant>
        <vt:lpwstr>https://docs.cpuc.ca.gov/word_pdf/FINAL_RESOLUTION/63130.pdf</vt:lpwstr>
      </vt:variant>
      <vt:variant>
        <vt:lpwstr/>
      </vt:variant>
      <vt:variant>
        <vt:i4>1507407</vt:i4>
      </vt:variant>
      <vt:variant>
        <vt:i4>273</vt:i4>
      </vt:variant>
      <vt:variant>
        <vt:i4>0</vt:i4>
      </vt:variant>
      <vt:variant>
        <vt:i4>5</vt:i4>
      </vt:variant>
      <vt:variant>
        <vt:lpwstr>https://docs.cpuc.ca.gov/PublishedDocs/Published/G000/M503/K914/503914324.PDF</vt:lpwstr>
      </vt:variant>
      <vt:variant>
        <vt:lpwstr/>
      </vt:variant>
      <vt:variant>
        <vt:i4>4259935</vt:i4>
      </vt:variant>
      <vt:variant>
        <vt:i4>270</vt:i4>
      </vt:variant>
      <vt:variant>
        <vt:i4>0</vt:i4>
      </vt:variant>
      <vt:variant>
        <vt:i4>5</vt:i4>
      </vt:variant>
      <vt:variant>
        <vt:lpwstr>https://docs.cpuc.ca.gov/PublishedDocs/WORD_PDF/FINAL_DECISION/39314.PDF</vt:lpwstr>
      </vt:variant>
      <vt:variant>
        <vt:lpwstr/>
      </vt:variant>
      <vt:variant>
        <vt:i4>1507407</vt:i4>
      </vt:variant>
      <vt:variant>
        <vt:i4>267</vt:i4>
      </vt:variant>
      <vt:variant>
        <vt:i4>0</vt:i4>
      </vt:variant>
      <vt:variant>
        <vt:i4>5</vt:i4>
      </vt:variant>
      <vt:variant>
        <vt:lpwstr>https://docs.cpuc.ca.gov/PublishedDocs/Published/G000/M503/K914/503914324.PDF</vt:lpwstr>
      </vt:variant>
      <vt:variant>
        <vt:lpwstr/>
      </vt:variant>
      <vt:variant>
        <vt:i4>1048649</vt:i4>
      </vt:variant>
      <vt:variant>
        <vt:i4>264</vt:i4>
      </vt:variant>
      <vt:variant>
        <vt:i4>0</vt:i4>
      </vt:variant>
      <vt:variant>
        <vt:i4>5</vt:i4>
      </vt:variant>
      <vt:variant>
        <vt:lpwstr>https://docs.cpuc.ca.gov/PublishedDocs/Published/G000/M410/K138/410138703.PDF</vt:lpwstr>
      </vt:variant>
      <vt:variant>
        <vt:lpwstr/>
      </vt:variant>
      <vt:variant>
        <vt:i4>1572941</vt:i4>
      </vt:variant>
      <vt:variant>
        <vt:i4>261</vt:i4>
      </vt:variant>
      <vt:variant>
        <vt:i4>0</vt:i4>
      </vt:variant>
      <vt:variant>
        <vt:i4>5</vt:i4>
      </vt:variant>
      <vt:variant>
        <vt:lpwstr>https://docs.cpuc.ca.gov/PublishedDocs/Published/G000/M350/K789/350789679.PDF</vt:lpwstr>
      </vt:variant>
      <vt:variant>
        <vt:lpwstr/>
      </vt:variant>
      <vt:variant>
        <vt:i4>1048649</vt:i4>
      </vt:variant>
      <vt:variant>
        <vt:i4>258</vt:i4>
      </vt:variant>
      <vt:variant>
        <vt:i4>0</vt:i4>
      </vt:variant>
      <vt:variant>
        <vt:i4>5</vt:i4>
      </vt:variant>
      <vt:variant>
        <vt:lpwstr>https://docs.cpuc.ca.gov/PublishedDocs/Published/G000/M410/K138/410138703.PDF</vt:lpwstr>
      </vt:variant>
      <vt:variant>
        <vt:lpwstr/>
      </vt:variant>
      <vt:variant>
        <vt:i4>1048649</vt:i4>
      </vt:variant>
      <vt:variant>
        <vt:i4>255</vt:i4>
      </vt:variant>
      <vt:variant>
        <vt:i4>0</vt:i4>
      </vt:variant>
      <vt:variant>
        <vt:i4>5</vt:i4>
      </vt:variant>
      <vt:variant>
        <vt:lpwstr>https://docs.cpuc.ca.gov/PublishedDocs/Published/G000/M410/K138/410138703.PDF</vt:lpwstr>
      </vt:variant>
      <vt:variant>
        <vt:lpwstr/>
      </vt:variant>
      <vt:variant>
        <vt:i4>1507407</vt:i4>
      </vt:variant>
      <vt:variant>
        <vt:i4>252</vt:i4>
      </vt:variant>
      <vt:variant>
        <vt:i4>0</vt:i4>
      </vt:variant>
      <vt:variant>
        <vt:i4>5</vt:i4>
      </vt:variant>
      <vt:variant>
        <vt:lpwstr>https://docs.cpuc.ca.gov/PublishedDocs/Published/G000/M503/K914/503914324.PDF</vt:lpwstr>
      </vt:variant>
      <vt:variant>
        <vt:lpwstr/>
      </vt:variant>
      <vt:variant>
        <vt:i4>1048649</vt:i4>
      </vt:variant>
      <vt:variant>
        <vt:i4>249</vt:i4>
      </vt:variant>
      <vt:variant>
        <vt:i4>0</vt:i4>
      </vt:variant>
      <vt:variant>
        <vt:i4>5</vt:i4>
      </vt:variant>
      <vt:variant>
        <vt:lpwstr>https://docs.cpuc.ca.gov/PublishedDocs/Published/G000/M410/K138/410138703.PDF</vt:lpwstr>
      </vt:variant>
      <vt:variant>
        <vt:lpwstr/>
      </vt:variant>
      <vt:variant>
        <vt:i4>1507407</vt:i4>
      </vt:variant>
      <vt:variant>
        <vt:i4>246</vt:i4>
      </vt:variant>
      <vt:variant>
        <vt:i4>0</vt:i4>
      </vt:variant>
      <vt:variant>
        <vt:i4>5</vt:i4>
      </vt:variant>
      <vt:variant>
        <vt:lpwstr>https://docs.cpuc.ca.gov/PublishedDocs/Published/G000/M503/K914/503914324.PDF</vt:lpwstr>
      </vt:variant>
      <vt:variant>
        <vt:lpwstr/>
      </vt:variant>
      <vt:variant>
        <vt:i4>4259935</vt:i4>
      </vt:variant>
      <vt:variant>
        <vt:i4>243</vt:i4>
      </vt:variant>
      <vt:variant>
        <vt:i4>0</vt:i4>
      </vt:variant>
      <vt:variant>
        <vt:i4>5</vt:i4>
      </vt:variant>
      <vt:variant>
        <vt:lpwstr>https://docs.cpuc.ca.gov/PublishedDocs/WORD_PDF/FINAL_DECISION/39314.PDF</vt:lpwstr>
      </vt:variant>
      <vt:variant>
        <vt:lpwstr/>
      </vt:variant>
      <vt:variant>
        <vt:i4>4259935</vt:i4>
      </vt:variant>
      <vt:variant>
        <vt:i4>240</vt:i4>
      </vt:variant>
      <vt:variant>
        <vt:i4>0</vt:i4>
      </vt:variant>
      <vt:variant>
        <vt:i4>5</vt:i4>
      </vt:variant>
      <vt:variant>
        <vt:lpwstr>https://docs.cpuc.ca.gov/PublishedDocs/WORD_PDF/FINAL_DECISION/39314.PDF</vt:lpwstr>
      </vt:variant>
      <vt:variant>
        <vt:lpwstr/>
      </vt:variant>
      <vt:variant>
        <vt:i4>1507407</vt:i4>
      </vt:variant>
      <vt:variant>
        <vt:i4>237</vt:i4>
      </vt:variant>
      <vt:variant>
        <vt:i4>0</vt:i4>
      </vt:variant>
      <vt:variant>
        <vt:i4>5</vt:i4>
      </vt:variant>
      <vt:variant>
        <vt:lpwstr>https://docs.cpuc.ca.gov/PublishedDocs/Published/G000/M503/K914/503914324.PDF</vt:lpwstr>
      </vt:variant>
      <vt:variant>
        <vt:lpwstr/>
      </vt:variant>
      <vt:variant>
        <vt:i4>1048649</vt:i4>
      </vt:variant>
      <vt:variant>
        <vt:i4>234</vt:i4>
      </vt:variant>
      <vt:variant>
        <vt:i4>0</vt:i4>
      </vt:variant>
      <vt:variant>
        <vt:i4>5</vt:i4>
      </vt:variant>
      <vt:variant>
        <vt:lpwstr>https://docs.cpuc.ca.gov/PublishedDocs/Published/G000/M410/K138/410138703.PDF</vt:lpwstr>
      </vt:variant>
      <vt:variant>
        <vt:lpwstr/>
      </vt:variant>
      <vt:variant>
        <vt:i4>4194368</vt:i4>
      </vt:variant>
      <vt:variant>
        <vt:i4>231</vt:i4>
      </vt:variant>
      <vt:variant>
        <vt:i4>0</vt:i4>
      </vt:variant>
      <vt:variant>
        <vt:i4>5</vt:i4>
      </vt:variant>
      <vt:variant>
        <vt:lpwstr>https://docs.cpuc.ca.gov/PublishedDocs/Published/G000/M097/K121/97121784.PDF</vt:lpwstr>
      </vt:variant>
      <vt:variant>
        <vt:lpwstr/>
      </vt:variant>
      <vt:variant>
        <vt:i4>4259935</vt:i4>
      </vt:variant>
      <vt:variant>
        <vt:i4>228</vt:i4>
      </vt:variant>
      <vt:variant>
        <vt:i4>0</vt:i4>
      </vt:variant>
      <vt:variant>
        <vt:i4>5</vt:i4>
      </vt:variant>
      <vt:variant>
        <vt:lpwstr>https://docs.cpuc.ca.gov/PublishedDocs/WORD_PDF/FINAL_DECISION/39314.PDF</vt:lpwstr>
      </vt:variant>
      <vt:variant>
        <vt:lpwstr/>
      </vt:variant>
      <vt:variant>
        <vt:i4>6619167</vt:i4>
      </vt:variant>
      <vt:variant>
        <vt:i4>225</vt:i4>
      </vt:variant>
      <vt:variant>
        <vt:i4>0</vt:i4>
      </vt:variant>
      <vt:variant>
        <vt:i4>5</vt:i4>
      </vt:variant>
      <vt:variant>
        <vt:lpwstr>mailto:EnergyDivisionCentralFiles@cpuc.ca.gov</vt:lpwstr>
      </vt:variant>
      <vt:variant>
        <vt:lpwstr/>
      </vt:variant>
      <vt:variant>
        <vt:i4>1507407</vt:i4>
      </vt:variant>
      <vt:variant>
        <vt:i4>222</vt:i4>
      </vt:variant>
      <vt:variant>
        <vt:i4>0</vt:i4>
      </vt:variant>
      <vt:variant>
        <vt:i4>5</vt:i4>
      </vt:variant>
      <vt:variant>
        <vt:lpwstr>https://docs.cpuc.ca.gov/PublishedDocs/Published/G000/M503/K914/503914324.PDF</vt:lpwstr>
      </vt:variant>
      <vt:variant>
        <vt:lpwstr/>
      </vt:variant>
      <vt:variant>
        <vt:i4>4325380</vt:i4>
      </vt:variant>
      <vt:variant>
        <vt:i4>219</vt:i4>
      </vt:variant>
      <vt:variant>
        <vt:i4>0</vt:i4>
      </vt:variant>
      <vt:variant>
        <vt:i4>5</vt:i4>
      </vt:variant>
      <vt:variant>
        <vt:lpwstr>http://docs.cpuc.ca.gov/PublishedDocs/Published/G000/M264/K677/264677853.PDF</vt:lpwstr>
      </vt:variant>
      <vt:variant>
        <vt:lpwstr/>
      </vt:variant>
      <vt:variant>
        <vt:i4>4259935</vt:i4>
      </vt:variant>
      <vt:variant>
        <vt:i4>216</vt:i4>
      </vt:variant>
      <vt:variant>
        <vt:i4>0</vt:i4>
      </vt:variant>
      <vt:variant>
        <vt:i4>5</vt:i4>
      </vt:variant>
      <vt:variant>
        <vt:lpwstr>https://docs.cpuc.ca.gov/PublishedDocs/WORD_PDF/FINAL_DECISION/39314.PDF</vt:lpwstr>
      </vt:variant>
      <vt:variant>
        <vt:lpwstr/>
      </vt:variant>
      <vt:variant>
        <vt:i4>4259935</vt:i4>
      </vt:variant>
      <vt:variant>
        <vt:i4>213</vt:i4>
      </vt:variant>
      <vt:variant>
        <vt:i4>0</vt:i4>
      </vt:variant>
      <vt:variant>
        <vt:i4>5</vt:i4>
      </vt:variant>
      <vt:variant>
        <vt:lpwstr>https://docs.cpuc.ca.gov/PublishedDocs/WORD_PDF/FINAL_DECISION/39314.PDF</vt:lpwstr>
      </vt:variant>
      <vt:variant>
        <vt:lpwstr/>
      </vt:variant>
      <vt:variant>
        <vt:i4>7798882</vt:i4>
      </vt:variant>
      <vt:variant>
        <vt:i4>210</vt:i4>
      </vt:variant>
      <vt:variant>
        <vt:i4>0</vt:i4>
      </vt:variant>
      <vt:variant>
        <vt:i4>5</vt:i4>
      </vt:variant>
      <vt:variant>
        <vt:lpwstr>https://docs.cpuc.ca.gov/PublishedDocs/Published/G000/M023/K381/23381302.PDF</vt:lpwstr>
      </vt:variant>
      <vt:variant>
        <vt:lpwstr>page=17</vt:lpwstr>
      </vt:variant>
      <vt:variant>
        <vt:i4>1572941</vt:i4>
      </vt:variant>
      <vt:variant>
        <vt:i4>207</vt:i4>
      </vt:variant>
      <vt:variant>
        <vt:i4>0</vt:i4>
      </vt:variant>
      <vt:variant>
        <vt:i4>5</vt:i4>
      </vt:variant>
      <vt:variant>
        <vt:lpwstr>https://docs.cpuc.ca.gov/PublishedDocs/Published/G000/M350/K789/350789679.PDF</vt:lpwstr>
      </vt:variant>
      <vt:variant>
        <vt:lpwstr/>
      </vt:variant>
      <vt:variant>
        <vt:i4>1572941</vt:i4>
      </vt:variant>
      <vt:variant>
        <vt:i4>204</vt:i4>
      </vt:variant>
      <vt:variant>
        <vt:i4>0</vt:i4>
      </vt:variant>
      <vt:variant>
        <vt:i4>5</vt:i4>
      </vt:variant>
      <vt:variant>
        <vt:lpwstr>https://docs.cpuc.ca.gov/PublishedDocs/Published/G000/M350/K789/350789679.PDF</vt:lpwstr>
      </vt:variant>
      <vt:variant>
        <vt:lpwstr/>
      </vt:variant>
      <vt:variant>
        <vt:i4>1507407</vt:i4>
      </vt:variant>
      <vt:variant>
        <vt:i4>201</vt:i4>
      </vt:variant>
      <vt:variant>
        <vt:i4>0</vt:i4>
      </vt:variant>
      <vt:variant>
        <vt:i4>5</vt:i4>
      </vt:variant>
      <vt:variant>
        <vt:lpwstr>https://docs.cpuc.ca.gov/PublishedDocs/Published/G000/M503/K914/503914324.PDF</vt:lpwstr>
      </vt:variant>
      <vt:variant>
        <vt:lpwstr/>
      </vt:variant>
      <vt:variant>
        <vt:i4>1572941</vt:i4>
      </vt:variant>
      <vt:variant>
        <vt:i4>198</vt:i4>
      </vt:variant>
      <vt:variant>
        <vt:i4>0</vt:i4>
      </vt:variant>
      <vt:variant>
        <vt:i4>5</vt:i4>
      </vt:variant>
      <vt:variant>
        <vt:lpwstr>https://docs.cpuc.ca.gov/PublishedDocs/Published/G000/M350/K789/350789679.PDF</vt:lpwstr>
      </vt:variant>
      <vt:variant>
        <vt:lpwstr/>
      </vt:variant>
      <vt:variant>
        <vt:i4>1507407</vt:i4>
      </vt:variant>
      <vt:variant>
        <vt:i4>195</vt:i4>
      </vt:variant>
      <vt:variant>
        <vt:i4>0</vt:i4>
      </vt:variant>
      <vt:variant>
        <vt:i4>5</vt:i4>
      </vt:variant>
      <vt:variant>
        <vt:lpwstr>https://docs.cpuc.ca.gov/PublishedDocs/Published/G000/M503/K914/503914324.PDF</vt:lpwstr>
      </vt:variant>
      <vt:variant>
        <vt:lpwstr/>
      </vt:variant>
      <vt:variant>
        <vt:i4>1310786</vt:i4>
      </vt:variant>
      <vt:variant>
        <vt:i4>192</vt:i4>
      </vt:variant>
      <vt:variant>
        <vt:i4>0</vt:i4>
      </vt:variant>
      <vt:variant>
        <vt:i4>5</vt:i4>
      </vt:variant>
      <vt:variant>
        <vt:lpwstr>https://docs.cpuc.ca.gov/PublishedDocs/Published/G000/M461/K921/461921821.PDF</vt:lpwstr>
      </vt:variant>
      <vt:variant>
        <vt:lpwstr/>
      </vt:variant>
      <vt:variant>
        <vt:i4>1114188</vt:i4>
      </vt:variant>
      <vt:variant>
        <vt:i4>189</vt:i4>
      </vt:variant>
      <vt:variant>
        <vt:i4>0</vt:i4>
      </vt:variant>
      <vt:variant>
        <vt:i4>5</vt:i4>
      </vt:variant>
      <vt:variant>
        <vt:lpwstr>https://docs.cpuc.ca.gov/PublishedDocs/Published/G000/M372/K329/372329202.PDF</vt:lpwstr>
      </vt:variant>
      <vt:variant>
        <vt:lpwstr/>
      </vt:variant>
      <vt:variant>
        <vt:i4>1572941</vt:i4>
      </vt:variant>
      <vt:variant>
        <vt:i4>186</vt:i4>
      </vt:variant>
      <vt:variant>
        <vt:i4>0</vt:i4>
      </vt:variant>
      <vt:variant>
        <vt:i4>5</vt:i4>
      </vt:variant>
      <vt:variant>
        <vt:lpwstr>https://docs.cpuc.ca.gov/PublishedDocs/Published/G000/M350/K789/350789679.PDF</vt:lpwstr>
      </vt:variant>
      <vt:variant>
        <vt:lpwstr/>
      </vt:variant>
      <vt:variant>
        <vt:i4>1900608</vt:i4>
      </vt:variant>
      <vt:variant>
        <vt:i4>183</vt:i4>
      </vt:variant>
      <vt:variant>
        <vt:i4>0</vt:i4>
      </vt:variant>
      <vt:variant>
        <vt:i4>5</vt:i4>
      </vt:variant>
      <vt:variant>
        <vt:lpwstr>https://docs.cpuc.ca.gov/PublishedDocs/Published/G000/M310/K136/310136145.PDF</vt:lpwstr>
      </vt:variant>
      <vt:variant>
        <vt:lpwstr/>
      </vt:variant>
      <vt:variant>
        <vt:i4>1376323</vt:i4>
      </vt:variant>
      <vt:variant>
        <vt:i4>180</vt:i4>
      </vt:variant>
      <vt:variant>
        <vt:i4>0</vt:i4>
      </vt:variant>
      <vt:variant>
        <vt:i4>5</vt:i4>
      </vt:variant>
      <vt:variant>
        <vt:lpwstr>https://docs.cpuc.ca.gov/PublishedDocs/Published/G000/M542/K029/542029029.PDF</vt:lpwstr>
      </vt:variant>
      <vt:variant>
        <vt:lpwstr/>
      </vt:variant>
      <vt:variant>
        <vt:i4>1245259</vt:i4>
      </vt:variant>
      <vt:variant>
        <vt:i4>177</vt:i4>
      </vt:variant>
      <vt:variant>
        <vt:i4>0</vt:i4>
      </vt:variant>
      <vt:variant>
        <vt:i4>5</vt:i4>
      </vt:variant>
      <vt:variant>
        <vt:lpwstr>https://docs.cpuc.ca.gov/PublishedDocs/Published/G000/M527/K228/527228647.PDF</vt:lpwstr>
      </vt:variant>
      <vt:variant>
        <vt:lpwstr/>
      </vt:variant>
      <vt:variant>
        <vt:i4>1179714</vt:i4>
      </vt:variant>
      <vt:variant>
        <vt:i4>174</vt:i4>
      </vt:variant>
      <vt:variant>
        <vt:i4>0</vt:i4>
      </vt:variant>
      <vt:variant>
        <vt:i4>5</vt:i4>
      </vt:variant>
      <vt:variant>
        <vt:lpwstr>https://docs.cpuc.ca.gov/PublishedDocs/Published/G000/M531/K559/531559739.PDF</vt:lpwstr>
      </vt:variant>
      <vt:variant>
        <vt:lpwstr/>
      </vt:variant>
      <vt:variant>
        <vt:i4>1572941</vt:i4>
      </vt:variant>
      <vt:variant>
        <vt:i4>171</vt:i4>
      </vt:variant>
      <vt:variant>
        <vt:i4>0</vt:i4>
      </vt:variant>
      <vt:variant>
        <vt:i4>5</vt:i4>
      </vt:variant>
      <vt:variant>
        <vt:lpwstr>https://docs.cpuc.ca.gov/PublishedDocs/Published/G000/M350/K789/350789679.PDF</vt:lpwstr>
      </vt:variant>
      <vt:variant>
        <vt:lpwstr/>
      </vt:variant>
      <vt:variant>
        <vt:i4>1179714</vt:i4>
      </vt:variant>
      <vt:variant>
        <vt:i4>168</vt:i4>
      </vt:variant>
      <vt:variant>
        <vt:i4>0</vt:i4>
      </vt:variant>
      <vt:variant>
        <vt:i4>5</vt:i4>
      </vt:variant>
      <vt:variant>
        <vt:lpwstr>https://docs.cpuc.ca.gov/PublishedDocs/Published/G000/M531/K559/531559739.PDF</vt:lpwstr>
      </vt:variant>
      <vt:variant>
        <vt:lpwstr/>
      </vt:variant>
      <vt:variant>
        <vt:i4>1507407</vt:i4>
      </vt:variant>
      <vt:variant>
        <vt:i4>165</vt:i4>
      </vt:variant>
      <vt:variant>
        <vt:i4>0</vt:i4>
      </vt:variant>
      <vt:variant>
        <vt:i4>5</vt:i4>
      </vt:variant>
      <vt:variant>
        <vt:lpwstr>https://docs.cpuc.ca.gov/PublishedDocs/Published/G000/M503/K914/503914324.PDF</vt:lpwstr>
      </vt:variant>
      <vt:variant>
        <vt:lpwstr/>
      </vt:variant>
      <vt:variant>
        <vt:i4>1572941</vt:i4>
      </vt:variant>
      <vt:variant>
        <vt:i4>162</vt:i4>
      </vt:variant>
      <vt:variant>
        <vt:i4>0</vt:i4>
      </vt:variant>
      <vt:variant>
        <vt:i4>5</vt:i4>
      </vt:variant>
      <vt:variant>
        <vt:lpwstr>https://docs.cpuc.ca.gov/PublishedDocs/Published/G000/M350/K789/350789679.PDF</vt:lpwstr>
      </vt:variant>
      <vt:variant>
        <vt:lpwstr/>
      </vt:variant>
      <vt:variant>
        <vt:i4>3539067</vt:i4>
      </vt:variant>
      <vt:variant>
        <vt:i4>159</vt:i4>
      </vt:variant>
      <vt:variant>
        <vt:i4>0</vt:i4>
      </vt:variant>
      <vt:variant>
        <vt:i4>5</vt:i4>
      </vt:variant>
      <vt:variant>
        <vt:lpwstr>https://www.cpuc.ca.gov/-/media/cpuc-website/divisions/news-and-outreach/documents/news-office/key-issues/esj/esj-action-plan-v2jw.pdf</vt:lpwstr>
      </vt:variant>
      <vt:variant>
        <vt:lpwstr/>
      </vt:variant>
      <vt:variant>
        <vt:i4>1114178</vt:i4>
      </vt:variant>
      <vt:variant>
        <vt:i4>156</vt:i4>
      </vt:variant>
      <vt:variant>
        <vt:i4>0</vt:i4>
      </vt:variant>
      <vt:variant>
        <vt:i4>5</vt:i4>
      </vt:variant>
      <vt:variant>
        <vt:lpwstr>https://docs.cpuc.ca.gov/PublishedDocs/Published/G000/M507/K499/507499284.PDF</vt:lpwstr>
      </vt:variant>
      <vt:variant>
        <vt:lpwstr/>
      </vt:variant>
      <vt:variant>
        <vt:i4>1310786</vt:i4>
      </vt:variant>
      <vt:variant>
        <vt:i4>153</vt:i4>
      </vt:variant>
      <vt:variant>
        <vt:i4>0</vt:i4>
      </vt:variant>
      <vt:variant>
        <vt:i4>5</vt:i4>
      </vt:variant>
      <vt:variant>
        <vt:lpwstr>https://docs.cpuc.ca.gov/PublishedDocs/Published/G000/M521/K196/521196139.PDF</vt:lpwstr>
      </vt:variant>
      <vt:variant>
        <vt:lpwstr/>
      </vt:variant>
      <vt:variant>
        <vt:i4>1507407</vt:i4>
      </vt:variant>
      <vt:variant>
        <vt:i4>150</vt:i4>
      </vt:variant>
      <vt:variant>
        <vt:i4>0</vt:i4>
      </vt:variant>
      <vt:variant>
        <vt:i4>5</vt:i4>
      </vt:variant>
      <vt:variant>
        <vt:lpwstr>https://docs.cpuc.ca.gov/PublishedDocs/Published/G000/M503/K914/503914324.PDF</vt:lpwstr>
      </vt:variant>
      <vt:variant>
        <vt:lpwstr/>
      </vt:variant>
      <vt:variant>
        <vt:i4>4325380</vt:i4>
      </vt:variant>
      <vt:variant>
        <vt:i4>147</vt:i4>
      </vt:variant>
      <vt:variant>
        <vt:i4>0</vt:i4>
      </vt:variant>
      <vt:variant>
        <vt:i4>5</vt:i4>
      </vt:variant>
      <vt:variant>
        <vt:lpwstr>http://docs.cpuc.ca.gov/PublishedDocs/Published/G000/M264/K677/264677853.PDF</vt:lpwstr>
      </vt:variant>
      <vt:variant>
        <vt:lpwstr/>
      </vt:variant>
      <vt:variant>
        <vt:i4>1507407</vt:i4>
      </vt:variant>
      <vt:variant>
        <vt:i4>144</vt:i4>
      </vt:variant>
      <vt:variant>
        <vt:i4>0</vt:i4>
      </vt:variant>
      <vt:variant>
        <vt:i4>5</vt:i4>
      </vt:variant>
      <vt:variant>
        <vt:lpwstr>https://docs.cpuc.ca.gov/PublishedDocs/Published/G000/M503/K914/503914324.PDF</vt:lpwstr>
      </vt:variant>
      <vt:variant>
        <vt:lpwstr/>
      </vt:variant>
      <vt:variant>
        <vt:i4>1048649</vt:i4>
      </vt:variant>
      <vt:variant>
        <vt:i4>141</vt:i4>
      </vt:variant>
      <vt:variant>
        <vt:i4>0</vt:i4>
      </vt:variant>
      <vt:variant>
        <vt:i4>5</vt:i4>
      </vt:variant>
      <vt:variant>
        <vt:lpwstr>https://docs.cpuc.ca.gov/PublishedDocs/Published/G000/M410/K138/410138703.PDF</vt:lpwstr>
      </vt:variant>
      <vt:variant>
        <vt:lpwstr/>
      </vt:variant>
      <vt:variant>
        <vt:i4>4194368</vt:i4>
      </vt:variant>
      <vt:variant>
        <vt:i4>138</vt:i4>
      </vt:variant>
      <vt:variant>
        <vt:i4>0</vt:i4>
      </vt:variant>
      <vt:variant>
        <vt:i4>5</vt:i4>
      </vt:variant>
      <vt:variant>
        <vt:lpwstr>https://docs.cpuc.ca.gov/PublishedDocs/Published/G000/M097/K121/97121784.PDF</vt:lpwstr>
      </vt:variant>
      <vt:variant>
        <vt:lpwstr/>
      </vt:variant>
      <vt:variant>
        <vt:i4>2818110</vt:i4>
      </vt:variant>
      <vt:variant>
        <vt:i4>135</vt:i4>
      </vt:variant>
      <vt:variant>
        <vt:i4>0</vt:i4>
      </vt:variant>
      <vt:variant>
        <vt:i4>5</vt:i4>
      </vt:variant>
      <vt:variant>
        <vt:lpwstr>http://docs.cpuc.ca.gov/PublishedDocs/Published/G000/M097/K121/97121784.PDF</vt:lpwstr>
      </vt:variant>
      <vt:variant>
        <vt:lpwstr/>
      </vt:variant>
      <vt:variant>
        <vt:i4>1507407</vt:i4>
      </vt:variant>
      <vt:variant>
        <vt:i4>132</vt:i4>
      </vt:variant>
      <vt:variant>
        <vt:i4>0</vt:i4>
      </vt:variant>
      <vt:variant>
        <vt:i4>5</vt:i4>
      </vt:variant>
      <vt:variant>
        <vt:lpwstr>https://docs.cpuc.ca.gov/PublishedDocs/Published/G000/M503/K914/503914324.PDF</vt:lpwstr>
      </vt:variant>
      <vt:variant>
        <vt:lpwstr/>
      </vt:variant>
      <vt:variant>
        <vt:i4>4259935</vt:i4>
      </vt:variant>
      <vt:variant>
        <vt:i4>129</vt:i4>
      </vt:variant>
      <vt:variant>
        <vt:i4>0</vt:i4>
      </vt:variant>
      <vt:variant>
        <vt:i4>5</vt:i4>
      </vt:variant>
      <vt:variant>
        <vt:lpwstr>https://docs.cpuc.ca.gov/PublishedDocs/WORD_PDF/FINAL_DECISION/39314.PDF</vt:lpwstr>
      </vt:variant>
      <vt:variant>
        <vt:lpwstr/>
      </vt:variant>
      <vt:variant>
        <vt:i4>1507407</vt:i4>
      </vt:variant>
      <vt:variant>
        <vt:i4>126</vt:i4>
      </vt:variant>
      <vt:variant>
        <vt:i4>0</vt:i4>
      </vt:variant>
      <vt:variant>
        <vt:i4>5</vt:i4>
      </vt:variant>
      <vt:variant>
        <vt:lpwstr>https://docs.cpuc.ca.gov/PublishedDocs/Published/G000/M503/K914/503914324.PDF</vt:lpwstr>
      </vt:variant>
      <vt:variant>
        <vt:lpwstr/>
      </vt:variant>
      <vt:variant>
        <vt:i4>1048649</vt:i4>
      </vt:variant>
      <vt:variant>
        <vt:i4>123</vt:i4>
      </vt:variant>
      <vt:variant>
        <vt:i4>0</vt:i4>
      </vt:variant>
      <vt:variant>
        <vt:i4>5</vt:i4>
      </vt:variant>
      <vt:variant>
        <vt:lpwstr>https://docs.cpuc.ca.gov/PublishedDocs/Published/G000/M410/K138/410138703.PDF</vt:lpwstr>
      </vt:variant>
      <vt:variant>
        <vt:lpwstr/>
      </vt:variant>
      <vt:variant>
        <vt:i4>1507407</vt:i4>
      </vt:variant>
      <vt:variant>
        <vt:i4>120</vt:i4>
      </vt:variant>
      <vt:variant>
        <vt:i4>0</vt:i4>
      </vt:variant>
      <vt:variant>
        <vt:i4>5</vt:i4>
      </vt:variant>
      <vt:variant>
        <vt:lpwstr>https://docs.cpuc.ca.gov/PublishedDocs/Published/G000/M503/K914/503914324.PDF</vt:lpwstr>
      </vt:variant>
      <vt:variant>
        <vt:lpwstr/>
      </vt:variant>
      <vt:variant>
        <vt:i4>4325380</vt:i4>
      </vt:variant>
      <vt:variant>
        <vt:i4>117</vt:i4>
      </vt:variant>
      <vt:variant>
        <vt:i4>0</vt:i4>
      </vt:variant>
      <vt:variant>
        <vt:i4>5</vt:i4>
      </vt:variant>
      <vt:variant>
        <vt:lpwstr>http://docs.cpuc.ca.gov/PublishedDocs/Published/G000/M264/K677/264677853.PDF</vt:lpwstr>
      </vt:variant>
      <vt:variant>
        <vt:lpwstr/>
      </vt:variant>
      <vt:variant>
        <vt:i4>1179714</vt:i4>
      </vt:variant>
      <vt:variant>
        <vt:i4>114</vt:i4>
      </vt:variant>
      <vt:variant>
        <vt:i4>0</vt:i4>
      </vt:variant>
      <vt:variant>
        <vt:i4>5</vt:i4>
      </vt:variant>
      <vt:variant>
        <vt:lpwstr>https://docs.cpuc.ca.gov/PublishedDocs/Published/G000/M531/K559/531559739.PDF</vt:lpwstr>
      </vt:variant>
      <vt:variant>
        <vt:lpwstr/>
      </vt:variant>
      <vt:variant>
        <vt:i4>1179714</vt:i4>
      </vt:variant>
      <vt:variant>
        <vt:i4>111</vt:i4>
      </vt:variant>
      <vt:variant>
        <vt:i4>0</vt:i4>
      </vt:variant>
      <vt:variant>
        <vt:i4>5</vt:i4>
      </vt:variant>
      <vt:variant>
        <vt:lpwstr>https://docs.cpuc.ca.gov/PublishedDocs/Published/G000/M531/K559/531559739.PDF</vt:lpwstr>
      </vt:variant>
      <vt:variant>
        <vt:lpwstr/>
      </vt:variant>
      <vt:variant>
        <vt:i4>1179714</vt:i4>
      </vt:variant>
      <vt:variant>
        <vt:i4>108</vt:i4>
      </vt:variant>
      <vt:variant>
        <vt:i4>0</vt:i4>
      </vt:variant>
      <vt:variant>
        <vt:i4>5</vt:i4>
      </vt:variant>
      <vt:variant>
        <vt:lpwstr>https://docs.cpuc.ca.gov/PublishedDocs/Published/G000/M531/K559/531559739.PDF</vt:lpwstr>
      </vt:variant>
      <vt:variant>
        <vt:lpwstr/>
      </vt:variant>
      <vt:variant>
        <vt:i4>4259935</vt:i4>
      </vt:variant>
      <vt:variant>
        <vt:i4>105</vt:i4>
      </vt:variant>
      <vt:variant>
        <vt:i4>0</vt:i4>
      </vt:variant>
      <vt:variant>
        <vt:i4>5</vt:i4>
      </vt:variant>
      <vt:variant>
        <vt:lpwstr>https://docs.cpuc.ca.gov/PublishedDocs/WORD_PDF/FINAL_DECISION/39314.PDF</vt:lpwstr>
      </vt:variant>
      <vt:variant>
        <vt:lpwstr/>
      </vt:variant>
      <vt:variant>
        <vt:i4>1507407</vt:i4>
      </vt:variant>
      <vt:variant>
        <vt:i4>102</vt:i4>
      </vt:variant>
      <vt:variant>
        <vt:i4>0</vt:i4>
      </vt:variant>
      <vt:variant>
        <vt:i4>5</vt:i4>
      </vt:variant>
      <vt:variant>
        <vt:lpwstr>https://docs.cpuc.ca.gov/PublishedDocs/Published/G000/M503/K914/503914324.PDF</vt:lpwstr>
      </vt:variant>
      <vt:variant>
        <vt:lpwstr/>
      </vt:variant>
      <vt:variant>
        <vt:i4>1048649</vt:i4>
      </vt:variant>
      <vt:variant>
        <vt:i4>99</vt:i4>
      </vt:variant>
      <vt:variant>
        <vt:i4>0</vt:i4>
      </vt:variant>
      <vt:variant>
        <vt:i4>5</vt:i4>
      </vt:variant>
      <vt:variant>
        <vt:lpwstr>https://docs.cpuc.ca.gov/PublishedDocs/Published/G000/M410/K138/410138703.PDF</vt:lpwstr>
      </vt:variant>
      <vt:variant>
        <vt:lpwstr/>
      </vt:variant>
      <vt:variant>
        <vt:i4>1310786</vt:i4>
      </vt:variant>
      <vt:variant>
        <vt:i4>96</vt:i4>
      </vt:variant>
      <vt:variant>
        <vt:i4>0</vt:i4>
      </vt:variant>
      <vt:variant>
        <vt:i4>5</vt:i4>
      </vt:variant>
      <vt:variant>
        <vt:lpwstr>https://docs.cpuc.ca.gov/PublishedDocs/Published/G000/M521/K196/521196139.PDF</vt:lpwstr>
      </vt:variant>
      <vt:variant>
        <vt:lpwstr/>
      </vt:variant>
      <vt:variant>
        <vt:i4>1310795</vt:i4>
      </vt:variant>
      <vt:variant>
        <vt:i4>93</vt:i4>
      </vt:variant>
      <vt:variant>
        <vt:i4>0</vt:i4>
      </vt:variant>
      <vt:variant>
        <vt:i4>5</vt:i4>
      </vt:variant>
      <vt:variant>
        <vt:lpwstr>https://mindfuldecommissioning.dnv.com/index.html</vt:lpwstr>
      </vt:variant>
      <vt:variant>
        <vt:lpwstr/>
      </vt:variant>
      <vt:variant>
        <vt:i4>5570567</vt:i4>
      </vt:variant>
      <vt:variant>
        <vt:i4>90</vt:i4>
      </vt:variant>
      <vt:variant>
        <vt:i4>0</vt:i4>
      </vt:variant>
      <vt:variant>
        <vt:i4>5</vt:i4>
      </vt:variant>
      <vt:variant>
        <vt:lpwstr>https://apps.cpuc.ca.gov/apex/f?p=401:56::::RP,57,RIR:P5_PROCEEDING_SELECT:R2409012</vt:lpwstr>
      </vt:variant>
      <vt:variant>
        <vt:lpwstr/>
      </vt:variant>
      <vt:variant>
        <vt:i4>7602263</vt:i4>
      </vt:variant>
      <vt:variant>
        <vt:i4>87</vt:i4>
      </vt:variant>
      <vt:variant>
        <vt:i4>0</vt:i4>
      </vt:variant>
      <vt:variant>
        <vt:i4>5</vt:i4>
      </vt:variant>
      <vt:variant>
        <vt:lpwstr>https://leginfo.legislature.ca.gov/faces/billNavClient.xhtml?bill_id=202320240SB1221</vt:lpwstr>
      </vt:variant>
      <vt:variant>
        <vt:lpwstr/>
      </vt:variant>
      <vt:variant>
        <vt:i4>1179714</vt:i4>
      </vt:variant>
      <vt:variant>
        <vt:i4>84</vt:i4>
      </vt:variant>
      <vt:variant>
        <vt:i4>0</vt:i4>
      </vt:variant>
      <vt:variant>
        <vt:i4>5</vt:i4>
      </vt:variant>
      <vt:variant>
        <vt:lpwstr>https://docs.cpuc.ca.gov/PublishedDocs/Published/G000/M531/K559/531559739.PDF</vt:lpwstr>
      </vt:variant>
      <vt:variant>
        <vt:lpwstr/>
      </vt:variant>
      <vt:variant>
        <vt:i4>4259935</vt:i4>
      </vt:variant>
      <vt:variant>
        <vt:i4>81</vt:i4>
      </vt:variant>
      <vt:variant>
        <vt:i4>0</vt:i4>
      </vt:variant>
      <vt:variant>
        <vt:i4>5</vt:i4>
      </vt:variant>
      <vt:variant>
        <vt:lpwstr>https://docs.cpuc.ca.gov/PublishedDocs/WORD_PDF/FINAL_DECISION/39314.PDF</vt:lpwstr>
      </vt:variant>
      <vt:variant>
        <vt:lpwstr/>
      </vt:variant>
      <vt:variant>
        <vt:i4>3407931</vt:i4>
      </vt:variant>
      <vt:variant>
        <vt:i4>78</vt:i4>
      </vt:variant>
      <vt:variant>
        <vt:i4>0</vt:i4>
      </vt:variant>
      <vt:variant>
        <vt:i4>5</vt:i4>
      </vt:variant>
      <vt:variant>
        <vt:lpwstr>https://docs.cpuc.ca.gov/PublishedDocs/WORD_PDF/FINAL_RESOLUTION/42432.PDF</vt:lpwstr>
      </vt:variant>
      <vt:variant>
        <vt:lpwstr/>
      </vt:variant>
      <vt:variant>
        <vt:i4>4259935</vt:i4>
      </vt:variant>
      <vt:variant>
        <vt:i4>75</vt:i4>
      </vt:variant>
      <vt:variant>
        <vt:i4>0</vt:i4>
      </vt:variant>
      <vt:variant>
        <vt:i4>5</vt:i4>
      </vt:variant>
      <vt:variant>
        <vt:lpwstr>https://docs.cpuc.ca.gov/PublishedDocs/WORD_PDF/FINAL_DECISION/39314.PDF</vt:lpwstr>
      </vt:variant>
      <vt:variant>
        <vt:lpwstr/>
      </vt:variant>
      <vt:variant>
        <vt:i4>4259935</vt:i4>
      </vt:variant>
      <vt:variant>
        <vt:i4>72</vt:i4>
      </vt:variant>
      <vt:variant>
        <vt:i4>0</vt:i4>
      </vt:variant>
      <vt:variant>
        <vt:i4>5</vt:i4>
      </vt:variant>
      <vt:variant>
        <vt:lpwstr>https://docs.cpuc.ca.gov/PublishedDocs/WORD_PDF/FINAL_DECISION/39314.PDF</vt:lpwstr>
      </vt:variant>
      <vt:variant>
        <vt:lpwstr/>
      </vt:variant>
      <vt:variant>
        <vt:i4>4259935</vt:i4>
      </vt:variant>
      <vt:variant>
        <vt:i4>69</vt:i4>
      </vt:variant>
      <vt:variant>
        <vt:i4>0</vt:i4>
      </vt:variant>
      <vt:variant>
        <vt:i4>5</vt:i4>
      </vt:variant>
      <vt:variant>
        <vt:lpwstr>https://docs.cpuc.ca.gov/PublishedDocs/WORD_PDF/FINAL_DECISION/39314.PDF</vt:lpwstr>
      </vt:variant>
      <vt:variant>
        <vt:lpwstr/>
      </vt:variant>
      <vt:variant>
        <vt:i4>4259935</vt:i4>
      </vt:variant>
      <vt:variant>
        <vt:i4>66</vt:i4>
      </vt:variant>
      <vt:variant>
        <vt:i4>0</vt:i4>
      </vt:variant>
      <vt:variant>
        <vt:i4>5</vt:i4>
      </vt:variant>
      <vt:variant>
        <vt:lpwstr>https://docs.cpuc.ca.gov/PublishedDocs/WORD_PDF/FINAL_DECISION/39314.PDF</vt:lpwstr>
      </vt:variant>
      <vt:variant>
        <vt:lpwstr/>
      </vt:variant>
      <vt:variant>
        <vt:i4>4259935</vt:i4>
      </vt:variant>
      <vt:variant>
        <vt:i4>63</vt:i4>
      </vt:variant>
      <vt:variant>
        <vt:i4>0</vt:i4>
      </vt:variant>
      <vt:variant>
        <vt:i4>5</vt:i4>
      </vt:variant>
      <vt:variant>
        <vt:lpwstr>https://docs.cpuc.ca.gov/PublishedDocs/WORD_PDF/FINAL_DECISION/39314.PDF</vt:lpwstr>
      </vt:variant>
      <vt:variant>
        <vt:lpwstr/>
      </vt:variant>
      <vt:variant>
        <vt:i4>4259935</vt:i4>
      </vt:variant>
      <vt:variant>
        <vt:i4>60</vt:i4>
      </vt:variant>
      <vt:variant>
        <vt:i4>0</vt:i4>
      </vt:variant>
      <vt:variant>
        <vt:i4>5</vt:i4>
      </vt:variant>
      <vt:variant>
        <vt:lpwstr>https://docs.cpuc.ca.gov/PublishedDocs/WORD_PDF/FINAL_DECISION/39314.PDF</vt:lpwstr>
      </vt:variant>
      <vt:variant>
        <vt:lpwstr/>
      </vt:variant>
      <vt:variant>
        <vt:i4>1507407</vt:i4>
      </vt:variant>
      <vt:variant>
        <vt:i4>57</vt:i4>
      </vt:variant>
      <vt:variant>
        <vt:i4>0</vt:i4>
      </vt:variant>
      <vt:variant>
        <vt:i4>5</vt:i4>
      </vt:variant>
      <vt:variant>
        <vt:lpwstr>https://docs.cpuc.ca.gov/PublishedDocs/Published/G000/M503/K914/503914324.PDF</vt:lpwstr>
      </vt:variant>
      <vt:variant>
        <vt:lpwstr/>
      </vt:variant>
      <vt:variant>
        <vt:i4>4259935</vt:i4>
      </vt:variant>
      <vt:variant>
        <vt:i4>54</vt:i4>
      </vt:variant>
      <vt:variant>
        <vt:i4>0</vt:i4>
      </vt:variant>
      <vt:variant>
        <vt:i4>5</vt:i4>
      </vt:variant>
      <vt:variant>
        <vt:lpwstr>https://docs.cpuc.ca.gov/PublishedDocs/WORD_PDF/FINAL_DECISION/39314.PDF</vt:lpwstr>
      </vt:variant>
      <vt:variant>
        <vt:lpwstr/>
      </vt:variant>
      <vt:variant>
        <vt:i4>1179714</vt:i4>
      </vt:variant>
      <vt:variant>
        <vt:i4>51</vt:i4>
      </vt:variant>
      <vt:variant>
        <vt:i4>0</vt:i4>
      </vt:variant>
      <vt:variant>
        <vt:i4>5</vt:i4>
      </vt:variant>
      <vt:variant>
        <vt:lpwstr>https://docs.cpuc.ca.gov/PublishedDocs/Published/G000/M531/K559/531559739.PDF</vt:lpwstr>
      </vt:variant>
      <vt:variant>
        <vt:lpwstr/>
      </vt:variant>
      <vt:variant>
        <vt:i4>4259935</vt:i4>
      </vt:variant>
      <vt:variant>
        <vt:i4>48</vt:i4>
      </vt:variant>
      <vt:variant>
        <vt:i4>0</vt:i4>
      </vt:variant>
      <vt:variant>
        <vt:i4>5</vt:i4>
      </vt:variant>
      <vt:variant>
        <vt:lpwstr>https://docs.cpuc.ca.gov/PublishedDocs/WORD_PDF/FINAL_DECISION/39314.PDF</vt:lpwstr>
      </vt:variant>
      <vt:variant>
        <vt:lpwstr/>
      </vt:variant>
      <vt:variant>
        <vt:i4>4259935</vt:i4>
      </vt:variant>
      <vt:variant>
        <vt:i4>45</vt:i4>
      </vt:variant>
      <vt:variant>
        <vt:i4>0</vt:i4>
      </vt:variant>
      <vt:variant>
        <vt:i4>5</vt:i4>
      </vt:variant>
      <vt:variant>
        <vt:lpwstr>https://docs.cpuc.ca.gov/PublishedDocs/WORD_PDF/FINAL_DECISION/39314.PDF</vt:lpwstr>
      </vt:variant>
      <vt:variant>
        <vt:lpwstr/>
      </vt:variant>
      <vt:variant>
        <vt:i4>1441877</vt:i4>
      </vt:variant>
      <vt:variant>
        <vt:i4>42</vt:i4>
      </vt:variant>
      <vt:variant>
        <vt:i4>0</vt:i4>
      </vt:variant>
      <vt:variant>
        <vt:i4>5</vt:i4>
      </vt:variant>
      <vt:variant>
        <vt:lpwstr>https://www.gov.ca.gov/wp-content/uploads/2024/10/energy-EO-10-30-24.pdf</vt:lpwstr>
      </vt:variant>
      <vt:variant>
        <vt:lpwstr/>
      </vt:variant>
      <vt:variant>
        <vt:i4>1507407</vt:i4>
      </vt:variant>
      <vt:variant>
        <vt:i4>39</vt:i4>
      </vt:variant>
      <vt:variant>
        <vt:i4>0</vt:i4>
      </vt:variant>
      <vt:variant>
        <vt:i4>5</vt:i4>
      </vt:variant>
      <vt:variant>
        <vt:lpwstr>https://docs.cpuc.ca.gov/PublishedDocs/Published/G000/M503/K914/503914324.PDF</vt:lpwstr>
      </vt:variant>
      <vt:variant>
        <vt:lpwstr/>
      </vt:variant>
      <vt:variant>
        <vt:i4>1179714</vt:i4>
      </vt:variant>
      <vt:variant>
        <vt:i4>36</vt:i4>
      </vt:variant>
      <vt:variant>
        <vt:i4>0</vt:i4>
      </vt:variant>
      <vt:variant>
        <vt:i4>5</vt:i4>
      </vt:variant>
      <vt:variant>
        <vt:lpwstr>https://docs.cpuc.ca.gov/PublishedDocs/Published/G000/M531/K559/531559739.PDF</vt:lpwstr>
      </vt:variant>
      <vt:variant>
        <vt:lpwstr/>
      </vt:variant>
      <vt:variant>
        <vt:i4>4259935</vt:i4>
      </vt:variant>
      <vt:variant>
        <vt:i4>33</vt:i4>
      </vt:variant>
      <vt:variant>
        <vt:i4>0</vt:i4>
      </vt:variant>
      <vt:variant>
        <vt:i4>5</vt:i4>
      </vt:variant>
      <vt:variant>
        <vt:lpwstr>https://docs.cpuc.ca.gov/PublishedDocs/WORD_PDF/FINAL_DECISION/39314.PDF</vt:lpwstr>
      </vt:variant>
      <vt:variant>
        <vt:lpwstr/>
      </vt:variant>
      <vt:variant>
        <vt:i4>4259935</vt:i4>
      </vt:variant>
      <vt:variant>
        <vt:i4>30</vt:i4>
      </vt:variant>
      <vt:variant>
        <vt:i4>0</vt:i4>
      </vt:variant>
      <vt:variant>
        <vt:i4>5</vt:i4>
      </vt:variant>
      <vt:variant>
        <vt:lpwstr>https://docs.cpuc.ca.gov/PublishedDocs/WORD_PDF/FINAL_DECISION/39314.PDF</vt:lpwstr>
      </vt:variant>
      <vt:variant>
        <vt:lpwstr/>
      </vt:variant>
      <vt:variant>
        <vt:i4>4259935</vt:i4>
      </vt:variant>
      <vt:variant>
        <vt:i4>27</vt:i4>
      </vt:variant>
      <vt:variant>
        <vt:i4>0</vt:i4>
      </vt:variant>
      <vt:variant>
        <vt:i4>5</vt:i4>
      </vt:variant>
      <vt:variant>
        <vt:lpwstr>https://docs.cpuc.ca.gov/PublishedDocs/WORD_PDF/FINAL_DECISION/39314.PDF</vt:lpwstr>
      </vt:variant>
      <vt:variant>
        <vt:lpwstr/>
      </vt:variant>
      <vt:variant>
        <vt:i4>4259935</vt:i4>
      </vt:variant>
      <vt:variant>
        <vt:i4>24</vt:i4>
      </vt:variant>
      <vt:variant>
        <vt:i4>0</vt:i4>
      </vt:variant>
      <vt:variant>
        <vt:i4>5</vt:i4>
      </vt:variant>
      <vt:variant>
        <vt:lpwstr>https://docs.cpuc.ca.gov/PublishedDocs/WORD_PDF/FINAL_DECISION/39314.PDF</vt:lpwstr>
      </vt:variant>
      <vt:variant>
        <vt:lpwstr/>
      </vt:variant>
      <vt:variant>
        <vt:i4>4259935</vt:i4>
      </vt:variant>
      <vt:variant>
        <vt:i4>21</vt:i4>
      </vt:variant>
      <vt:variant>
        <vt:i4>0</vt:i4>
      </vt:variant>
      <vt:variant>
        <vt:i4>5</vt:i4>
      </vt:variant>
      <vt:variant>
        <vt:lpwstr>https://docs.cpuc.ca.gov/PublishedDocs/WORD_PDF/FINAL_DECISION/39314.PDF</vt:lpwstr>
      </vt:variant>
      <vt:variant>
        <vt:lpwstr/>
      </vt:variant>
      <vt:variant>
        <vt:i4>5767217</vt:i4>
      </vt:variant>
      <vt:variant>
        <vt:i4>18</vt:i4>
      </vt:variant>
      <vt:variant>
        <vt:i4>0</vt:i4>
      </vt:variant>
      <vt:variant>
        <vt:i4>5</vt:i4>
      </vt:variant>
      <vt:variant>
        <vt:lpwstr>https://leginfo.legislature.ca.gov/faces/billTextClient.xhtml?bill_id=199920000AB1002</vt:lpwstr>
      </vt:variant>
      <vt:variant>
        <vt:lpwstr/>
      </vt:variant>
      <vt:variant>
        <vt:i4>1572941</vt:i4>
      </vt:variant>
      <vt:variant>
        <vt:i4>15</vt:i4>
      </vt:variant>
      <vt:variant>
        <vt:i4>0</vt:i4>
      </vt:variant>
      <vt:variant>
        <vt:i4>5</vt:i4>
      </vt:variant>
      <vt:variant>
        <vt:lpwstr>https://docs.cpuc.ca.gov/PublishedDocs/Published/G000/M350/K789/350789679.PDF</vt:lpwstr>
      </vt:variant>
      <vt:variant>
        <vt:lpwstr/>
      </vt:variant>
      <vt:variant>
        <vt:i4>4259935</vt:i4>
      </vt:variant>
      <vt:variant>
        <vt:i4>12</vt:i4>
      </vt:variant>
      <vt:variant>
        <vt:i4>0</vt:i4>
      </vt:variant>
      <vt:variant>
        <vt:i4>5</vt:i4>
      </vt:variant>
      <vt:variant>
        <vt:lpwstr>https://docs.cpuc.ca.gov/PublishedDocs/WORD_PDF/FINAL_DECISION/39314.PDF</vt:lpwstr>
      </vt:variant>
      <vt:variant>
        <vt:lpwstr/>
      </vt:variant>
      <vt:variant>
        <vt:i4>4259935</vt:i4>
      </vt:variant>
      <vt:variant>
        <vt:i4>9</vt:i4>
      </vt:variant>
      <vt:variant>
        <vt:i4>0</vt:i4>
      </vt:variant>
      <vt:variant>
        <vt:i4>5</vt:i4>
      </vt:variant>
      <vt:variant>
        <vt:lpwstr>https://docs.cpuc.ca.gov/PublishedDocs/WORD_PDF/FINAL_DECISION/39314.PDF</vt:lpwstr>
      </vt:variant>
      <vt:variant>
        <vt:lpwstr/>
      </vt:variant>
      <vt:variant>
        <vt:i4>1507407</vt:i4>
      </vt:variant>
      <vt:variant>
        <vt:i4>6</vt:i4>
      </vt:variant>
      <vt:variant>
        <vt:i4>0</vt:i4>
      </vt:variant>
      <vt:variant>
        <vt:i4>5</vt:i4>
      </vt:variant>
      <vt:variant>
        <vt:lpwstr>https://docs.cpuc.ca.gov/PublishedDocs/Published/G000/M503/K914/503914324.PDF</vt:lpwstr>
      </vt:variant>
      <vt:variant>
        <vt:lpwstr/>
      </vt:variant>
      <vt:variant>
        <vt:i4>1048649</vt:i4>
      </vt:variant>
      <vt:variant>
        <vt:i4>3</vt:i4>
      </vt:variant>
      <vt:variant>
        <vt:i4>0</vt:i4>
      </vt:variant>
      <vt:variant>
        <vt:i4>5</vt:i4>
      </vt:variant>
      <vt:variant>
        <vt:lpwstr>https://docs.cpuc.ca.gov/PublishedDocs/Published/G000/M410/K138/410138703.PDF</vt:lpwstr>
      </vt:variant>
      <vt:variant>
        <vt:lpwstr/>
      </vt:variant>
      <vt:variant>
        <vt:i4>5898269</vt:i4>
      </vt:variant>
      <vt:variant>
        <vt:i4>0</vt:i4>
      </vt:variant>
      <vt:variant>
        <vt:i4>0</vt:i4>
      </vt:variant>
      <vt:variant>
        <vt:i4>5</vt:i4>
      </vt:variant>
      <vt:variant>
        <vt:lpwstr>https://docs.cpuc.ca.gov/word_pdf/FINAL_RESOLUTION/63130.pdf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2026-10-08T21:29:00Z</cp:lastPrinted>
  <dcterms:created xsi:type="dcterms:W3CDTF">2026-11-03T10:11:54Z</dcterms:created>
  <dcterms:modified xsi:type="dcterms:W3CDTF">2026-11-03T10:11:54Z</dcterms:modified>
</cp:coreProperties>
</file>