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7B5D" w:rsidP="00F52673" w:rsidRDefault="006B5C1E" w14:paraId="6ED072F1" w14:textId="4E9C3026">
      <w:pPr>
        <w:tabs>
          <w:tab w:val="right" w:pos="9360"/>
        </w:tabs>
        <w:spacing w:line="240" w:lineRule="auto"/>
        <w:ind w:firstLine="0"/>
      </w:pPr>
      <w:r>
        <w:t>ALJ/SCD/nd3</w:t>
      </w:r>
      <w:r w:rsidR="00F52673">
        <w:tab/>
      </w:r>
      <w:r w:rsidRPr="00F52673" w:rsidR="00F52673">
        <w:rPr>
          <w:b/>
          <w:bCs/>
        </w:rPr>
        <w:t>Date of Issuance 11/</w:t>
      </w:r>
      <w:r w:rsidR="00F52673">
        <w:rPr>
          <w:b/>
          <w:bCs/>
        </w:rPr>
        <w:t>6</w:t>
      </w:r>
      <w:r w:rsidRPr="00F52673" w:rsidR="00F52673">
        <w:rPr>
          <w:b/>
          <w:bCs/>
        </w:rPr>
        <w:t>/2026</w:t>
      </w:r>
    </w:p>
    <w:p w:rsidR="0059338C" w:rsidP="0059338C" w:rsidRDefault="0059338C" w14:paraId="6B1995B6" w14:textId="77777777">
      <w:pPr>
        <w:spacing w:line="240" w:lineRule="auto"/>
        <w:ind w:firstLine="0"/>
      </w:pPr>
    </w:p>
    <w:p w:rsidR="00F52673" w:rsidP="0059338C" w:rsidRDefault="00F52673" w14:paraId="5C7CBB45" w14:textId="77777777">
      <w:pPr>
        <w:spacing w:line="240" w:lineRule="auto"/>
        <w:ind w:firstLine="0"/>
      </w:pPr>
    </w:p>
    <w:p w:rsidRPr="00EE3060" w:rsidR="00DA7B5D" w:rsidP="0059338C" w:rsidRDefault="00DA7B5D" w14:paraId="4DD675EB" w14:textId="11F77981">
      <w:pPr>
        <w:spacing w:line="240" w:lineRule="auto"/>
        <w:ind w:firstLine="0"/>
      </w:pPr>
      <w:r>
        <w:t xml:space="preserve">Decision </w:t>
      </w:r>
      <w:r w:rsidRPr="00551AC3" w:rsidR="00551AC3">
        <w:t>26-10-052</w:t>
      </w:r>
      <w:r w:rsidR="00551AC3">
        <w:t xml:space="preserve">  October 29, 2026</w:t>
      </w:r>
    </w:p>
    <w:p w:rsidR="00DA7B5D" w:rsidP="0059338C" w:rsidRDefault="00DA7B5D" w14:paraId="3776A7A4" w14:textId="77777777">
      <w:pPr>
        <w:spacing w:line="240" w:lineRule="auto"/>
        <w:ind w:firstLine="0"/>
        <w:rPr>
          <w:u w:val="single"/>
        </w:rPr>
      </w:pPr>
    </w:p>
    <w:p w:rsidR="0059338C" w:rsidP="0059338C" w:rsidRDefault="0059338C" w14:paraId="077C4E1F" w14:textId="77777777">
      <w:pPr>
        <w:spacing w:line="240" w:lineRule="auto"/>
        <w:ind w:firstLine="0"/>
        <w:rPr>
          <w:u w:val="single"/>
        </w:rPr>
      </w:pPr>
    </w:p>
    <w:p w:rsidR="00DA7B5D" w:rsidP="00BB0243" w:rsidRDefault="00DA7B5D" w14:paraId="5E0A0E4D" w14:textId="77777777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A7B5D">
        <w:rPr>
          <w:rFonts w:ascii="Arial" w:hAnsi="Arial" w:cs="Arial"/>
          <w:b/>
          <w:sz w:val="24"/>
          <w:szCs w:val="24"/>
        </w:rPr>
        <w:t>BEFORE THE PUBLIC UTILITIES COMMISSION OF THE STATE OF CALIFORNIA</w:t>
      </w:r>
    </w:p>
    <w:p w:rsidR="00DA7B5D" w:rsidP="008F0116" w:rsidRDefault="00DA7B5D" w14:paraId="42D38401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A7B5D" w:rsidTr="00E725FC" w14:paraId="4273B83D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="00DA7B5D" w:rsidP="00C10B5F" w:rsidRDefault="00390E4F" w14:paraId="7616E12E" w14:textId="43739FD7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 w:rsidRPr="00390E4F">
              <w:rPr>
                <w:rFonts w:cs="Arial"/>
                <w:szCs w:val="26"/>
              </w:rPr>
              <w:t xml:space="preserve">Application of Southern California Gas Company (U904G) and </w:t>
            </w:r>
            <w:r w:rsidR="003408DA">
              <w:rPr>
                <w:rFonts w:cs="Arial"/>
                <w:szCs w:val="26"/>
              </w:rPr>
              <w:t>San </w:t>
            </w:r>
            <w:r w:rsidRPr="00390E4F">
              <w:rPr>
                <w:rFonts w:cs="Arial"/>
                <w:szCs w:val="26"/>
              </w:rPr>
              <w:t>Diego Gas</w:t>
            </w:r>
            <w:r w:rsidR="003408DA">
              <w:rPr>
                <w:rFonts w:cs="Arial"/>
                <w:szCs w:val="26"/>
              </w:rPr>
              <w:t xml:space="preserve"> &amp; </w:t>
            </w:r>
            <w:r w:rsidRPr="00390E4F">
              <w:rPr>
                <w:rFonts w:cs="Arial"/>
                <w:szCs w:val="26"/>
              </w:rPr>
              <w:t>Electric Company (U902M) for Authorization to Implement Revenue Requirement to Enable SAP Migration Program.</w:t>
            </w:r>
          </w:p>
          <w:p w:rsidRPr="00DA7B5D" w:rsidR="00390E4F" w:rsidP="00C10B5F" w:rsidRDefault="00390E4F" w14:paraId="477BE0A5" w14:textId="04ED29F9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</w:tc>
        <w:tc>
          <w:tcPr>
            <w:tcW w:w="504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Pr="00DA7B5D" w:rsidR="00DA7B5D" w:rsidP="00412C83" w:rsidRDefault="00A5663F" w14:paraId="76660250" w14:textId="6AEB5DAD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A</w:t>
            </w:r>
            <w:r w:rsidR="00F238F7">
              <w:rPr>
                <w:rFonts w:cs="Arial"/>
                <w:szCs w:val="26"/>
              </w:rPr>
              <w:t xml:space="preserve">pplication </w:t>
            </w:r>
            <w:r>
              <w:rPr>
                <w:rFonts w:cs="Arial"/>
                <w:szCs w:val="26"/>
              </w:rPr>
              <w:t>26</w:t>
            </w:r>
            <w:r w:rsidR="00BC624B">
              <w:rPr>
                <w:rFonts w:cs="Arial"/>
                <w:szCs w:val="26"/>
              </w:rPr>
              <w:noBreakHyphen/>
            </w:r>
            <w:r>
              <w:rPr>
                <w:rFonts w:cs="Arial"/>
                <w:szCs w:val="26"/>
              </w:rPr>
              <w:t>05</w:t>
            </w:r>
            <w:r w:rsidR="00BC624B">
              <w:rPr>
                <w:rFonts w:cs="Arial"/>
                <w:szCs w:val="26"/>
              </w:rPr>
              <w:noBreakHyphen/>
            </w:r>
            <w:r>
              <w:rPr>
                <w:rFonts w:cs="Arial"/>
                <w:szCs w:val="26"/>
              </w:rPr>
              <w:t>002</w:t>
            </w:r>
          </w:p>
        </w:tc>
      </w:tr>
    </w:tbl>
    <w:p w:rsidR="00DA7B5D" w:rsidP="008F0116" w:rsidRDefault="00DA7B5D" w14:paraId="6C6FDBB1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DA7B5D" w:rsidP="008F0116" w:rsidRDefault="00DA7B5D" w14:paraId="1A4C05D9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F92385" w:rsidP="0083681D" w:rsidRDefault="00012897" w14:paraId="37F585C5" w14:textId="29B7214B">
      <w:pPr>
        <w:pStyle w:val="Main"/>
      </w:pPr>
      <w:bookmarkStart w:name="_Toc239862450" w:id="0"/>
      <w:r>
        <w:t>DECISION AUTHORIZING ESTABLISHMENT</w:t>
      </w:r>
      <w:r w:rsidR="008F175C">
        <w:br/>
      </w:r>
      <w:r>
        <w:t>OF MEMORANDUM ACCOUNT</w:t>
      </w:r>
      <w:bookmarkEnd w:id="0"/>
    </w:p>
    <w:p w:rsidRPr="0083681D" w:rsidR="0083681D" w:rsidP="0083681D" w:rsidRDefault="0083681D" w14:paraId="36AA6808" w14:textId="77777777">
      <w:pPr>
        <w:pStyle w:val="Main"/>
      </w:pPr>
    </w:p>
    <w:p w:rsidRPr="00B70040" w:rsidR="005A148C" w:rsidP="00B70040" w:rsidRDefault="005A148C" w14:paraId="78CCFB4E" w14:textId="77777777">
      <w:pPr>
        <w:pStyle w:val="Dummy"/>
      </w:pPr>
      <w:bookmarkStart w:name="_Toc8123714" w:id="1"/>
      <w:bookmarkStart w:name="_Toc239862451" w:id="2"/>
      <w:r>
        <w:t>Summary</w:t>
      </w:r>
      <w:bookmarkEnd w:id="1"/>
      <w:bookmarkEnd w:id="2"/>
    </w:p>
    <w:p w:rsidR="001A5109" w:rsidP="001A5109" w:rsidRDefault="005A148C" w14:paraId="6AD1D51F" w14:textId="2D956779">
      <w:pPr>
        <w:pStyle w:val="Standard"/>
      </w:pPr>
      <w:r>
        <w:t>Th</w:t>
      </w:r>
      <w:r w:rsidR="001A5109">
        <w:t xml:space="preserve">is decision authorizes Southern California Gas Company and </w:t>
      </w:r>
      <w:r w:rsidR="003408DA">
        <w:t>San </w:t>
      </w:r>
      <w:r w:rsidR="001A5109">
        <w:t xml:space="preserve">Diego </w:t>
      </w:r>
      <w:r w:rsidR="00C23D6C">
        <w:t>Gas &amp; Electric</w:t>
      </w:r>
      <w:r w:rsidR="001A5109">
        <w:t xml:space="preserve"> Company</w:t>
      </w:r>
      <w:r w:rsidR="008C0A1B">
        <w:t xml:space="preserve"> (jointly</w:t>
      </w:r>
      <w:r w:rsidR="00352AE6">
        <w:t>,</w:t>
      </w:r>
      <w:r w:rsidR="008C0A1B">
        <w:t xml:space="preserve"> Sempra Utilities)</w:t>
      </w:r>
      <w:r w:rsidR="001A5109">
        <w:t xml:space="preserve"> to establish the</w:t>
      </w:r>
      <w:r w:rsidR="00214F1B">
        <w:t xml:space="preserve"> </w:t>
      </w:r>
      <w:r w:rsidR="00355EA5">
        <w:t>Systems Applications Products (</w:t>
      </w:r>
      <w:r w:rsidR="00214F1B">
        <w:t>SAP</w:t>
      </w:r>
      <w:r w:rsidR="00355EA5">
        <w:t>)</w:t>
      </w:r>
      <w:r w:rsidR="00214F1B">
        <w:t xml:space="preserve"> Migration </w:t>
      </w:r>
      <w:r w:rsidRPr="00FB71D2" w:rsidR="00214F1B">
        <w:t>Memorandum Account</w:t>
      </w:r>
      <w:r w:rsidRPr="00FB71D2" w:rsidR="00DE0703">
        <w:t xml:space="preserve">, effective </w:t>
      </w:r>
      <w:r w:rsidR="00795FF2">
        <w:t>May </w:t>
      </w:r>
      <w:r w:rsidRPr="00FB71D2" w:rsidR="00C47589">
        <w:t>1, 2026</w:t>
      </w:r>
      <w:r w:rsidRPr="00FB71D2" w:rsidR="00DE0703">
        <w:t xml:space="preserve">, </w:t>
      </w:r>
      <w:r w:rsidRPr="00FB71D2" w:rsidR="00C47589">
        <w:t xml:space="preserve">to track costs </w:t>
      </w:r>
      <w:r w:rsidRPr="00FB71D2" w:rsidR="00686874">
        <w:t xml:space="preserve">stemming from implementation of the </w:t>
      </w:r>
      <w:r w:rsidRPr="00FB71D2" w:rsidR="003B5F81">
        <w:t xml:space="preserve">SAP </w:t>
      </w:r>
      <w:r w:rsidRPr="00FB71D2" w:rsidR="000042BE">
        <w:t>Migration Program</w:t>
      </w:r>
      <w:r w:rsidRPr="00FB71D2" w:rsidR="001B684E">
        <w:t xml:space="preserve"> </w:t>
      </w:r>
      <w:r w:rsidR="00DE2597">
        <w:t>Phase </w:t>
      </w:r>
      <w:r w:rsidRPr="00FB71D2" w:rsidR="001B684E">
        <w:t>1B, up to a cap of $</w:t>
      </w:r>
      <w:r w:rsidRPr="00FB71D2" w:rsidR="00FB71D2">
        <w:t>13.7</w:t>
      </w:r>
      <w:r w:rsidR="007B2F52">
        <w:t> million</w:t>
      </w:r>
      <w:r w:rsidRPr="00FB71D2" w:rsidR="000042BE">
        <w:t>.</w:t>
      </w:r>
    </w:p>
    <w:p w:rsidR="00803C57" w:rsidP="001A5109" w:rsidRDefault="00FF43F4" w14:paraId="32A9C3C1" w14:textId="77777777">
      <w:pPr>
        <w:pStyle w:val="Standard"/>
      </w:pPr>
      <w:r>
        <w:t xml:space="preserve">This decision does not authorize </w:t>
      </w:r>
      <w:r w:rsidR="008C0A1B">
        <w:t xml:space="preserve">Sempra Utilities </w:t>
      </w:r>
      <w:r>
        <w:t xml:space="preserve">to </w:t>
      </w:r>
      <w:r w:rsidR="00FC2BC1">
        <w:t xml:space="preserve">recover costs recorded in the SAP </w:t>
      </w:r>
      <w:r w:rsidRPr="00FB71D2" w:rsidR="00FC2BC1">
        <w:t xml:space="preserve">Migration Memorandum Account. Whether, how, and to what extent </w:t>
      </w:r>
      <w:r w:rsidRPr="00FB71D2" w:rsidR="004131D3">
        <w:t xml:space="preserve">Sempra Utilities may recover costs tracked in this memorandum account will be determined </w:t>
      </w:r>
      <w:r w:rsidRPr="00FB71D2" w:rsidR="0059299F">
        <w:t xml:space="preserve">in a future </w:t>
      </w:r>
      <w:r w:rsidRPr="00FB71D2" w:rsidR="00C10C91">
        <w:t>Commission decision</w:t>
      </w:r>
      <w:r w:rsidRPr="00FB71D2" w:rsidR="004131D3">
        <w:t>.</w:t>
      </w:r>
    </w:p>
    <w:p w:rsidR="0073353F" w:rsidP="006E6574" w:rsidRDefault="004131D3" w14:paraId="40607380" w14:textId="774BD14F">
      <w:pPr>
        <w:pStyle w:val="Standard"/>
      </w:pPr>
      <w:r>
        <w:t>This proceeding remains open</w:t>
      </w:r>
      <w:r w:rsidR="0073353F">
        <w:t>.</w:t>
      </w:r>
    </w:p>
    <w:p w:rsidR="005A148C" w:rsidP="00B70040" w:rsidRDefault="002C7FE9" w14:paraId="4F3BBCFB" w14:textId="77777777">
      <w:pPr>
        <w:pStyle w:val="Heading1"/>
      </w:pPr>
      <w:bookmarkStart w:name="_Toc8123715" w:id="3"/>
      <w:bookmarkStart w:name="_Toc239862452" w:id="4"/>
      <w:r w:rsidRPr="00121089">
        <w:lastRenderedPageBreak/>
        <w:t>Background</w:t>
      </w:r>
      <w:bookmarkEnd w:id="3"/>
      <w:bookmarkEnd w:id="4"/>
    </w:p>
    <w:p w:rsidR="005B66C9" w:rsidP="006E6574" w:rsidRDefault="00C45800" w14:paraId="1C262734" w14:textId="1BABF755">
      <w:pPr>
        <w:pStyle w:val="Standard"/>
      </w:pPr>
      <w:r>
        <w:t xml:space="preserve">On </w:t>
      </w:r>
      <w:r w:rsidR="00795FF2">
        <w:t>May </w:t>
      </w:r>
      <w:r w:rsidR="004D1A44">
        <w:t xml:space="preserve">16, 2022, Southern California Gas Company (SoCalGas) and </w:t>
      </w:r>
      <w:r w:rsidR="003408DA">
        <w:t>San </w:t>
      </w:r>
      <w:r w:rsidR="004D1A44">
        <w:t>Diego Gas</w:t>
      </w:r>
      <w:r w:rsidR="003408DA">
        <w:t xml:space="preserve"> &amp; </w:t>
      </w:r>
      <w:r w:rsidR="004D1A44">
        <w:t>Electric (SDG&amp;E), referred to collectively as Sempra Utili</w:t>
      </w:r>
      <w:r w:rsidR="009C1D74">
        <w:t>ties</w:t>
      </w:r>
      <w:r w:rsidR="00BD17B6">
        <w:t>, or Sempra</w:t>
      </w:r>
      <w:r w:rsidR="009C1D74">
        <w:t xml:space="preserve">, filed </w:t>
      </w:r>
      <w:r w:rsidR="00444286">
        <w:t xml:space="preserve">their </w:t>
      </w:r>
      <w:r w:rsidR="009C1D74">
        <w:t xml:space="preserve">2024 Test Year general rate case (GRC) </w:t>
      </w:r>
      <w:r w:rsidR="00444286">
        <w:t>a</w:t>
      </w:r>
      <w:r w:rsidR="009C1D74">
        <w:t>pplications</w:t>
      </w:r>
      <w:r w:rsidR="00444286">
        <w:t>.</w:t>
      </w:r>
      <w:r w:rsidR="00444286">
        <w:rPr>
          <w:rStyle w:val="FootnoteReference"/>
        </w:rPr>
        <w:footnoteReference w:id="2"/>
      </w:r>
      <w:r w:rsidR="002D7235">
        <w:t xml:space="preserve"> The applications requested </w:t>
      </w:r>
      <w:r w:rsidR="00C019FF">
        <w:t>$70.612</w:t>
      </w:r>
      <w:r w:rsidR="007B2F52">
        <w:t> million</w:t>
      </w:r>
      <w:r w:rsidR="00C019FF">
        <w:t xml:space="preserve"> in capital costs for the </w:t>
      </w:r>
      <w:r w:rsidRPr="0020164F" w:rsidR="0020164F">
        <w:t xml:space="preserve">Systems Applications Products </w:t>
      </w:r>
      <w:r w:rsidR="0020164F">
        <w:t>(</w:t>
      </w:r>
      <w:r w:rsidR="00C019FF">
        <w:t>SAP</w:t>
      </w:r>
      <w:r w:rsidR="0020164F">
        <w:t>)</w:t>
      </w:r>
      <w:r w:rsidR="00C019FF">
        <w:t xml:space="preserve"> Transformation </w:t>
      </w:r>
      <w:r w:rsidR="0020164F">
        <w:t>Project</w:t>
      </w:r>
      <w:r w:rsidR="00301B04">
        <w:t xml:space="preserve">, </w:t>
      </w:r>
      <w:r w:rsidR="00376012">
        <w:t xml:space="preserve">precipitated by </w:t>
      </w:r>
      <w:r w:rsidR="00077FD5">
        <w:t>the decision of SAP, one of the world</w:t>
      </w:r>
      <w:r w:rsidR="007A74F7">
        <w:t>’</w:t>
      </w:r>
      <w:r w:rsidR="00077FD5">
        <w:t xml:space="preserve">s largest enterprise </w:t>
      </w:r>
      <w:r w:rsidR="002745BA">
        <w:t>resource</w:t>
      </w:r>
      <w:r w:rsidR="00077FD5">
        <w:t xml:space="preserve"> </w:t>
      </w:r>
      <w:r w:rsidR="00F56566">
        <w:t xml:space="preserve">planning (ERP) </w:t>
      </w:r>
      <w:r w:rsidR="00077FD5">
        <w:t>platform</w:t>
      </w:r>
      <w:r w:rsidR="002745BA">
        <w:t xml:space="preserve"> </w:t>
      </w:r>
      <w:r w:rsidR="00077FD5">
        <w:t>companies, to discontinue maintenance of certain longstanding applications at the end of 2027</w:t>
      </w:r>
      <w:r w:rsidR="00C019FF">
        <w:t xml:space="preserve">. </w:t>
      </w:r>
      <w:r w:rsidR="0069219E">
        <w:t>In Decision (D.)</w:t>
      </w:r>
      <w:r w:rsidR="0010409F">
        <w:t> </w:t>
      </w:r>
      <w:r w:rsidR="009F55AE">
        <w:t>24</w:t>
      </w:r>
      <w:r w:rsidR="00BC624B">
        <w:noBreakHyphen/>
      </w:r>
      <w:r w:rsidR="009F55AE">
        <w:t>12</w:t>
      </w:r>
      <w:r w:rsidR="00BC624B">
        <w:noBreakHyphen/>
      </w:r>
      <w:r w:rsidR="009F55AE">
        <w:t>074, the Commission authorized $51.212</w:t>
      </w:r>
      <w:r w:rsidR="007B2F52">
        <w:t> million</w:t>
      </w:r>
      <w:r w:rsidR="009F55AE">
        <w:t xml:space="preserve"> in capital costs for </w:t>
      </w:r>
      <w:r w:rsidR="00453E0A">
        <w:t xml:space="preserve">the SAP Transformation </w:t>
      </w:r>
      <w:r w:rsidR="00EC7FB9">
        <w:t>Project</w:t>
      </w:r>
      <w:r w:rsidR="005B66C9">
        <w:t>.</w:t>
      </w:r>
      <w:r w:rsidR="0020164F">
        <w:rPr>
          <w:rStyle w:val="FootnoteReference"/>
        </w:rPr>
        <w:footnoteReference w:id="3"/>
      </w:r>
    </w:p>
    <w:p w:rsidR="00803C57" w:rsidP="006E6574" w:rsidRDefault="0075625A" w14:paraId="428FF456" w14:textId="5E5A0D6D">
      <w:pPr>
        <w:pStyle w:val="Standard"/>
      </w:pPr>
      <w:r>
        <w:t xml:space="preserve">On </w:t>
      </w:r>
      <w:r w:rsidR="00795FF2">
        <w:t>May </w:t>
      </w:r>
      <w:r>
        <w:t xml:space="preserve">1, 2026, Sempra Utilities filed </w:t>
      </w:r>
      <w:r w:rsidR="00352AE6">
        <w:t>the instant application</w:t>
      </w:r>
      <w:r w:rsidR="00FC0369">
        <w:t>, requesting authorization to implement a</w:t>
      </w:r>
      <w:r w:rsidR="0074189E">
        <w:t>n approximate $348</w:t>
      </w:r>
      <w:r w:rsidR="007B2F52">
        <w:t> million</w:t>
      </w:r>
      <w:r w:rsidR="0074189E">
        <w:t xml:space="preserve"> revenue requireme</w:t>
      </w:r>
      <w:r w:rsidR="002C7000">
        <w:t>nt to enable the SAP Migration Program. In its application, Sempra state</w:t>
      </w:r>
      <w:r w:rsidR="00143384">
        <w:t>s</w:t>
      </w:r>
      <w:r w:rsidR="002C7000">
        <w:t xml:space="preserve"> that </w:t>
      </w:r>
      <w:r w:rsidR="00476AA9">
        <w:t xml:space="preserve">since its initial request to fund the SAP Transformation </w:t>
      </w:r>
      <w:r w:rsidR="00D676AC">
        <w:t xml:space="preserve">Project </w:t>
      </w:r>
      <w:r w:rsidR="00476AA9">
        <w:t xml:space="preserve">in its </w:t>
      </w:r>
      <w:r w:rsidR="00CC144F">
        <w:t xml:space="preserve">2024 </w:t>
      </w:r>
      <w:r w:rsidR="00D676AC">
        <w:t>T</w:t>
      </w:r>
      <w:r w:rsidR="00CC144F">
        <w:t xml:space="preserve">est </w:t>
      </w:r>
      <w:r w:rsidR="00D676AC">
        <w:t>Y</w:t>
      </w:r>
      <w:r w:rsidR="00CC144F">
        <w:t xml:space="preserve">ear GRC, it </w:t>
      </w:r>
      <w:r w:rsidR="00D676AC">
        <w:t xml:space="preserve">has </w:t>
      </w:r>
      <w:r w:rsidR="00CC144F">
        <w:t xml:space="preserve">elected to scale back the SAP </w:t>
      </w:r>
      <w:r w:rsidR="00BB340C">
        <w:t>program</w:t>
      </w:r>
      <w:r w:rsidR="00CC144F">
        <w:t xml:space="preserve"> from a complete transformation </w:t>
      </w:r>
      <w:r w:rsidR="00F063F1">
        <w:t>to a more narrow</w:t>
      </w:r>
      <w:r w:rsidR="007F3D02">
        <w:t xml:space="preserve"> scope of</w:t>
      </w:r>
      <w:r w:rsidR="00F063F1">
        <w:t xml:space="preserve"> migration to supported systems and a limited, strategic modernization</w:t>
      </w:r>
      <w:r w:rsidR="00E2366E">
        <w:t>.</w:t>
      </w:r>
      <w:r w:rsidR="00E2366E">
        <w:rPr>
          <w:rStyle w:val="FootnoteReference"/>
        </w:rPr>
        <w:footnoteReference w:id="4"/>
      </w:r>
      <w:r w:rsidR="0069219E">
        <w:t xml:space="preserve"> </w:t>
      </w:r>
      <w:r w:rsidR="005515FF">
        <w:t>Sempra state</w:t>
      </w:r>
      <w:r w:rsidR="00143384">
        <w:t>s</w:t>
      </w:r>
      <w:r w:rsidR="005515FF">
        <w:t xml:space="preserve"> that the $51.212</w:t>
      </w:r>
      <w:r w:rsidR="00C72CF3">
        <w:t> million</w:t>
      </w:r>
      <w:r w:rsidR="005515FF">
        <w:t xml:space="preserve"> </w:t>
      </w:r>
      <w:r w:rsidR="006652E9">
        <w:t>was authorized by the Commission for the</w:t>
      </w:r>
      <w:r w:rsidR="002C6A07">
        <w:t xml:space="preserve"> initial phase (</w:t>
      </w:r>
      <w:r w:rsidR="00DE2597">
        <w:t>Phase </w:t>
      </w:r>
      <w:r w:rsidR="002C6A07">
        <w:t xml:space="preserve">1A) of the SAP </w:t>
      </w:r>
      <w:r w:rsidR="00BB340C">
        <w:t>program</w:t>
      </w:r>
      <w:r w:rsidR="00D676AC">
        <w:t xml:space="preserve">, and </w:t>
      </w:r>
      <w:r w:rsidR="00120A3C">
        <w:t>that the $348</w:t>
      </w:r>
      <w:r w:rsidR="007B2F52">
        <w:t> million</w:t>
      </w:r>
      <w:r w:rsidR="00120A3C">
        <w:t xml:space="preserve"> requested in A.26</w:t>
      </w:r>
      <w:r w:rsidR="00BC624B">
        <w:noBreakHyphen/>
      </w:r>
      <w:r w:rsidR="00120A3C">
        <w:t>05</w:t>
      </w:r>
      <w:r w:rsidR="00BC624B">
        <w:noBreakHyphen/>
      </w:r>
      <w:r w:rsidR="00120A3C">
        <w:t xml:space="preserve">002 will support </w:t>
      </w:r>
      <w:r w:rsidR="008E66F5">
        <w:t xml:space="preserve">the remaining phases of the SAP Migration </w:t>
      </w:r>
      <w:r w:rsidR="00BB340C">
        <w:t>Program</w:t>
      </w:r>
      <w:r w:rsidR="008E66F5">
        <w:t xml:space="preserve"> (Phase</w:t>
      </w:r>
      <w:r w:rsidR="00DE2597">
        <w:t> </w:t>
      </w:r>
      <w:r w:rsidR="008E66F5">
        <w:t xml:space="preserve">1B and </w:t>
      </w:r>
      <w:r w:rsidR="00DE2597">
        <w:t>Phase </w:t>
      </w:r>
      <w:r w:rsidR="008E66F5">
        <w:t>2).</w:t>
      </w:r>
    </w:p>
    <w:p w:rsidR="00A71B7E" w:rsidP="006E6574" w:rsidRDefault="00A71B7E" w14:paraId="48DCF4AA" w14:textId="3B88C0A8">
      <w:pPr>
        <w:pStyle w:val="Standard"/>
      </w:pPr>
      <w:r>
        <w:t xml:space="preserve">On </w:t>
      </w:r>
      <w:r w:rsidR="00795FF2">
        <w:t>May </w:t>
      </w:r>
      <w:r w:rsidR="00FB1BE7">
        <w:t>15</w:t>
      </w:r>
      <w:r w:rsidR="005F2214">
        <w:t>, 2026</w:t>
      </w:r>
      <w:r w:rsidR="00606A43">
        <w:t xml:space="preserve"> and </w:t>
      </w:r>
      <w:r w:rsidR="00795FF2">
        <w:t>June </w:t>
      </w:r>
      <w:r w:rsidR="00606A43">
        <w:t xml:space="preserve">3, 2026, </w:t>
      </w:r>
      <w:r w:rsidR="00FB1BE7">
        <w:t>the Public Advocates Office at the California Public Utilities Commission (</w:t>
      </w:r>
      <w:r w:rsidR="006E608E">
        <w:t>Cal Advoc</w:t>
      </w:r>
      <w:r w:rsidR="00FB1BE7">
        <w:t>ates)</w:t>
      </w:r>
      <w:r w:rsidR="00606A43">
        <w:t xml:space="preserve"> and the Utility Workers Union of America, AFL</w:t>
      </w:r>
      <w:r w:rsidR="00BC624B">
        <w:noBreakHyphen/>
      </w:r>
      <w:r w:rsidR="00606A43">
        <w:t xml:space="preserve">CIO, </w:t>
      </w:r>
      <w:r w:rsidR="00500062">
        <w:t>Local </w:t>
      </w:r>
      <w:r w:rsidR="00606A43">
        <w:t>483</w:t>
      </w:r>
      <w:r w:rsidR="00FB1BE7">
        <w:t xml:space="preserve"> </w:t>
      </w:r>
      <w:r w:rsidR="00085206">
        <w:t>filed</w:t>
      </w:r>
      <w:r w:rsidR="00F874DF">
        <w:t xml:space="preserve"> </w:t>
      </w:r>
      <w:r w:rsidR="00085206">
        <w:t>motion</w:t>
      </w:r>
      <w:r w:rsidR="00F874DF">
        <w:t>s</w:t>
      </w:r>
      <w:r w:rsidR="00085206">
        <w:t xml:space="preserve"> for party status</w:t>
      </w:r>
      <w:r w:rsidR="00E746B5">
        <w:t xml:space="preserve"> in the SAP </w:t>
      </w:r>
      <w:r w:rsidR="00E746B5">
        <w:lastRenderedPageBreak/>
        <w:t>Migration Program proceeding</w:t>
      </w:r>
      <w:r w:rsidR="00085206">
        <w:t>, which w</w:t>
      </w:r>
      <w:r w:rsidR="00F874DF">
        <w:t>ere</w:t>
      </w:r>
      <w:r w:rsidR="00085206">
        <w:t xml:space="preserve"> granted on </w:t>
      </w:r>
      <w:r w:rsidR="00795FF2">
        <w:t>May </w:t>
      </w:r>
      <w:r w:rsidR="00085206">
        <w:t>28</w:t>
      </w:r>
      <w:r w:rsidR="00795FF2">
        <w:t>, 2026</w:t>
      </w:r>
      <w:r w:rsidR="00F874DF">
        <w:t xml:space="preserve"> and </w:t>
      </w:r>
      <w:r w:rsidR="00795FF2">
        <w:t>June </w:t>
      </w:r>
      <w:r w:rsidR="00F874DF">
        <w:t>8,</w:t>
      </w:r>
      <w:r w:rsidR="00085206">
        <w:t xml:space="preserve"> 2026</w:t>
      </w:r>
      <w:r w:rsidR="00F874DF">
        <w:t>, respectively</w:t>
      </w:r>
      <w:r w:rsidR="00085206">
        <w:t>.</w:t>
      </w:r>
      <w:r w:rsidR="00F874DF">
        <w:t xml:space="preserve"> </w:t>
      </w:r>
      <w:r w:rsidR="00134232">
        <w:t xml:space="preserve">Southern California Generation Coalition, the Utility Consumers Action Network, </w:t>
      </w:r>
      <w:r w:rsidR="006E608E">
        <w:t>Cal Advoc</w:t>
      </w:r>
      <w:r w:rsidR="00136234">
        <w:t xml:space="preserve">ates, and </w:t>
      </w:r>
      <w:r w:rsidR="00134232">
        <w:t>The Utility Reform Network</w:t>
      </w:r>
      <w:r w:rsidR="00085206">
        <w:t xml:space="preserve"> </w:t>
      </w:r>
      <w:r w:rsidR="00136234">
        <w:t xml:space="preserve">all filed timely responses or protests to the application. </w:t>
      </w:r>
      <w:r w:rsidR="00267432">
        <w:t xml:space="preserve">Small Business Utility Advocates </w:t>
      </w:r>
      <w:r w:rsidR="00D676AC">
        <w:t xml:space="preserve">was </w:t>
      </w:r>
      <w:r w:rsidR="00267432">
        <w:t xml:space="preserve">granted party status at the prehearing conference held on </w:t>
      </w:r>
      <w:r w:rsidR="00795FF2">
        <w:t>July </w:t>
      </w:r>
      <w:r w:rsidR="00267432">
        <w:t>27, 2026.</w:t>
      </w:r>
    </w:p>
    <w:p w:rsidR="00803C57" w:rsidP="006E6574" w:rsidRDefault="00F05322" w14:paraId="5929D0C0" w14:textId="67A44F02">
      <w:pPr>
        <w:pStyle w:val="Standard"/>
      </w:pPr>
      <w:r>
        <w:t xml:space="preserve">On </w:t>
      </w:r>
      <w:r w:rsidR="00795FF2">
        <w:t>May </w:t>
      </w:r>
      <w:r>
        <w:t xml:space="preserve">4, 2026, Sempra Utilities filed a </w:t>
      </w:r>
      <w:r w:rsidR="000B3AA0">
        <w:t>motion to establish the SAP Migration Memorandum Account</w:t>
      </w:r>
      <w:r w:rsidR="00CB0408">
        <w:t xml:space="preserve"> (SAPMMA)</w:t>
      </w:r>
      <w:r w:rsidR="000B3AA0">
        <w:t xml:space="preserve"> to track </w:t>
      </w:r>
      <w:r w:rsidR="00DE2597">
        <w:t>Phase </w:t>
      </w:r>
      <w:r w:rsidR="00057B25">
        <w:t xml:space="preserve">1B </w:t>
      </w:r>
      <w:r w:rsidRPr="003F2DC2" w:rsidR="00B04251">
        <w:t>costs</w:t>
      </w:r>
      <w:r w:rsidR="00057B25">
        <w:t xml:space="preserve"> from </w:t>
      </w:r>
      <w:r w:rsidR="00B04251">
        <w:t xml:space="preserve">the SAP Migration </w:t>
      </w:r>
      <w:r w:rsidR="00BB340C">
        <w:t>Program</w:t>
      </w:r>
      <w:r w:rsidR="00122596">
        <w:t xml:space="preserve"> and requesting an effective date of </w:t>
      </w:r>
      <w:r w:rsidR="00795FF2">
        <w:t>May </w:t>
      </w:r>
      <w:r w:rsidR="00122596">
        <w:t>1, 2026</w:t>
      </w:r>
      <w:r w:rsidR="00B04251">
        <w:t>.</w:t>
      </w:r>
      <w:r w:rsidR="00D23D7B">
        <w:t xml:space="preserve"> On </w:t>
      </w:r>
      <w:r w:rsidR="00795FF2">
        <w:t>May </w:t>
      </w:r>
      <w:r w:rsidR="00D23D7B">
        <w:t xml:space="preserve">19, 2026, </w:t>
      </w:r>
      <w:r w:rsidR="006E608E">
        <w:t>Cal Advoc</w:t>
      </w:r>
      <w:r w:rsidR="00D23D7B">
        <w:t xml:space="preserve">ates filed a response </w:t>
      </w:r>
      <w:r w:rsidR="004C5D16">
        <w:t>to Sempra Utilities</w:t>
      </w:r>
      <w:r w:rsidR="007A74F7">
        <w:t>’</w:t>
      </w:r>
      <w:r w:rsidR="004C5D16">
        <w:t xml:space="preserve"> motion opposing the establishment of the </w:t>
      </w:r>
      <w:r w:rsidR="00D676AC">
        <w:t>SAPMMA</w:t>
      </w:r>
      <w:r w:rsidR="004C5D16">
        <w:t>.</w:t>
      </w:r>
      <w:r w:rsidR="000F2C6D">
        <w:t xml:space="preserve"> After requesting and being granted </w:t>
      </w:r>
      <w:r w:rsidR="00272CCB">
        <w:t xml:space="preserve">leave to file a reply, Sempra Utilities filed a reply to </w:t>
      </w:r>
      <w:r w:rsidR="006E608E">
        <w:t>Cal Advoc</w:t>
      </w:r>
      <w:r w:rsidR="00272CCB">
        <w:t>ates</w:t>
      </w:r>
      <w:r w:rsidR="007A74F7">
        <w:t>’</w:t>
      </w:r>
      <w:r w:rsidR="00272CCB">
        <w:t xml:space="preserve"> response on </w:t>
      </w:r>
      <w:r w:rsidR="00795FF2">
        <w:t>May </w:t>
      </w:r>
      <w:r w:rsidR="00F85031">
        <w:t>29, 2026.</w:t>
      </w:r>
    </w:p>
    <w:p w:rsidRPr="0063491C" w:rsidR="0063491C" w:rsidP="00182516" w:rsidRDefault="00F85031" w14:paraId="7B4B41D3" w14:textId="0CB1E22D">
      <w:pPr>
        <w:pStyle w:val="Standard"/>
      </w:pPr>
      <w:r>
        <w:t xml:space="preserve">On </w:t>
      </w:r>
      <w:r w:rsidR="00795FF2">
        <w:t>August </w:t>
      </w:r>
      <w:r w:rsidR="00D676AC">
        <w:t>25, 2026</w:t>
      </w:r>
      <w:r w:rsidR="00182516">
        <w:t>, the assigned Commissioner issued a Scoping Memo and Ruling</w:t>
      </w:r>
      <w:r w:rsidR="00443B49">
        <w:t xml:space="preserve"> (Scoping Memo). The Scoping Memo </w:t>
      </w:r>
      <w:r w:rsidR="00E00C9D">
        <w:t>found that no further</w:t>
      </w:r>
      <w:r w:rsidR="00572731">
        <w:t xml:space="preserve"> testimony was needed on the </w:t>
      </w:r>
      <w:r w:rsidR="00D020F2">
        <w:t xml:space="preserve">motion for the </w:t>
      </w:r>
      <w:r w:rsidR="005C33D2">
        <w:t>SAPMMA</w:t>
      </w:r>
      <w:r w:rsidR="00D038F3">
        <w:t xml:space="preserve"> to resolve issues of law or fact that that a decision on th</w:t>
      </w:r>
      <w:r w:rsidR="003522BB">
        <w:t>e motion would be issued prior to a resolution on the other issues.</w:t>
      </w:r>
      <w:r w:rsidR="00D676AC">
        <w:rPr>
          <w:rStyle w:val="FootnoteReference"/>
        </w:rPr>
        <w:footnoteReference w:id="5"/>
      </w:r>
    </w:p>
    <w:p w:rsidR="005A148C" w:rsidP="00182516" w:rsidRDefault="005939A5" w14:paraId="11293D82" w14:textId="77777777">
      <w:pPr>
        <w:pStyle w:val="Heading1"/>
      </w:pPr>
      <w:bookmarkStart w:name="_Toc8123719" w:id="5"/>
      <w:bookmarkStart w:name="_Toc239862453" w:id="6"/>
      <w:r>
        <w:t xml:space="preserve">Issues Before the </w:t>
      </w:r>
      <w:bookmarkEnd w:id="5"/>
      <w:r w:rsidR="008A08BF">
        <w:t>Commission</w:t>
      </w:r>
      <w:bookmarkEnd w:id="6"/>
    </w:p>
    <w:p w:rsidR="005939A5" w:rsidP="00A44E8D" w:rsidRDefault="009044B7" w14:paraId="76294F75" w14:textId="2993086B">
      <w:pPr>
        <w:pStyle w:val="Standard"/>
      </w:pPr>
      <w:r>
        <w:t xml:space="preserve">This decision addresses the issue of whether </w:t>
      </w:r>
      <w:r w:rsidR="002C67FF">
        <w:t xml:space="preserve">the </w:t>
      </w:r>
      <w:r w:rsidRPr="00EF3C61" w:rsidR="004B7D1F">
        <w:t xml:space="preserve">requested </w:t>
      </w:r>
      <w:r w:rsidR="005C33D2">
        <w:t>SAPMMA</w:t>
      </w:r>
      <w:r w:rsidRPr="00EF3C61" w:rsidR="004B7D1F">
        <w:t xml:space="preserve"> is reasonable and should be authorized</w:t>
      </w:r>
      <w:r w:rsidR="004B7D1F">
        <w:t>, and if so, what the effective date and the scope of costs permitted to be recorded to the account should be</w:t>
      </w:r>
      <w:r w:rsidR="00E179EB">
        <w:t>.</w:t>
      </w:r>
    </w:p>
    <w:p w:rsidR="00DF5FB5" w:rsidP="00A44E8D" w:rsidRDefault="00DF5FB5" w14:paraId="434E6277" w14:textId="5DCF30FA">
      <w:pPr>
        <w:pStyle w:val="Standard"/>
      </w:pPr>
      <w:r>
        <w:t xml:space="preserve">The Scoping Memo </w:t>
      </w:r>
      <w:r w:rsidR="00074542">
        <w:t xml:space="preserve">identified </w:t>
      </w:r>
      <w:r w:rsidR="007F56BE">
        <w:t xml:space="preserve">five </w:t>
      </w:r>
      <w:r w:rsidR="00074542">
        <w:t xml:space="preserve">other issues to be addressed in this proceeding, including whether the </w:t>
      </w:r>
      <w:r w:rsidR="008A01B4">
        <w:t xml:space="preserve">estimated costs and revenue requirement for </w:t>
      </w:r>
      <w:r w:rsidR="008A01B4">
        <w:lastRenderedPageBreak/>
        <w:t xml:space="preserve">the SAP Migration Program are reasonable and should be implemented, and </w:t>
      </w:r>
      <w:r w:rsidR="007F56BE">
        <w:t xml:space="preserve">if the SAPMMA is authorized, whether those costs should be transferred to a balancing account proposed by </w:t>
      </w:r>
      <w:r w:rsidR="00DB0A5C">
        <w:t xml:space="preserve">Sempra. This decision does not address these issues. The remaining issues identified in the Scoping Memo will be addressed in a </w:t>
      </w:r>
      <w:r w:rsidR="00E86ABD">
        <w:t xml:space="preserve">later, final Commission </w:t>
      </w:r>
      <w:r w:rsidR="00DB0A5C">
        <w:t>decision</w:t>
      </w:r>
      <w:r w:rsidR="0019103F">
        <w:t xml:space="preserve"> on this application</w:t>
      </w:r>
      <w:r w:rsidR="00DB0A5C">
        <w:t>.</w:t>
      </w:r>
    </w:p>
    <w:p w:rsidR="005939A5" w:rsidP="00182516" w:rsidRDefault="005939A5" w14:paraId="29DA344A" w14:textId="1704D7BB">
      <w:pPr>
        <w:pStyle w:val="Heading1"/>
      </w:pPr>
      <w:bookmarkStart w:name="_Toc8123720" w:id="7"/>
      <w:bookmarkStart w:name="_Toc239862454" w:id="8"/>
      <w:r>
        <w:t>Discussion</w:t>
      </w:r>
      <w:bookmarkEnd w:id="7"/>
      <w:bookmarkEnd w:id="8"/>
    </w:p>
    <w:p w:rsidR="00EA36C6" w:rsidP="00182516" w:rsidRDefault="00900F4E" w14:paraId="40121BD0" w14:textId="7455DA51">
      <w:pPr>
        <w:pStyle w:val="Heading2"/>
      </w:pPr>
      <w:bookmarkStart w:name="_Toc239862455" w:id="9"/>
      <w:r>
        <w:t>It</w:t>
      </w:r>
      <w:r w:rsidR="00C8481B">
        <w:t xml:space="preserve"> </w:t>
      </w:r>
      <w:r w:rsidR="00A85560">
        <w:t xml:space="preserve">Is </w:t>
      </w:r>
      <w:r>
        <w:t>Reasonable to Establish the</w:t>
      </w:r>
      <w:bookmarkEnd w:id="9"/>
      <w:r w:rsidR="00A85560">
        <w:br/>
      </w:r>
      <w:r w:rsidRPr="00A85560" w:rsidR="00A85560">
        <w:t>SAP Migration Memorandum Account</w:t>
      </w:r>
    </w:p>
    <w:p w:rsidR="00FB6189" w:rsidP="004A0F03" w:rsidRDefault="00FB6189" w14:paraId="14325F60" w14:textId="4A698D82">
      <w:pPr>
        <w:pStyle w:val="Standard"/>
      </w:pPr>
      <w:r>
        <w:t xml:space="preserve">We find that </w:t>
      </w:r>
      <w:r w:rsidR="00775260">
        <w:t xml:space="preserve">establishing the </w:t>
      </w:r>
      <w:r w:rsidR="005C33D2">
        <w:t>SAPMMA</w:t>
      </w:r>
      <w:r w:rsidR="00775260">
        <w:t xml:space="preserve"> is </w:t>
      </w:r>
      <w:r w:rsidR="0081285B">
        <w:t>consistent with</w:t>
      </w:r>
      <w:r w:rsidR="00C8481B">
        <w:t xml:space="preserve"> some of </w:t>
      </w:r>
      <w:r w:rsidR="0081285B">
        <w:t>the Commission</w:t>
      </w:r>
      <w:r w:rsidR="007A74F7">
        <w:t>’</w:t>
      </w:r>
      <w:r w:rsidR="0081285B">
        <w:t>s criteria under Standard Practice U</w:t>
      </w:r>
      <w:r w:rsidR="00BC624B">
        <w:noBreakHyphen/>
      </w:r>
      <w:r w:rsidR="0081285B">
        <w:t>27</w:t>
      </w:r>
      <w:r w:rsidR="00BC624B">
        <w:noBreakHyphen/>
      </w:r>
      <w:r w:rsidR="0081285B">
        <w:t>W</w:t>
      </w:r>
      <w:r w:rsidR="00C8481B">
        <w:t xml:space="preserve">, </w:t>
      </w:r>
      <w:r w:rsidR="0081285B">
        <w:t xml:space="preserve">and is </w:t>
      </w:r>
      <w:r w:rsidR="00712942">
        <w:t>in the public interest</w:t>
      </w:r>
      <w:r w:rsidR="000F6FA9">
        <w:t>. Therefore, for the reasons discussed below, we grant Sempra</w:t>
      </w:r>
      <w:r w:rsidR="007A74F7">
        <w:t>’</w:t>
      </w:r>
      <w:r w:rsidR="000F6FA9">
        <w:t>s request.</w:t>
      </w:r>
    </w:p>
    <w:p w:rsidR="00AA0DC7" w:rsidP="004A0F03" w:rsidRDefault="003A201E" w14:paraId="0DE93E03" w14:textId="51255FAC">
      <w:pPr>
        <w:pStyle w:val="Standard"/>
      </w:pPr>
      <w:r w:rsidRPr="003A201E">
        <w:t>The Commission often uses the criteria set forth in the Commission</w:t>
      </w:r>
      <w:r w:rsidR="007A74F7">
        <w:t>’</w:t>
      </w:r>
      <w:r w:rsidRPr="003A201E">
        <w:t>s Standard Practice U</w:t>
      </w:r>
      <w:r w:rsidR="00BC624B">
        <w:noBreakHyphen/>
      </w:r>
      <w:r w:rsidRPr="003A201E">
        <w:t>27</w:t>
      </w:r>
      <w:r w:rsidR="00BC624B">
        <w:noBreakHyphen/>
      </w:r>
      <w:r w:rsidRPr="003A201E">
        <w:t>W to determine whether to authorize a memorandum</w:t>
      </w:r>
      <w:r w:rsidR="009512AC">
        <w:t xml:space="preserve"> account. </w:t>
      </w:r>
      <w:r w:rsidRPr="009512AC" w:rsidR="009512AC">
        <w:t>While Standard Practice U</w:t>
      </w:r>
      <w:r w:rsidR="00BC624B">
        <w:noBreakHyphen/>
      </w:r>
      <w:r w:rsidRPr="009512AC" w:rsidR="009512AC">
        <w:t>27</w:t>
      </w:r>
      <w:r w:rsidR="00BC624B">
        <w:noBreakHyphen/>
      </w:r>
      <w:r w:rsidRPr="009512AC" w:rsidR="009512AC">
        <w:t xml:space="preserve">W provides general guidance for approval of memorandum accounts, </w:t>
      </w:r>
      <w:r w:rsidR="00D058E1">
        <w:t>t</w:t>
      </w:r>
      <w:r w:rsidRPr="00D058E1" w:rsidR="00D058E1">
        <w:t>he guidelines serve as general instruction rather than an absolute rigid test</w:t>
      </w:r>
      <w:r w:rsidR="00D058E1">
        <w:t xml:space="preserve">, and </w:t>
      </w:r>
      <w:r w:rsidR="00856385">
        <w:t>the Commission</w:t>
      </w:r>
      <w:r w:rsidRPr="009512AC" w:rsidR="00856385">
        <w:t xml:space="preserve"> </w:t>
      </w:r>
      <w:r w:rsidR="00D058E1">
        <w:t>retains</w:t>
      </w:r>
      <w:r w:rsidRPr="00D058E1" w:rsidR="00D058E1">
        <w:t xml:space="preserve"> the discretion to approve a memorandum account when a utility meets only some of the established criteria</w:t>
      </w:r>
      <w:r w:rsidR="00D058E1">
        <w:t>.</w:t>
      </w:r>
      <w:r w:rsidR="00C8481B">
        <w:rPr>
          <w:rStyle w:val="FootnoteReference"/>
        </w:rPr>
        <w:footnoteReference w:id="6"/>
      </w:r>
    </w:p>
    <w:p w:rsidR="009512AC" w:rsidP="004A0F03" w:rsidRDefault="00A20D48" w14:paraId="0D7ADA0A" w14:textId="50EFE2E4">
      <w:pPr>
        <w:pStyle w:val="Standard"/>
      </w:pPr>
      <w:r>
        <w:t>Standard Practice U</w:t>
      </w:r>
      <w:r w:rsidR="00BC624B">
        <w:noBreakHyphen/>
      </w:r>
      <w:r>
        <w:t>27</w:t>
      </w:r>
      <w:r w:rsidR="00BC624B">
        <w:noBreakHyphen/>
      </w:r>
      <w:r w:rsidR="00763202">
        <w:t>W sets forth five elements for the establishment of memo accounts</w:t>
      </w:r>
      <w:r w:rsidR="00BD0E64">
        <w:t xml:space="preserve">, finding that memo accounts track costs that the Commission has directed </w:t>
      </w:r>
      <w:r w:rsidR="008E63EF">
        <w:t>or approved to be tracked</w:t>
      </w:r>
      <w:r w:rsidRPr="000C1C02" w:rsidR="000C1C02">
        <w:t xml:space="preserve"> due to events of an exceptional nature that</w:t>
      </w:r>
      <w:r w:rsidR="00F23481">
        <w:t>:</w:t>
      </w:r>
    </w:p>
    <w:p w:rsidR="008E63EF" w:rsidP="003F0CD2" w:rsidRDefault="008E63EF" w14:paraId="62ECBFFE" w14:textId="63AF2990">
      <w:pPr>
        <w:pStyle w:val="BlockQuoteH025"/>
        <w:numPr>
          <w:ilvl w:val="7"/>
          <w:numId w:val="1"/>
        </w:numPr>
      </w:pPr>
      <w:r>
        <w:t>are not under the utility</w:t>
      </w:r>
      <w:r w:rsidR="007A74F7">
        <w:t>’</w:t>
      </w:r>
      <w:r>
        <w:t>s control,</w:t>
      </w:r>
    </w:p>
    <w:p w:rsidR="008E63EF" w:rsidP="003F0CD2" w:rsidRDefault="008E63EF" w14:paraId="401E8B67" w14:textId="4180BC26">
      <w:pPr>
        <w:pStyle w:val="BlockQuoteH025"/>
        <w:numPr>
          <w:ilvl w:val="7"/>
          <w:numId w:val="1"/>
        </w:numPr>
      </w:pPr>
      <w:r>
        <w:t>could not have been reasonably foreseen in the utility</w:t>
      </w:r>
      <w:r w:rsidR="007A74F7">
        <w:t>’</w:t>
      </w:r>
      <w:r>
        <w:t xml:space="preserve">s last general </w:t>
      </w:r>
      <w:r w:rsidR="008F4D45">
        <w:t>rate case,</w:t>
      </w:r>
    </w:p>
    <w:p w:rsidR="008F4D45" w:rsidP="003F0CD2" w:rsidRDefault="008F4D45" w14:paraId="24715588" w14:textId="6D3E73CD">
      <w:pPr>
        <w:pStyle w:val="BlockQuoteH025"/>
        <w:numPr>
          <w:ilvl w:val="7"/>
          <w:numId w:val="1"/>
        </w:numPr>
      </w:pPr>
      <w:r>
        <w:t>that will occur before the utility</w:t>
      </w:r>
      <w:r w:rsidR="007A74F7">
        <w:t>’</w:t>
      </w:r>
      <w:r>
        <w:t>s next scheduled rate case,</w:t>
      </w:r>
    </w:p>
    <w:p w:rsidR="008F4D45" w:rsidP="003F0CD2" w:rsidRDefault="008F4D45" w14:paraId="48480541" w14:textId="505B04CC">
      <w:pPr>
        <w:pStyle w:val="BlockQuoteH025"/>
        <w:numPr>
          <w:ilvl w:val="7"/>
          <w:numId w:val="1"/>
        </w:numPr>
      </w:pPr>
      <w:r>
        <w:lastRenderedPageBreak/>
        <w:t>are of a substantial nature in that the amount of money involved is worth the effort of processing a memo account, and</w:t>
      </w:r>
    </w:p>
    <w:p w:rsidR="008F4D45" w:rsidP="003F0CD2" w:rsidRDefault="008F4D45" w14:paraId="33262939" w14:textId="1F1965C0">
      <w:pPr>
        <w:pStyle w:val="BlockQuoteH025"/>
        <w:numPr>
          <w:ilvl w:val="7"/>
          <w:numId w:val="1"/>
        </w:numPr>
      </w:pPr>
      <w:r>
        <w:t>have ratepayer benefits.</w:t>
      </w:r>
    </w:p>
    <w:p w:rsidR="00EA36C6" w:rsidP="004A0F03" w:rsidRDefault="007E2125" w14:paraId="11C1CA11" w14:textId="5067EFCC">
      <w:pPr>
        <w:pStyle w:val="Standard"/>
      </w:pPr>
      <w:r w:rsidRPr="007E2125">
        <w:t xml:space="preserve">The first standard </w:t>
      </w:r>
      <w:r w:rsidR="003E44EA">
        <w:t xml:space="preserve">element </w:t>
      </w:r>
      <w:r w:rsidRPr="007E2125">
        <w:t>in Standard Practice U</w:t>
      </w:r>
      <w:r w:rsidR="00BC624B">
        <w:noBreakHyphen/>
      </w:r>
      <w:r w:rsidRPr="007E2125">
        <w:t>27</w:t>
      </w:r>
      <w:r w:rsidR="00BC624B">
        <w:noBreakHyphen/>
      </w:r>
      <w:r w:rsidRPr="007E2125">
        <w:t>W is whether the expenses are caused by an exceptional event that is outside of the control of the utility</w:t>
      </w:r>
      <w:r w:rsidR="00EA36C6">
        <w:t>.</w:t>
      </w:r>
      <w:r w:rsidR="005C1478">
        <w:t xml:space="preserve"> As noted in its applicatio</w:t>
      </w:r>
      <w:r w:rsidR="003438CA">
        <w:t>n</w:t>
      </w:r>
      <w:r w:rsidR="00AE7901">
        <w:t>,</w:t>
      </w:r>
      <w:r w:rsidR="009A7AF3">
        <w:t xml:space="preserve"> SAP will discontinue maintenance of certain longstanding </w:t>
      </w:r>
      <w:r w:rsidR="00FC6B62">
        <w:t>ERP applications at the end of 2027.</w:t>
      </w:r>
      <w:r w:rsidR="00FC6B62">
        <w:rPr>
          <w:rStyle w:val="FootnoteReference"/>
        </w:rPr>
        <w:footnoteReference w:id="7"/>
      </w:r>
      <w:r w:rsidR="00AE7901">
        <w:t xml:space="preserve"> </w:t>
      </w:r>
      <w:r w:rsidR="001811D3">
        <w:t>Sempra, along with other investor</w:t>
      </w:r>
      <w:r w:rsidR="00BC624B">
        <w:noBreakHyphen/>
      </w:r>
      <w:r w:rsidR="001811D3">
        <w:t>owned utilities</w:t>
      </w:r>
      <w:r w:rsidR="008C10AF">
        <w:t xml:space="preserve"> and companies, </w:t>
      </w:r>
      <w:r w:rsidR="00984646">
        <w:t>are experienced utilities that should be able to plan for and</w:t>
      </w:r>
      <w:r w:rsidR="008C10AF">
        <w:t xml:space="preserve"> </w:t>
      </w:r>
      <w:r w:rsidR="00984646">
        <w:t>manage the migration of its</w:t>
      </w:r>
      <w:r w:rsidR="008C10AF">
        <w:t xml:space="preserve"> supported systems in order to maintain essential ERP functionality.</w:t>
      </w:r>
      <w:r w:rsidR="008C10AF">
        <w:rPr>
          <w:rStyle w:val="FootnoteReference"/>
        </w:rPr>
        <w:footnoteReference w:id="8"/>
      </w:r>
      <w:r w:rsidR="00215FA4">
        <w:t xml:space="preserve"> </w:t>
      </w:r>
      <w:r w:rsidR="00984646">
        <w:t>Therefore, w</w:t>
      </w:r>
      <w:r w:rsidR="00215FA4">
        <w:t xml:space="preserve">e do </w:t>
      </w:r>
      <w:r w:rsidR="00354AE0">
        <w:t xml:space="preserve">not </w:t>
      </w:r>
      <w:r w:rsidR="00215FA4">
        <w:t xml:space="preserve">find that this discontinuance of SAP ERP applications is </w:t>
      </w:r>
      <w:r w:rsidR="003931DB">
        <w:t>an exceptional event outside Sempra</w:t>
      </w:r>
      <w:r w:rsidR="007A74F7">
        <w:t>’</w:t>
      </w:r>
      <w:r w:rsidR="003931DB">
        <w:t>s control</w:t>
      </w:r>
      <w:r w:rsidRPr="005C6146" w:rsidR="005C6146">
        <w:t>, although SAP’s business decisions do influence the situation.</w:t>
      </w:r>
    </w:p>
    <w:p w:rsidR="003931DB" w:rsidP="004A0F03" w:rsidRDefault="00FD6155" w14:paraId="7EDE2022" w14:textId="4DDB5AEA">
      <w:pPr>
        <w:pStyle w:val="Standard"/>
      </w:pPr>
      <w:r w:rsidRPr="00FD6155">
        <w:t xml:space="preserve">The second </w:t>
      </w:r>
      <w:r w:rsidR="0006708B">
        <w:t>element</w:t>
      </w:r>
      <w:r w:rsidRPr="00FD6155">
        <w:t xml:space="preserve"> in Standard Practice U</w:t>
      </w:r>
      <w:r w:rsidR="00BC624B">
        <w:noBreakHyphen/>
      </w:r>
      <w:r w:rsidRPr="00FD6155">
        <w:t>27</w:t>
      </w:r>
      <w:r w:rsidR="00BC624B">
        <w:noBreakHyphen/>
      </w:r>
      <w:r w:rsidRPr="00FD6155">
        <w:t>W is if expenses could not have been reasonably foreseen in the utility</w:t>
      </w:r>
      <w:r w:rsidR="007A74F7">
        <w:t>’</w:t>
      </w:r>
      <w:r w:rsidRPr="00FD6155">
        <w:t>s last GRC.</w:t>
      </w:r>
      <w:r w:rsidR="00C5498A">
        <w:t xml:space="preserve"> Here, </w:t>
      </w:r>
      <w:r w:rsidR="00FD1515">
        <w:t xml:space="preserve">while </w:t>
      </w:r>
      <w:r w:rsidR="00C5498A">
        <w:t xml:space="preserve">Sempra foresaw the need </w:t>
      </w:r>
      <w:r w:rsidR="00C724C9">
        <w:t xml:space="preserve">to migrate its SAP ERP applications </w:t>
      </w:r>
      <w:r w:rsidR="007D0CB1">
        <w:t>in its last GRC application,</w:t>
      </w:r>
      <w:r w:rsidR="005B5937">
        <w:t xml:space="preserve"> the costs it requested in its last GR</w:t>
      </w:r>
      <w:r w:rsidR="000D23CF">
        <w:t>C only covered the costs for Phase</w:t>
      </w:r>
      <w:r w:rsidR="00DC50A7">
        <w:t> </w:t>
      </w:r>
      <w:r w:rsidR="000D23CF">
        <w:t>1A of the SAP Migration Project.</w:t>
      </w:r>
      <w:r w:rsidR="008F312F">
        <w:rPr>
          <w:rStyle w:val="FootnoteReference"/>
        </w:rPr>
        <w:footnoteReference w:id="9"/>
      </w:r>
      <w:r w:rsidR="006A4DBB">
        <w:t xml:space="preserve"> </w:t>
      </w:r>
      <w:r w:rsidR="00521331">
        <w:t xml:space="preserve">Further, </w:t>
      </w:r>
      <w:r w:rsidR="00784E07">
        <w:t xml:space="preserve">Sempra states that </w:t>
      </w:r>
      <w:r w:rsidR="00521331">
        <w:t>s</w:t>
      </w:r>
      <w:r w:rsidR="006A4DBB">
        <w:t xml:space="preserve">ubsequent to that </w:t>
      </w:r>
      <w:r w:rsidR="00784E07">
        <w:t xml:space="preserve">GRC filing, </w:t>
      </w:r>
      <w:r w:rsidR="00D4363F">
        <w:t xml:space="preserve">Sempra determined </w:t>
      </w:r>
      <w:r w:rsidR="00880E51">
        <w:t>to pursue a scaled down migration of their ERP, rather than a full transformation</w:t>
      </w:r>
      <w:r w:rsidR="00D018CB">
        <w:t xml:space="preserve">, which necessitated </w:t>
      </w:r>
      <w:r w:rsidR="00665B59">
        <w:t xml:space="preserve">the </w:t>
      </w:r>
      <w:r w:rsidR="00D018CB">
        <w:t>Phase</w:t>
      </w:r>
      <w:r w:rsidR="00DC50A7">
        <w:t> </w:t>
      </w:r>
      <w:r w:rsidR="00D018CB">
        <w:t>1B</w:t>
      </w:r>
      <w:r w:rsidR="00665B59">
        <w:t xml:space="preserve"> costs</w:t>
      </w:r>
      <w:r w:rsidR="00D018CB">
        <w:t>.</w:t>
      </w:r>
      <w:r w:rsidR="00521331">
        <w:rPr>
          <w:rStyle w:val="FootnoteReference"/>
        </w:rPr>
        <w:footnoteReference w:id="10"/>
      </w:r>
      <w:r w:rsidR="00665B59">
        <w:t xml:space="preserve"> Therefore, the Phase</w:t>
      </w:r>
      <w:r w:rsidR="00DC50A7">
        <w:t> </w:t>
      </w:r>
      <w:r w:rsidR="00665B59">
        <w:t xml:space="preserve">1B </w:t>
      </w:r>
      <w:r w:rsidR="003453FE">
        <w:t>costs could not have been reasonably foreseen in the last GRC.</w:t>
      </w:r>
    </w:p>
    <w:p w:rsidR="009B69B3" w:rsidP="004A0F03" w:rsidRDefault="006E608E" w14:paraId="17350FFA" w14:textId="15A30442">
      <w:pPr>
        <w:pStyle w:val="Standard"/>
      </w:pPr>
      <w:r>
        <w:lastRenderedPageBreak/>
        <w:t>Cal Advoc</w:t>
      </w:r>
      <w:r w:rsidR="00ED615D">
        <w:t>ates argues that the Commission should deny Sempra</w:t>
      </w:r>
      <w:r w:rsidR="007A74F7">
        <w:t>’</w:t>
      </w:r>
      <w:r w:rsidR="00ED615D">
        <w:t xml:space="preserve">s request for the </w:t>
      </w:r>
      <w:r w:rsidR="005C33D2">
        <w:t>SAPMMA</w:t>
      </w:r>
      <w:r w:rsidR="005E2E00">
        <w:t xml:space="preserve"> </w:t>
      </w:r>
      <w:r w:rsidR="0089480C">
        <w:t>because</w:t>
      </w:r>
      <w:r w:rsidR="004A08F1">
        <w:t xml:space="preserve"> the Commission already considered the reasonableness of the SAP Migration Program costs in D.24</w:t>
      </w:r>
      <w:r w:rsidR="00BC624B">
        <w:noBreakHyphen/>
      </w:r>
      <w:r w:rsidR="004A08F1">
        <w:t>12</w:t>
      </w:r>
      <w:r w:rsidR="00BC624B">
        <w:noBreakHyphen/>
      </w:r>
      <w:r w:rsidR="004A08F1">
        <w:t xml:space="preserve">074 and found </w:t>
      </w:r>
      <w:r w:rsidR="00C62B41">
        <w:t>Sempra</w:t>
      </w:r>
      <w:r w:rsidR="007A74F7">
        <w:t>’</w:t>
      </w:r>
      <w:r w:rsidR="00C62B41">
        <w:t>s estimates to be inadequately supported.</w:t>
      </w:r>
      <w:r w:rsidR="00C62B41">
        <w:rPr>
          <w:rStyle w:val="FootnoteReference"/>
        </w:rPr>
        <w:footnoteReference w:id="11"/>
      </w:r>
      <w:r w:rsidR="00971450">
        <w:t xml:space="preserve"> </w:t>
      </w:r>
      <w:r>
        <w:t>Cal Advoc</w:t>
      </w:r>
      <w:r w:rsidR="00993DA5">
        <w:t xml:space="preserve">ates also suggests that </w:t>
      </w:r>
      <w:r w:rsidR="003058B1">
        <w:t xml:space="preserve">the memorandum account should be denied </w:t>
      </w:r>
      <w:r w:rsidR="00037893">
        <w:t xml:space="preserve">because the estimated costs for the SAP Migration Program </w:t>
      </w:r>
      <w:r w:rsidR="00EF6ECA">
        <w:t xml:space="preserve">that </w:t>
      </w:r>
      <w:r w:rsidR="00037893">
        <w:t xml:space="preserve">Sempra now requests are </w:t>
      </w:r>
      <w:r w:rsidR="00691B65">
        <w:t>much higher than the costs requested</w:t>
      </w:r>
      <w:r w:rsidR="003058B1">
        <w:t xml:space="preserve"> in the 2024 GRC.</w:t>
      </w:r>
      <w:r w:rsidR="003058B1">
        <w:rPr>
          <w:rStyle w:val="FootnoteReference"/>
        </w:rPr>
        <w:footnoteReference w:id="12"/>
      </w:r>
      <w:r w:rsidR="003058B1">
        <w:t xml:space="preserve"> </w:t>
      </w:r>
      <w:r w:rsidR="00971450">
        <w:t xml:space="preserve">We disagree. </w:t>
      </w:r>
      <w:r w:rsidR="00560391">
        <w:t>D.24</w:t>
      </w:r>
      <w:r w:rsidR="00BC624B">
        <w:noBreakHyphen/>
      </w:r>
      <w:r w:rsidR="009B69B3">
        <w:t>12</w:t>
      </w:r>
      <w:r w:rsidR="00BC624B">
        <w:noBreakHyphen/>
      </w:r>
      <w:r w:rsidR="009B69B3">
        <w:t xml:space="preserve">074 declined to </w:t>
      </w:r>
      <w:r w:rsidR="00342DA3">
        <w:t>grant Sempra</w:t>
      </w:r>
      <w:r w:rsidR="007A74F7">
        <w:t>’</w:t>
      </w:r>
      <w:r w:rsidR="00342DA3">
        <w:t xml:space="preserve">s full request for funding based on </w:t>
      </w:r>
      <w:r w:rsidR="00C72F61">
        <w:t xml:space="preserve">the </w:t>
      </w:r>
      <w:r w:rsidR="00342DA3">
        <w:t xml:space="preserve">lack of </w:t>
      </w:r>
      <w:r w:rsidR="00C72F61">
        <w:t xml:space="preserve">record </w:t>
      </w:r>
      <w:r w:rsidR="00342DA3">
        <w:t xml:space="preserve">support. The Commission did not prohibit </w:t>
      </w:r>
      <w:r w:rsidR="00756002">
        <w:t xml:space="preserve">Sempra from requesting additional funding for the </w:t>
      </w:r>
      <w:r w:rsidR="00BB340C">
        <w:t>program</w:t>
      </w:r>
      <w:r w:rsidR="00756002">
        <w:t xml:space="preserve"> in the future. Moreover, we </w:t>
      </w:r>
      <w:r w:rsidR="007D71BE">
        <w:t>emphasize</w:t>
      </w:r>
      <w:r w:rsidR="00756002">
        <w:t xml:space="preserve"> that this decision in no way authorizes Sempra to recover the costs in the memorandum account or </w:t>
      </w:r>
      <w:r w:rsidR="003C4293">
        <w:t xml:space="preserve">makes any finding as to the reasonableness of the </w:t>
      </w:r>
      <w:r w:rsidR="00993DA5">
        <w:t>Sempra</w:t>
      </w:r>
      <w:r w:rsidR="007A74F7">
        <w:t>’</w:t>
      </w:r>
      <w:r w:rsidR="00993DA5">
        <w:t xml:space="preserve">s estimated costs for the SAP Migration </w:t>
      </w:r>
      <w:r w:rsidR="00BB340C">
        <w:t>Program</w:t>
      </w:r>
      <w:r w:rsidR="00993DA5">
        <w:t>.</w:t>
      </w:r>
    </w:p>
    <w:p w:rsidR="007D71BE" w:rsidP="004A0F03" w:rsidRDefault="00CB550D" w14:paraId="0D3E5450" w14:textId="4667C7FF">
      <w:pPr>
        <w:pStyle w:val="Standard"/>
      </w:pPr>
      <w:r w:rsidRPr="00CB550D">
        <w:t xml:space="preserve">The third </w:t>
      </w:r>
      <w:r w:rsidR="0006708B">
        <w:t>element</w:t>
      </w:r>
      <w:r w:rsidRPr="00CB550D">
        <w:t xml:space="preserve"> in Standard Practice U</w:t>
      </w:r>
      <w:r w:rsidR="00BC624B">
        <w:noBreakHyphen/>
      </w:r>
      <w:r w:rsidRPr="00CB550D">
        <w:t>27</w:t>
      </w:r>
      <w:r w:rsidR="00BC624B">
        <w:noBreakHyphen/>
      </w:r>
      <w:r w:rsidRPr="00CB550D">
        <w:t>W is whether the expense will occur before the utility</w:t>
      </w:r>
      <w:r w:rsidR="007A74F7">
        <w:t>’</w:t>
      </w:r>
      <w:r w:rsidRPr="00CB550D">
        <w:t>s next scheduled rate case.</w:t>
      </w:r>
      <w:r>
        <w:t xml:space="preserve"> </w:t>
      </w:r>
      <w:r w:rsidR="00425CF3">
        <w:t xml:space="preserve">In its motion, Sempra states that </w:t>
      </w:r>
      <w:r w:rsidR="00AF3D38">
        <w:t xml:space="preserve">it </w:t>
      </w:r>
      <w:r w:rsidR="00A359BC">
        <w:t xml:space="preserve">must commence work on the next phase of the SAP Migration </w:t>
      </w:r>
      <w:r w:rsidR="00BB340C">
        <w:t>Program</w:t>
      </w:r>
      <w:r w:rsidR="00A359BC">
        <w:t xml:space="preserve"> (</w:t>
      </w:r>
      <w:r w:rsidR="00DE2597">
        <w:t>Phase </w:t>
      </w:r>
      <w:r w:rsidR="00A359BC">
        <w:t xml:space="preserve">1B) </w:t>
      </w:r>
      <w:r w:rsidR="000C5B6A">
        <w:t xml:space="preserve">without delay </w:t>
      </w:r>
      <w:r w:rsidR="00916500">
        <w:t xml:space="preserve">so that </w:t>
      </w:r>
      <w:r w:rsidR="00E9772B">
        <w:t xml:space="preserve">Sempra can successfully migrate </w:t>
      </w:r>
      <w:r w:rsidR="000A6F10">
        <w:t xml:space="preserve">its SAP systems ahead of the </w:t>
      </w:r>
      <w:r w:rsidR="00795FF2">
        <w:t>December </w:t>
      </w:r>
      <w:r w:rsidR="000A6F10">
        <w:t xml:space="preserve">31, </w:t>
      </w:r>
      <w:r w:rsidR="00795FF2">
        <w:t xml:space="preserve">2027, </w:t>
      </w:r>
      <w:r w:rsidR="000A6F10">
        <w:t>when its current SAP ERP platform bec</w:t>
      </w:r>
      <w:r w:rsidR="00476277">
        <w:t>omes</w:t>
      </w:r>
      <w:r w:rsidR="000A6F10">
        <w:t xml:space="preserve"> unsupported.</w:t>
      </w:r>
      <w:r w:rsidR="00476277">
        <w:rPr>
          <w:rStyle w:val="FootnoteReference"/>
        </w:rPr>
        <w:footnoteReference w:id="13"/>
      </w:r>
      <w:r w:rsidR="000A6F10">
        <w:t xml:space="preserve"> Sempra states </w:t>
      </w:r>
      <w:r w:rsidR="00C84E14">
        <w:t xml:space="preserve">that failing to begin work now </w:t>
      </w:r>
      <w:r w:rsidR="00DC0D75">
        <w:t>could</w:t>
      </w:r>
      <w:r w:rsidR="00C84E14">
        <w:t xml:space="preserve"> delay work on later phases and </w:t>
      </w:r>
      <w:r w:rsidR="00DC0D75">
        <w:t>could result in significant risks and increased costs if the</w:t>
      </w:r>
      <w:r w:rsidR="00476277">
        <w:t xml:space="preserve"> migration is not completed prior to the end of 2027.</w:t>
      </w:r>
      <w:r w:rsidR="00F852E1">
        <w:rPr>
          <w:rStyle w:val="FootnoteReference"/>
        </w:rPr>
        <w:footnoteReference w:id="14"/>
      </w:r>
      <w:r w:rsidR="00E01229">
        <w:t xml:space="preserve"> We </w:t>
      </w:r>
      <w:r w:rsidR="009A4962">
        <w:t xml:space="preserve">find that </w:t>
      </w:r>
      <w:r w:rsidR="009A4962">
        <w:lastRenderedPageBreak/>
        <w:t xml:space="preserve">due to the </w:t>
      </w:r>
      <w:r w:rsidR="0026255D">
        <w:t>operational, compliance, and cybersecurity risks</w:t>
      </w:r>
      <w:r w:rsidR="000B5CEB">
        <w:t xml:space="preserve"> as well as increased costs that could accrue in the event that this migration is not completed prior to the end of 2027,</w:t>
      </w:r>
      <w:r w:rsidR="002B1633">
        <w:t xml:space="preserve"> that it is important for Sempra to incur these costs prior to its next GRC</w:t>
      </w:r>
      <w:r w:rsidR="00EF6ECA">
        <w:t xml:space="preserve">, </w:t>
      </w:r>
      <w:r w:rsidR="005C686F">
        <w:t>subject to future reasonableness review</w:t>
      </w:r>
      <w:r w:rsidR="002B1633">
        <w:t>.</w:t>
      </w:r>
    </w:p>
    <w:p w:rsidR="002B1633" w:rsidP="004A0F03" w:rsidRDefault="00BD17B6" w14:paraId="156C6C67" w14:textId="6EC3F0E4">
      <w:pPr>
        <w:pStyle w:val="Standard"/>
      </w:pPr>
      <w:r w:rsidRPr="00BD17B6">
        <w:t xml:space="preserve">The fourth </w:t>
      </w:r>
      <w:r w:rsidR="0006708B">
        <w:t>element</w:t>
      </w:r>
      <w:r w:rsidRPr="00BD17B6">
        <w:t xml:space="preserve"> in Standard Practice U</w:t>
      </w:r>
      <w:r w:rsidR="00BC624B">
        <w:noBreakHyphen/>
      </w:r>
      <w:r w:rsidRPr="00BD17B6">
        <w:t>27</w:t>
      </w:r>
      <w:r w:rsidR="00BC624B">
        <w:noBreakHyphen/>
      </w:r>
      <w:r w:rsidRPr="00BD17B6">
        <w:t>W is whether the substantial amount of money involved is worth the effort of processing a memo account.</w:t>
      </w:r>
      <w:r w:rsidR="006F79A1">
        <w:t xml:space="preserve"> In its application, Sempra states that </w:t>
      </w:r>
      <w:r w:rsidR="000F3BE4">
        <w:t xml:space="preserve">the </w:t>
      </w:r>
      <w:r w:rsidRPr="00FB71D2" w:rsidR="00C61394">
        <w:t xml:space="preserve">forecasted costs of </w:t>
      </w:r>
      <w:r w:rsidR="00DE2597">
        <w:t>Phase </w:t>
      </w:r>
      <w:r w:rsidRPr="00FB71D2" w:rsidR="00FB71D2">
        <w:t>1B of the program total</w:t>
      </w:r>
      <w:r w:rsidR="00E47A83">
        <w:t xml:space="preserve"> approximately</w:t>
      </w:r>
      <w:r w:rsidRPr="00FB71D2" w:rsidR="00717E45">
        <w:t xml:space="preserve"> </w:t>
      </w:r>
      <w:r w:rsidR="007B2F52">
        <w:t>$</w:t>
      </w:r>
      <w:r w:rsidRPr="00FB71D2" w:rsidR="00717E45">
        <w:t>1</w:t>
      </w:r>
      <w:r w:rsidRPr="00FB71D2" w:rsidR="00FB71D2">
        <w:t>3.7</w:t>
      </w:r>
      <w:r w:rsidR="007B2F52">
        <w:t> million</w:t>
      </w:r>
      <w:r w:rsidRPr="00FB71D2" w:rsidR="00067617">
        <w:t>.</w:t>
      </w:r>
      <w:r w:rsidRPr="00FB71D2" w:rsidR="00067617">
        <w:rPr>
          <w:rStyle w:val="FootnoteReference"/>
        </w:rPr>
        <w:footnoteReference w:id="15"/>
      </w:r>
      <w:r w:rsidRPr="00FB71D2" w:rsidR="008E0142">
        <w:t xml:space="preserve"> We find</w:t>
      </w:r>
      <w:r w:rsidR="008E0142">
        <w:t xml:space="preserve"> these </w:t>
      </w:r>
      <w:r w:rsidR="00066266">
        <w:t xml:space="preserve">forecasted </w:t>
      </w:r>
      <w:r w:rsidR="008E0142">
        <w:t>costs to be sub</w:t>
      </w:r>
      <w:r w:rsidR="00326079">
        <w:t xml:space="preserve">stantial and therefore tracking these costs in </w:t>
      </w:r>
      <w:r w:rsidR="00C72F61">
        <w:t xml:space="preserve">a </w:t>
      </w:r>
      <w:r w:rsidR="00326079">
        <w:t>memorandum account is reasonable.</w:t>
      </w:r>
    </w:p>
    <w:p w:rsidR="00326079" w:rsidP="000A43DF" w:rsidRDefault="00AE7A32" w14:paraId="7D81DF8C" w14:textId="363DA31E">
      <w:pPr>
        <w:pStyle w:val="Standard"/>
      </w:pPr>
      <w:r w:rsidRPr="00AE7A32">
        <w:t xml:space="preserve">The fifth </w:t>
      </w:r>
      <w:r w:rsidR="0006708B">
        <w:t>element</w:t>
      </w:r>
      <w:r w:rsidRPr="00AE7A32">
        <w:t xml:space="preserve"> in Standard Practice U</w:t>
      </w:r>
      <w:r w:rsidR="00BC624B">
        <w:noBreakHyphen/>
      </w:r>
      <w:r w:rsidRPr="00AE7A32">
        <w:t>27</w:t>
      </w:r>
      <w:r w:rsidR="00BC624B">
        <w:noBreakHyphen/>
      </w:r>
      <w:r w:rsidRPr="00AE7A32">
        <w:t>W is whether the costs sought to be tracked will have ratepayer benefits.</w:t>
      </w:r>
      <w:r w:rsidR="006F2A02">
        <w:t xml:space="preserve"> </w:t>
      </w:r>
      <w:r w:rsidR="00E53257">
        <w:t xml:space="preserve">In its application, </w:t>
      </w:r>
      <w:r w:rsidR="006F2A02">
        <w:t>Sempra states that</w:t>
      </w:r>
      <w:r w:rsidR="00CB0199">
        <w:t xml:space="preserve"> beginning the next phases of work for the SAP </w:t>
      </w:r>
      <w:r w:rsidR="00BB340C">
        <w:t>M</w:t>
      </w:r>
      <w:r w:rsidR="00CB0199">
        <w:t xml:space="preserve">igration </w:t>
      </w:r>
      <w:r w:rsidR="00BB340C">
        <w:t>Program</w:t>
      </w:r>
      <w:r w:rsidR="00CB0199">
        <w:t xml:space="preserve"> promptly is necessary to avoid adverse impacts</w:t>
      </w:r>
      <w:r w:rsidR="00232676">
        <w:t xml:space="preserve"> stemming from ERP obsolescence including </w:t>
      </w:r>
      <w:r w:rsidR="00C37D73">
        <w:t xml:space="preserve">operational, compliance and </w:t>
      </w:r>
      <w:r w:rsidR="001227B7">
        <w:t>cybersecurity risks.</w:t>
      </w:r>
      <w:r w:rsidR="00C37D73">
        <w:rPr>
          <w:rStyle w:val="FootnoteReference"/>
        </w:rPr>
        <w:footnoteReference w:id="16"/>
      </w:r>
      <w:r w:rsidR="0042501C">
        <w:t xml:space="preserve"> </w:t>
      </w:r>
      <w:r w:rsidR="001364EE">
        <w:t>We decline to address this element in this decision. The final decision in this proceeding will make a final determination on ratepayer benefits.</w:t>
      </w:r>
    </w:p>
    <w:p w:rsidR="00556D79" w:rsidP="004A0F03" w:rsidRDefault="00F642F3" w14:paraId="79B10B92" w14:textId="672F592C">
      <w:pPr>
        <w:pStyle w:val="Standard"/>
      </w:pPr>
      <w:r>
        <w:t xml:space="preserve">After considering the criteria set forth in </w:t>
      </w:r>
      <w:r w:rsidRPr="00AE7A32">
        <w:t>Standard Practice U</w:t>
      </w:r>
      <w:r w:rsidR="00A165B4">
        <w:noBreakHyphen/>
      </w:r>
      <w:r w:rsidRPr="00AE7A32">
        <w:t>27</w:t>
      </w:r>
      <w:r w:rsidR="00A165B4">
        <w:noBreakHyphen/>
      </w:r>
      <w:r w:rsidRPr="00AE7A32">
        <w:t>W</w:t>
      </w:r>
      <w:r>
        <w:t>, we find th</w:t>
      </w:r>
      <w:r w:rsidR="0082225A">
        <w:t xml:space="preserve">at </w:t>
      </w:r>
      <w:r w:rsidR="00FD2592">
        <w:t xml:space="preserve">establishing the SAPMMA is reasonable because </w:t>
      </w:r>
      <w:r w:rsidR="0082225A">
        <w:t xml:space="preserve">the </w:t>
      </w:r>
      <w:r w:rsidR="00C363FB">
        <w:t xml:space="preserve">costs stemming from the SAP Migration Program meet </w:t>
      </w:r>
      <w:r w:rsidR="00FB71D2">
        <w:t>three</w:t>
      </w:r>
      <w:r w:rsidR="00C363FB">
        <w:t xml:space="preserve"> out of the five factors. </w:t>
      </w:r>
      <w:r w:rsidR="005720DF">
        <w:t xml:space="preserve">Moreover, </w:t>
      </w:r>
      <w:r w:rsidR="00B12D52">
        <w:t>we find, as the Commission did in</w:t>
      </w:r>
      <w:r w:rsidRPr="005244DE" w:rsidR="00B12D52">
        <w:t xml:space="preserve"> </w:t>
      </w:r>
      <w:r w:rsidR="00B12D52">
        <w:t>D.24</w:t>
      </w:r>
      <w:r w:rsidR="00B12D52">
        <w:noBreakHyphen/>
        <w:t>12</w:t>
      </w:r>
      <w:r w:rsidR="00B12D52">
        <w:noBreakHyphen/>
        <w:t>074,</w:t>
      </w:r>
      <w:r w:rsidR="00B12D52">
        <w:rPr>
          <w:rStyle w:val="FootnoteReference"/>
        </w:rPr>
        <w:footnoteReference w:id="17"/>
      </w:r>
      <w:r w:rsidR="00B12D52">
        <w:t xml:space="preserve"> that the SAP ERP platform provides a critical role in Sempra’s day</w:t>
      </w:r>
      <w:r w:rsidR="00B12D52">
        <w:noBreakHyphen/>
        <w:t>to</w:t>
      </w:r>
      <w:r w:rsidR="00B12D52">
        <w:noBreakHyphen/>
        <w:t xml:space="preserve">day operations. </w:t>
      </w:r>
      <w:r w:rsidR="00953D72">
        <w:t>Therefore,</w:t>
      </w:r>
      <w:r w:rsidR="009F5EC0">
        <w:t xml:space="preserve"> we find </w:t>
      </w:r>
      <w:r w:rsidR="009F5EC0">
        <w:lastRenderedPageBreak/>
        <w:t>that</w:t>
      </w:r>
      <w:r w:rsidR="009721AF">
        <w:t xml:space="preserve"> delaying implementation of the SAP Migration Program could have adverse impacts on ratepayers, and</w:t>
      </w:r>
      <w:r w:rsidR="009F5EC0">
        <w:t xml:space="preserve"> establishing the SAPMMA is in the public interest.</w:t>
      </w:r>
    </w:p>
    <w:p w:rsidR="00803C57" w:rsidP="00FD2592" w:rsidRDefault="001B1D36" w14:paraId="3AD29C67" w14:textId="77777777">
      <w:pPr>
        <w:pStyle w:val="Heading2"/>
      </w:pPr>
      <w:bookmarkStart w:name="_Toc239862456" w:id="10"/>
      <w:r>
        <w:t>Scope of Costs</w:t>
      </w:r>
      <w:bookmarkEnd w:id="10"/>
    </w:p>
    <w:p w:rsidR="00803C57" w:rsidP="000F4C0D" w:rsidRDefault="000F4C0D" w14:paraId="36BEC208" w14:textId="49694897">
      <w:pPr>
        <w:pStyle w:val="Standard"/>
      </w:pPr>
      <w:r>
        <w:t xml:space="preserve">We next consider what the scope of costs permitted to be recorded to the SAPMMA should be. </w:t>
      </w:r>
      <w:r w:rsidR="00494696">
        <w:t xml:space="preserve">In its motion, Sempra requests to record </w:t>
      </w:r>
      <w:r w:rsidR="00C43A70">
        <w:t xml:space="preserve">costs associated with </w:t>
      </w:r>
      <w:r w:rsidR="00DE2597">
        <w:t>Phase </w:t>
      </w:r>
      <w:r w:rsidR="00C43A70">
        <w:t>1B activities</w:t>
      </w:r>
      <w:r w:rsidR="00AC3BA4">
        <w:t xml:space="preserve"> from the SAP Migration Program, totaling approximately $13.7</w:t>
      </w:r>
      <w:r w:rsidR="007B2F52">
        <w:t> million</w:t>
      </w:r>
      <w:r w:rsidR="00AC3BA4">
        <w:t>.</w:t>
      </w:r>
      <w:r w:rsidR="00CF7A01">
        <w:rPr>
          <w:rStyle w:val="FootnoteReference"/>
        </w:rPr>
        <w:footnoteReference w:id="18"/>
      </w:r>
      <w:r w:rsidR="00AC3BA4">
        <w:t xml:space="preserve"> </w:t>
      </w:r>
      <w:r w:rsidR="00150AC0">
        <w:t xml:space="preserve">Sempra explains </w:t>
      </w:r>
      <w:r w:rsidR="001D7B1F">
        <w:t>Phase </w:t>
      </w:r>
      <w:r w:rsidR="00150AC0">
        <w:t>1B activities consist of the operation and maintenance activities to support the migration from SAP ERP ECC to S/4HANA.</w:t>
      </w:r>
      <w:r w:rsidR="00150AC0">
        <w:rPr>
          <w:rStyle w:val="FootnoteReference"/>
        </w:rPr>
        <w:footnoteReference w:id="19"/>
      </w:r>
      <w:r w:rsidR="00150AC0">
        <w:t xml:space="preserve"> </w:t>
      </w:r>
      <w:r w:rsidR="001D7B1F">
        <w:t>Phase </w:t>
      </w:r>
      <w:r w:rsidRPr="00B3037C" w:rsidR="00150AC0">
        <w:t xml:space="preserve">1B also includes forecasted costs to be incurred in 2027 to conduct a competitive solicitation process for </w:t>
      </w:r>
      <w:r w:rsidR="001D7B1F">
        <w:t>Phase </w:t>
      </w:r>
      <w:r w:rsidRPr="00B3037C" w:rsidR="00150AC0">
        <w:t xml:space="preserve">2 activities (although no contracts will be executed prior to receiving a final decision in this proceeding authorizing costs for </w:t>
      </w:r>
      <w:r w:rsidR="001D7B1F">
        <w:t>Phase </w:t>
      </w:r>
      <w:r w:rsidRPr="00B3037C" w:rsidR="00150AC0">
        <w:t>2 activities).</w:t>
      </w:r>
      <w:r w:rsidR="007E0008">
        <w:rPr>
          <w:rStyle w:val="FootnoteReference"/>
        </w:rPr>
        <w:footnoteReference w:id="20"/>
      </w:r>
      <w:r w:rsidRPr="00B3037C" w:rsidR="00150AC0">
        <w:t xml:space="preserve"> </w:t>
      </w:r>
      <w:r w:rsidR="00103522">
        <w:t xml:space="preserve">Sempra </w:t>
      </w:r>
      <w:r w:rsidR="004B44F4">
        <w:t xml:space="preserve">also states in its application that </w:t>
      </w:r>
      <w:r w:rsidR="007B7A4D">
        <w:t>due to the need to implement the SAP Migration Program prio</w:t>
      </w:r>
      <w:r w:rsidR="007E052F">
        <w:t>r to SAP ceasing to provide support for Sempra</w:t>
      </w:r>
      <w:r w:rsidR="007A74F7">
        <w:t>’</w:t>
      </w:r>
      <w:r w:rsidR="007E052F">
        <w:t xml:space="preserve">s legacy ERP at the end of 2027, Sempra </w:t>
      </w:r>
      <w:r w:rsidR="007B7A4D">
        <w:t xml:space="preserve">plans to deploy </w:t>
      </w:r>
      <w:r w:rsidR="00DE2597">
        <w:t>Phase </w:t>
      </w:r>
      <w:r w:rsidR="007B7A4D">
        <w:t xml:space="preserve">1 by May </w:t>
      </w:r>
      <w:r w:rsidR="00795FF2">
        <w:t xml:space="preserve">2027, </w:t>
      </w:r>
      <w:r w:rsidR="007E052F">
        <w:t xml:space="preserve">and </w:t>
      </w:r>
      <w:r w:rsidR="006C2D1C">
        <w:t xml:space="preserve">commence </w:t>
      </w:r>
      <w:r w:rsidR="00DE2597">
        <w:t>Phase </w:t>
      </w:r>
      <w:r w:rsidR="006C2D1C">
        <w:t xml:space="preserve">2 activities as soon as </w:t>
      </w:r>
      <w:r w:rsidR="005C686F">
        <w:t xml:space="preserve">it </w:t>
      </w:r>
      <w:r w:rsidR="006C2D1C">
        <w:t>receive</w:t>
      </w:r>
      <w:r w:rsidR="005C686F">
        <w:t>s</w:t>
      </w:r>
      <w:r w:rsidR="006C2D1C">
        <w:t xml:space="preserve"> a </w:t>
      </w:r>
      <w:r w:rsidR="005C686F">
        <w:t xml:space="preserve">final </w:t>
      </w:r>
      <w:r w:rsidR="006C2D1C">
        <w:t>decision</w:t>
      </w:r>
      <w:r w:rsidR="005815CC">
        <w:t xml:space="preserve"> on the remaining issues in this proceeding</w:t>
      </w:r>
      <w:r w:rsidR="004D7092">
        <w:t>.</w:t>
      </w:r>
      <w:r w:rsidR="004245F3">
        <w:rPr>
          <w:rStyle w:val="FootnoteReference"/>
        </w:rPr>
        <w:footnoteReference w:id="21"/>
      </w:r>
    </w:p>
    <w:p w:rsidR="005C1EF2" w:rsidP="005370B0" w:rsidRDefault="001E1067" w14:paraId="4273B21F" w14:textId="53B7FC36">
      <w:pPr>
        <w:pStyle w:val="Standard"/>
      </w:pPr>
      <w:r>
        <w:t xml:space="preserve">As we discuss above, we </w:t>
      </w:r>
      <w:r w:rsidR="00B261B4">
        <w:t>find that the SAP ERP platform</w:t>
      </w:r>
      <w:r w:rsidRPr="00B261B4" w:rsidR="00B261B4">
        <w:t xml:space="preserve"> </w:t>
      </w:r>
      <w:r w:rsidR="00B261B4">
        <w:t>provides a critical role in Sempra</w:t>
      </w:r>
      <w:r w:rsidR="007A74F7">
        <w:t>’</w:t>
      </w:r>
      <w:r w:rsidR="00B261B4">
        <w:t>s day</w:t>
      </w:r>
      <w:r w:rsidR="00BC624B">
        <w:noBreakHyphen/>
      </w:r>
      <w:r w:rsidR="00B261B4">
        <w:t>to</w:t>
      </w:r>
      <w:r w:rsidR="00BC624B">
        <w:noBreakHyphen/>
      </w:r>
      <w:r w:rsidR="00B261B4">
        <w:t>day operations, and that delaying implementation of the SAP Migration Program could have adverse impacts.</w:t>
      </w:r>
      <w:r w:rsidR="00393DF7">
        <w:t xml:space="preserve"> </w:t>
      </w:r>
      <w:r w:rsidR="00746668">
        <w:t>Given this</w:t>
      </w:r>
      <w:r w:rsidR="009B368A">
        <w:t xml:space="preserve">, we find it reasonable to authorize Sempra to track costs associated with </w:t>
      </w:r>
      <w:r w:rsidR="00DE2597">
        <w:t>Phase </w:t>
      </w:r>
      <w:r w:rsidR="009B368A">
        <w:t>1</w:t>
      </w:r>
      <w:r w:rsidR="00E86842">
        <w:t xml:space="preserve">B of </w:t>
      </w:r>
      <w:r w:rsidR="009B368A">
        <w:t xml:space="preserve">the SAP Migration Program, up to a cap of </w:t>
      </w:r>
      <w:r w:rsidR="0000626B">
        <w:t>$</w:t>
      </w:r>
      <w:r w:rsidR="00390447">
        <w:t>13.7</w:t>
      </w:r>
      <w:r w:rsidR="007B2F52">
        <w:t> million</w:t>
      </w:r>
      <w:r w:rsidR="00331212">
        <w:t xml:space="preserve">. </w:t>
      </w:r>
      <w:r w:rsidR="00F22AC4">
        <w:t xml:space="preserve">Sempra is not permitted to </w:t>
      </w:r>
      <w:r w:rsidR="00F17E88">
        <w:lastRenderedPageBreak/>
        <w:t xml:space="preserve">recover costs tracked in the </w:t>
      </w:r>
      <w:r w:rsidR="005C33D2">
        <w:t>SAPMMA</w:t>
      </w:r>
      <w:r w:rsidR="00F17E88">
        <w:t xml:space="preserve"> until </w:t>
      </w:r>
      <w:r w:rsidR="007B484D">
        <w:t>Sempra</w:t>
      </w:r>
      <w:r w:rsidR="007A74F7">
        <w:t>’</w:t>
      </w:r>
      <w:r w:rsidR="007B484D">
        <w:t>s revenue requirement for those costs is</w:t>
      </w:r>
      <w:r w:rsidR="002B0F9D">
        <w:t xml:space="preserve"> reviewed for reasonableness and</w:t>
      </w:r>
      <w:r w:rsidR="007B484D">
        <w:t xml:space="preserve"> approved in </w:t>
      </w:r>
      <w:r w:rsidRPr="002679BB" w:rsidR="007B484D">
        <w:t>a subsequent decision.</w:t>
      </w:r>
    </w:p>
    <w:p w:rsidR="00493B77" w:rsidP="00B62CB7" w:rsidRDefault="00493B77" w14:paraId="56001B41" w14:textId="0B355667">
      <w:pPr>
        <w:pStyle w:val="Heading2"/>
      </w:pPr>
      <w:bookmarkStart w:name="_Toc239862457" w:id="11"/>
      <w:r>
        <w:t>Effective Date</w:t>
      </w:r>
      <w:bookmarkEnd w:id="11"/>
    </w:p>
    <w:p w:rsidRPr="000975DC" w:rsidR="000975DC" w:rsidP="000975DC" w:rsidRDefault="00A2587F" w14:paraId="6D905A9B" w14:textId="3360A4B6">
      <w:pPr>
        <w:pStyle w:val="Standard"/>
      </w:pPr>
      <w:r>
        <w:t xml:space="preserve">We find that establishing the </w:t>
      </w:r>
      <w:r w:rsidR="005C33D2">
        <w:t>SAPMMA</w:t>
      </w:r>
      <w:r w:rsidR="00A15382">
        <w:t xml:space="preserve"> with an effective date of </w:t>
      </w:r>
      <w:r w:rsidR="00795FF2">
        <w:t>May </w:t>
      </w:r>
      <w:r w:rsidR="006E235A">
        <w:t>1, 2026</w:t>
      </w:r>
      <w:r w:rsidR="001666D2">
        <w:t xml:space="preserve"> — </w:t>
      </w:r>
      <w:r w:rsidR="006E235A">
        <w:t>the day that Sempra</w:t>
      </w:r>
      <w:r w:rsidR="007A74F7">
        <w:t>’</w:t>
      </w:r>
      <w:r w:rsidR="006E235A">
        <w:t>s SAP Migration Program application was filed</w:t>
      </w:r>
      <w:r w:rsidR="001666D2">
        <w:t xml:space="preserve"> — </w:t>
      </w:r>
      <w:r w:rsidR="006E235A">
        <w:t xml:space="preserve">to be </w:t>
      </w:r>
      <w:r w:rsidR="00EA7439">
        <w:t xml:space="preserve">reasonable. While </w:t>
      </w:r>
      <w:r w:rsidR="006E608E">
        <w:t>Cal Advoc</w:t>
      </w:r>
      <w:r w:rsidR="00EA7439">
        <w:t xml:space="preserve">ates </w:t>
      </w:r>
      <w:r w:rsidR="005C686F">
        <w:t xml:space="preserve">objects </w:t>
      </w:r>
      <w:r w:rsidR="00EA7439">
        <w:t xml:space="preserve">to the creation of the </w:t>
      </w:r>
      <w:r w:rsidR="005C33D2">
        <w:t>SAPMMA</w:t>
      </w:r>
      <w:r w:rsidR="00EA7439">
        <w:t xml:space="preserve"> generally, </w:t>
      </w:r>
      <w:r w:rsidR="00DB725A">
        <w:t xml:space="preserve">it does </w:t>
      </w:r>
      <w:r w:rsidR="00491A73">
        <w:t xml:space="preserve">not </w:t>
      </w:r>
      <w:r w:rsidR="00DB725A">
        <w:t xml:space="preserve">raise any specific objections to the </w:t>
      </w:r>
      <w:r w:rsidR="00795FF2">
        <w:t>May </w:t>
      </w:r>
      <w:r w:rsidR="00DB725A">
        <w:t xml:space="preserve">1, 2026 effective date. Moreover, we find that </w:t>
      </w:r>
      <w:r w:rsidR="005779EC">
        <w:t>making memorandum accounts effective as of the date the relevant application was filed is consistent with Com</w:t>
      </w:r>
      <w:r w:rsidR="006A0F98">
        <w:t>mission prece</w:t>
      </w:r>
      <w:r w:rsidR="00AB385E">
        <w:t>de</w:t>
      </w:r>
      <w:r w:rsidR="006A0F98">
        <w:t>nt</w:t>
      </w:r>
      <w:r w:rsidR="00AB385E">
        <w:t xml:space="preserve"> and policy</w:t>
      </w:r>
      <w:r w:rsidR="006A0F98">
        <w:t>.</w:t>
      </w:r>
      <w:r w:rsidR="006A0F98">
        <w:rPr>
          <w:rStyle w:val="FootnoteReference"/>
        </w:rPr>
        <w:footnoteReference w:id="22"/>
      </w:r>
      <w:r w:rsidR="00772A57">
        <w:t xml:space="preserve"> We therefore establish the </w:t>
      </w:r>
      <w:r w:rsidR="005C33D2">
        <w:t>SAPMMA</w:t>
      </w:r>
      <w:r w:rsidR="00772A57">
        <w:t xml:space="preserve"> with an effective date of </w:t>
      </w:r>
      <w:r w:rsidR="00795FF2">
        <w:t>May </w:t>
      </w:r>
      <w:r w:rsidR="00772A57">
        <w:t>1, 2026.</w:t>
      </w:r>
    </w:p>
    <w:p w:rsidR="00603238" w:rsidP="00182516" w:rsidRDefault="00603238" w14:paraId="06C205F0" w14:textId="77777777">
      <w:pPr>
        <w:pStyle w:val="Heading1"/>
      </w:pPr>
      <w:bookmarkStart w:name="_Toc239862458" w:id="12"/>
      <w:bookmarkStart w:name="_Toc8123721" w:id="13"/>
      <w:r>
        <w:t>Summary of Public Comment</w:t>
      </w:r>
      <w:bookmarkEnd w:id="12"/>
    </w:p>
    <w:p w:rsidRPr="00FD6495" w:rsidR="00603238" w:rsidP="004A0F03" w:rsidRDefault="00182979" w14:paraId="7DE5C59B" w14:textId="59FC3817">
      <w:pPr>
        <w:pStyle w:val="Standard"/>
      </w:pPr>
      <w:r>
        <w:t>Rule </w:t>
      </w:r>
      <w:r w:rsidRPr="00FD6495" w:rsidR="00603238">
        <w:t xml:space="preserve">1.18 </w:t>
      </w:r>
      <w:r>
        <w:t>of the Commission</w:t>
      </w:r>
      <w:r w:rsidR="007A74F7">
        <w:t>’</w:t>
      </w:r>
      <w:r>
        <w:t xml:space="preserve">s Rules of Practice and Procedure (Rules) </w:t>
      </w:r>
      <w:r w:rsidRPr="00FD6495" w:rsidR="00603238">
        <w:t xml:space="preserve">allows any member of the public to submit written comment in any Commission proceeding using the </w:t>
      </w:r>
      <w:r w:rsidR="007A74F7">
        <w:t>“</w:t>
      </w:r>
      <w:r w:rsidRPr="00FD6495" w:rsidR="00603238">
        <w:t>Public Comment</w:t>
      </w:r>
      <w:r w:rsidR="007A74F7">
        <w:t>”</w:t>
      </w:r>
      <w:r w:rsidRPr="00FD6495" w:rsidR="00603238">
        <w:t xml:space="preserve"> tab of the online Docket Card for that proceeding on the Commission</w:t>
      </w:r>
      <w:r w:rsidR="007A74F7">
        <w:t>’</w:t>
      </w:r>
      <w:r w:rsidRPr="00FD6495" w:rsidR="00603238">
        <w:t>s website.</w:t>
      </w:r>
      <w:r>
        <w:t xml:space="preserve"> Rule </w:t>
      </w:r>
      <w:r w:rsidRPr="00FD6495" w:rsidR="007A3820">
        <w:t xml:space="preserve">1.18(a) requires that all written public comment submitted prior to the submission of the proceeding are part of the administrative record of the proceeding. </w:t>
      </w:r>
      <w:r>
        <w:t>Rule </w:t>
      </w:r>
      <w:r w:rsidRPr="00FD6495" w:rsidR="00603238">
        <w:t>1.18(b) requires that relevant written comment submitted in a proceeding be summarized in the final decision issued in that proceeding.</w:t>
      </w:r>
    </w:p>
    <w:p w:rsidRPr="00603238" w:rsidR="00603238" w:rsidP="00603238" w:rsidRDefault="00FD6495" w14:paraId="72DABFBF" w14:textId="0F0632E7">
      <w:pPr>
        <w:pStyle w:val="Standard"/>
      </w:pPr>
      <w:r>
        <w:t xml:space="preserve">Approximately 16 public comments were submitted using </w:t>
      </w:r>
      <w:r w:rsidRPr="00F20D00" w:rsidR="00F20D00">
        <w:t>the Public Comment tab of the online Docket Card for this proceeding on the Commission</w:t>
      </w:r>
      <w:r w:rsidR="007A74F7">
        <w:t>’</w:t>
      </w:r>
      <w:r w:rsidRPr="00F20D00" w:rsidR="00F20D00">
        <w:t xml:space="preserve">s website. The comments to date express opposition to an increase in </w:t>
      </w:r>
      <w:r w:rsidR="00F20D00">
        <w:t>Sempra</w:t>
      </w:r>
      <w:r w:rsidR="007A74F7">
        <w:t>’</w:t>
      </w:r>
      <w:r w:rsidR="00F20D00">
        <w:t>s</w:t>
      </w:r>
      <w:r w:rsidRPr="00F20D00" w:rsidR="00F20D00">
        <w:t xml:space="preserve"> </w:t>
      </w:r>
      <w:r w:rsidRPr="00F20D00" w:rsidR="00F20D00">
        <w:lastRenderedPageBreak/>
        <w:t>rates and appear relevant to a final decision to be issued in this proceeding. The present decision does not address a rate increase.</w:t>
      </w:r>
    </w:p>
    <w:p w:rsidR="00FA1B4F" w:rsidP="00182516" w:rsidRDefault="005939A5" w14:paraId="4CFAE6B7" w14:textId="77777777">
      <w:pPr>
        <w:pStyle w:val="Heading1"/>
      </w:pPr>
      <w:bookmarkStart w:name="_Toc239862459" w:id="14"/>
      <w:r>
        <w:t>Conclusion</w:t>
      </w:r>
      <w:bookmarkEnd w:id="13"/>
      <w:bookmarkEnd w:id="14"/>
    </w:p>
    <w:p w:rsidR="00803C57" w:rsidP="00343E5C" w:rsidRDefault="00AC35B3" w14:paraId="10D6040D" w14:textId="21FB0370">
      <w:pPr>
        <w:pStyle w:val="Standard"/>
      </w:pPr>
      <w:r>
        <w:t xml:space="preserve">The Commission grants </w:t>
      </w:r>
      <w:r w:rsidR="00917B94">
        <w:t>Sempra</w:t>
      </w:r>
      <w:r w:rsidR="007A74F7">
        <w:t>’</w:t>
      </w:r>
      <w:r w:rsidR="00917B94">
        <w:t xml:space="preserve">s request to establish the </w:t>
      </w:r>
      <w:r w:rsidR="005C33D2">
        <w:t>SAPMMA</w:t>
      </w:r>
      <w:r w:rsidR="00E112D4">
        <w:t xml:space="preserve">, effective </w:t>
      </w:r>
      <w:r w:rsidR="00795FF2">
        <w:t>May </w:t>
      </w:r>
      <w:r w:rsidR="00E112D4">
        <w:t>1, 2026,</w:t>
      </w:r>
      <w:r w:rsidR="00917B94">
        <w:t xml:space="preserve"> to track and record actual </w:t>
      </w:r>
      <w:r w:rsidRPr="005B6BD1" w:rsidR="00917B94">
        <w:t xml:space="preserve">costs </w:t>
      </w:r>
      <w:r w:rsidRPr="005B6BD1" w:rsidR="009D58D2">
        <w:t xml:space="preserve">related to the </w:t>
      </w:r>
      <w:r w:rsidRPr="005B6BD1" w:rsidR="00E112D4">
        <w:t>SAP Migration Program</w:t>
      </w:r>
      <w:r w:rsidRPr="005B6BD1" w:rsidR="00D63A51">
        <w:t xml:space="preserve"> </w:t>
      </w:r>
      <w:r w:rsidR="00DE2597">
        <w:t>Phase </w:t>
      </w:r>
      <w:r w:rsidRPr="005B6BD1" w:rsidR="00D63A51">
        <w:t>1B, up to a cap of $1</w:t>
      </w:r>
      <w:r w:rsidRPr="005B6BD1" w:rsidR="005B6BD1">
        <w:t>3.7</w:t>
      </w:r>
      <w:r w:rsidR="007B2F52">
        <w:t> million</w:t>
      </w:r>
      <w:r w:rsidRPr="005B6BD1" w:rsidR="00343E5C">
        <w:t>.</w:t>
      </w:r>
    </w:p>
    <w:p w:rsidR="005939A5" w:rsidP="00182516" w:rsidRDefault="005939A5" w14:paraId="1F3F87EA" w14:textId="4F267151">
      <w:pPr>
        <w:pStyle w:val="Heading1"/>
      </w:pPr>
      <w:bookmarkStart w:name="_Toc8123723" w:id="15"/>
      <w:bookmarkStart w:name="_Toc239862460" w:id="16"/>
      <w:r>
        <w:t>Comments on Proposed Decision</w:t>
      </w:r>
      <w:bookmarkEnd w:id="15"/>
      <w:bookmarkEnd w:id="16"/>
    </w:p>
    <w:p w:rsidR="00803C57" w:rsidP="00D42D99" w:rsidRDefault="005C58FA" w14:paraId="4F5E7B57" w14:textId="662E61CC">
      <w:pPr>
        <w:pStyle w:val="Standard"/>
      </w:pPr>
      <w:r w:rsidRPr="00D42D99">
        <w:t xml:space="preserve">The proposed decision of </w:t>
      </w:r>
      <w:r w:rsidR="00A45982">
        <w:t>Administrative Law Judge</w:t>
      </w:r>
      <w:r w:rsidR="00EC525F">
        <w:t> </w:t>
      </w:r>
      <w:r w:rsidRPr="00D42D99" w:rsidR="00D42D99">
        <w:t xml:space="preserve">Shannon Clark </w:t>
      </w:r>
      <w:r w:rsidRPr="00D42D99">
        <w:t>in</w:t>
      </w:r>
      <w:r>
        <w:t xml:space="preserve"> this matter was mailed to the parties in accordance with </w:t>
      </w:r>
      <w:r w:rsidR="00092D2D">
        <w:t>Section </w:t>
      </w:r>
      <w:r>
        <w:t xml:space="preserve">311 of the Public Utilities Code and comments were allowed under </w:t>
      </w:r>
      <w:r w:rsidR="00182979">
        <w:t>Rule </w:t>
      </w:r>
      <w:r>
        <w:t>14.3.</w:t>
      </w:r>
      <w:r w:rsidR="00046ECC">
        <w:t xml:space="preserve"> </w:t>
      </w:r>
      <w:r w:rsidR="0055223D">
        <w:t>Cal</w:t>
      </w:r>
      <w:r w:rsidR="00283502">
        <w:t> </w:t>
      </w:r>
      <w:r w:rsidR="0055223D">
        <w:t>Advocates filed c</w:t>
      </w:r>
      <w:r>
        <w:t xml:space="preserve">omments on </w:t>
      </w:r>
      <w:r w:rsidR="00832CEA">
        <w:t>October</w:t>
      </w:r>
      <w:r w:rsidR="00283502">
        <w:t> </w:t>
      </w:r>
      <w:r w:rsidR="00832CEA">
        <w:t>15, 2026</w:t>
      </w:r>
      <w:r>
        <w:t>, and</w:t>
      </w:r>
      <w:r w:rsidR="00832CEA">
        <w:t xml:space="preserve"> Sempra</w:t>
      </w:r>
      <w:r w:rsidR="00BC625C">
        <w:t xml:space="preserve"> filed</w:t>
      </w:r>
      <w:r>
        <w:t xml:space="preserve"> reply comments on </w:t>
      </w:r>
      <w:r w:rsidR="00BC625C">
        <w:t>October</w:t>
      </w:r>
      <w:r w:rsidR="00283502">
        <w:t> </w:t>
      </w:r>
      <w:r w:rsidR="008D388D">
        <w:t>20, 2026</w:t>
      </w:r>
      <w:r>
        <w:t>.</w:t>
      </w:r>
    </w:p>
    <w:p w:rsidR="00E335DA" w:rsidP="00E335DA" w:rsidRDefault="00283BDF" w14:paraId="136B3E90" w14:textId="34CC66C8">
      <w:pPr>
        <w:pStyle w:val="Standard"/>
      </w:pPr>
      <w:r>
        <w:t xml:space="preserve">After reviewing the comments, we decline to </w:t>
      </w:r>
      <w:r w:rsidR="0080333A">
        <w:t xml:space="preserve">adopt changes to the decision. </w:t>
      </w:r>
      <w:r w:rsidR="00E335DA">
        <w:t>Per Rule</w:t>
      </w:r>
      <w:r w:rsidR="00283502">
        <w:t> </w:t>
      </w:r>
      <w:r w:rsidR="00E335DA">
        <w:t>14.3(c), we give no weight to comments that fail to focus on factual, legal or technical errors, or merely re</w:t>
      </w:r>
      <w:r w:rsidR="00283502">
        <w:noBreakHyphen/>
      </w:r>
      <w:r w:rsidR="00E335DA">
        <w:t>argue a party’s position</w:t>
      </w:r>
      <w:r w:rsidR="00077F1D">
        <w:t xml:space="preserve">, and </w:t>
      </w:r>
      <w:r w:rsidR="00EA2A48">
        <w:t xml:space="preserve">therefore </w:t>
      </w:r>
      <w:r w:rsidR="00077F1D">
        <w:t xml:space="preserve">do not </w:t>
      </w:r>
      <w:r w:rsidR="00EA2A48">
        <w:t>address those comments here</w:t>
      </w:r>
      <w:r w:rsidR="00E335DA">
        <w:t>.</w:t>
      </w:r>
    </w:p>
    <w:p w:rsidR="008D388D" w:rsidP="00D42D99" w:rsidRDefault="00C75F4B" w14:paraId="71EC2430" w14:textId="4BAE847D">
      <w:pPr>
        <w:pStyle w:val="Standard"/>
      </w:pPr>
      <w:r>
        <w:t>Cal</w:t>
      </w:r>
      <w:r w:rsidR="00283502">
        <w:t> </w:t>
      </w:r>
      <w:r>
        <w:t xml:space="preserve">Advocates argues that </w:t>
      </w:r>
      <w:r w:rsidR="00742433">
        <w:t>the</w:t>
      </w:r>
      <w:r w:rsidR="004E3725">
        <w:t xml:space="preserve"> decision</w:t>
      </w:r>
      <w:r w:rsidR="00742433">
        <w:t xml:space="preserve"> errs in </w:t>
      </w:r>
      <w:r w:rsidR="00B73C20">
        <w:t xml:space="preserve">finding that it is important for Sempra to incur </w:t>
      </w:r>
      <w:r w:rsidR="00AE6131">
        <w:t xml:space="preserve">SAP Migration Program costs </w:t>
      </w:r>
      <w:r w:rsidR="00BF3545">
        <w:t>prior to its next GRC. Cal</w:t>
      </w:r>
      <w:r w:rsidR="00283502">
        <w:t> </w:t>
      </w:r>
      <w:r w:rsidR="00BF3545">
        <w:t>Advocates</w:t>
      </w:r>
      <w:r w:rsidR="001C16DB">
        <w:t>’</w:t>
      </w:r>
      <w:r w:rsidR="00BF3545">
        <w:t xml:space="preserve"> </w:t>
      </w:r>
      <w:r w:rsidR="00D04661">
        <w:t xml:space="preserve">comments assert that </w:t>
      </w:r>
      <w:r w:rsidR="004A3715">
        <w:t xml:space="preserve">Sempra could have </w:t>
      </w:r>
      <w:r w:rsidR="00B74EAB">
        <w:t xml:space="preserve">included the costs of the SAP Migration Program in its 2028 GRC applications. </w:t>
      </w:r>
      <w:r w:rsidR="00714CE1">
        <w:t>We decline to make changes in response to this comment. The decision</w:t>
      </w:r>
      <w:r w:rsidR="00B47FD3">
        <w:t xml:space="preserve"> finds that</w:t>
      </w:r>
      <w:r w:rsidR="0019237B">
        <w:t xml:space="preserve"> Sempra’s implementation of the </w:t>
      </w:r>
      <w:r w:rsidR="00963A16">
        <w:t>SAP Migration Program Phase</w:t>
      </w:r>
      <w:r w:rsidR="00283502">
        <w:t> </w:t>
      </w:r>
      <w:r w:rsidR="00963A16">
        <w:t xml:space="preserve">1B </w:t>
      </w:r>
      <w:r w:rsidR="00054077">
        <w:t>prior to the end of 2027</w:t>
      </w:r>
      <w:r w:rsidR="00C919B6">
        <w:t>,</w:t>
      </w:r>
      <w:r w:rsidR="00054077">
        <w:t xml:space="preserve"> when the </w:t>
      </w:r>
      <w:r w:rsidR="00BF6EA8">
        <w:t>SAP ERP platform becomes unsupported</w:t>
      </w:r>
      <w:r w:rsidR="00054077">
        <w:t xml:space="preserve">, will reduce </w:t>
      </w:r>
      <w:r w:rsidR="00024904">
        <w:t>significant risks</w:t>
      </w:r>
      <w:r w:rsidR="00C919B6">
        <w:t xml:space="preserve"> and costs</w:t>
      </w:r>
      <w:r w:rsidR="00024904">
        <w:t xml:space="preserve"> associated with delay</w:t>
      </w:r>
      <w:r w:rsidR="00BF6EA8">
        <w:t>. Cal</w:t>
      </w:r>
      <w:r w:rsidR="00283502">
        <w:t> </w:t>
      </w:r>
      <w:r w:rsidR="00BF6EA8">
        <w:t xml:space="preserve">Advocates presents no </w:t>
      </w:r>
      <w:r w:rsidR="00A278CA">
        <w:t>information that contradicts this finding.</w:t>
      </w:r>
    </w:p>
    <w:p w:rsidR="001E4A83" w:rsidP="00D42D99" w:rsidRDefault="001E4A83" w14:paraId="6EF50FBB" w14:textId="3DDFAD1B">
      <w:pPr>
        <w:pStyle w:val="Standard"/>
      </w:pPr>
      <w:r>
        <w:lastRenderedPageBreak/>
        <w:t>Cal</w:t>
      </w:r>
      <w:r w:rsidR="00283502">
        <w:t> </w:t>
      </w:r>
      <w:r>
        <w:t xml:space="preserve">Advocates argues that </w:t>
      </w:r>
      <w:r w:rsidR="00395F7E">
        <w:t xml:space="preserve">the decision </w:t>
      </w:r>
      <w:r w:rsidR="00913895">
        <w:t xml:space="preserve">errs in not addressing whether or not the </w:t>
      </w:r>
      <w:r w:rsidR="00687142">
        <w:t>costs</w:t>
      </w:r>
      <w:r w:rsidR="008A0C39">
        <w:t xml:space="preserve"> sought to be tracked in the SAPMMA will have ratepayer benefits</w:t>
      </w:r>
      <w:r w:rsidR="003F4FB0">
        <w:t xml:space="preserve">. </w:t>
      </w:r>
      <w:r w:rsidR="00260F52">
        <w:t xml:space="preserve">We disagree. </w:t>
      </w:r>
      <w:r w:rsidR="00694CF8">
        <w:t xml:space="preserve">As </w:t>
      </w:r>
      <w:r w:rsidR="00FE6E77">
        <w:t>Cal</w:t>
      </w:r>
      <w:r w:rsidR="00283502">
        <w:t> </w:t>
      </w:r>
      <w:r w:rsidR="00FE6E77">
        <w:t xml:space="preserve">Advocates notes in its comments, the Commission does not rely on a fixed set of criteria to determine whether to authorize memorandum accounts and </w:t>
      </w:r>
      <w:r w:rsidR="00694E76">
        <w:t>has not always required all the elements in Standard Practice</w:t>
      </w:r>
      <w:r w:rsidR="00283502">
        <w:t> </w:t>
      </w:r>
      <w:r w:rsidR="00694E76">
        <w:t>U</w:t>
      </w:r>
      <w:r w:rsidR="00283502">
        <w:noBreakHyphen/>
      </w:r>
      <w:r w:rsidR="00694E76">
        <w:t>27</w:t>
      </w:r>
      <w:r w:rsidR="00283502">
        <w:noBreakHyphen/>
      </w:r>
      <w:r w:rsidR="00694E76">
        <w:t>W to be met before authorizing a memorandum account.</w:t>
      </w:r>
      <w:r w:rsidR="00554DCD">
        <w:rPr>
          <w:rStyle w:val="FootnoteReference"/>
        </w:rPr>
        <w:footnoteReference w:id="23"/>
      </w:r>
      <w:r w:rsidR="00554DCD">
        <w:t xml:space="preserve"> </w:t>
      </w:r>
      <w:r w:rsidR="00765E05">
        <w:t>In authorizing the SAPMMA, t</w:t>
      </w:r>
      <w:r w:rsidR="00554DCD">
        <w:t xml:space="preserve">he decision </w:t>
      </w:r>
      <w:r w:rsidR="0032748B">
        <w:t>finds that three out of the five elements in Standard Practice</w:t>
      </w:r>
      <w:r w:rsidR="00283502">
        <w:t> </w:t>
      </w:r>
      <w:r w:rsidR="0032748B">
        <w:t>U</w:t>
      </w:r>
      <w:r w:rsidR="00283502">
        <w:noBreakHyphen/>
      </w:r>
      <w:r w:rsidR="0032748B">
        <w:t>27</w:t>
      </w:r>
      <w:r w:rsidR="00283502">
        <w:noBreakHyphen/>
      </w:r>
      <w:r w:rsidR="0032748B">
        <w:t>W have been met</w:t>
      </w:r>
      <w:r w:rsidR="00765E05">
        <w:t xml:space="preserve">, consistent with Commission practice, and states that </w:t>
      </w:r>
      <w:r w:rsidR="000318B9">
        <w:t>the final decision in this proceeding will make a determination on ratepayer benefits.</w:t>
      </w:r>
    </w:p>
    <w:p w:rsidR="005939A5" w:rsidP="00182516" w:rsidRDefault="005939A5" w14:paraId="0321758E" w14:textId="7D660F1B">
      <w:pPr>
        <w:pStyle w:val="Heading1"/>
      </w:pPr>
      <w:bookmarkStart w:name="_Toc8123724" w:id="17"/>
      <w:bookmarkStart w:name="_Toc239862461" w:id="18"/>
      <w:r>
        <w:t>Assignment of Proceeding</w:t>
      </w:r>
      <w:bookmarkEnd w:id="17"/>
      <w:bookmarkEnd w:id="18"/>
    </w:p>
    <w:p w:rsidR="005939A5" w:rsidP="006E6574" w:rsidRDefault="00A45982" w14:paraId="35A78D85" w14:textId="7A8E8EE3">
      <w:pPr>
        <w:pStyle w:val="Standard"/>
      </w:pPr>
      <w:r>
        <w:t>Matthew Baker</w:t>
      </w:r>
      <w:r w:rsidR="005939A5">
        <w:t xml:space="preserve"> is the assigned Commissioner and </w:t>
      </w:r>
      <w:r>
        <w:t>Shannon Clark</w:t>
      </w:r>
      <w:r w:rsidR="005939A5">
        <w:t xml:space="preserve"> is the assigned Administrative Law Judge in this proceeding.</w:t>
      </w:r>
    </w:p>
    <w:p w:rsidR="005939A5" w:rsidP="00B70040" w:rsidRDefault="005939A5" w14:paraId="77ED055A" w14:textId="77777777">
      <w:pPr>
        <w:pStyle w:val="Dummy"/>
      </w:pPr>
      <w:bookmarkStart w:name="_Toc8123725" w:id="19"/>
      <w:bookmarkStart w:name="_Toc239862462" w:id="20"/>
      <w:r>
        <w:t>Findings of Fact</w:t>
      </w:r>
      <w:bookmarkEnd w:id="19"/>
      <w:bookmarkEnd w:id="20"/>
    </w:p>
    <w:p w:rsidRPr="001E2A62" w:rsidR="007C0FC5" w:rsidP="007C0FC5" w:rsidRDefault="00D62017" w14:paraId="64DAF85B" w14:textId="4AEDC945">
      <w:pPr>
        <w:pStyle w:val="FoF"/>
      </w:pPr>
      <w:r>
        <w:t xml:space="preserve">On </w:t>
      </w:r>
      <w:r w:rsidR="00795FF2">
        <w:t>May </w:t>
      </w:r>
      <w:r>
        <w:t xml:space="preserve">16, 2022, SoCalGas and SDG&amp;E filed 2024 Test Year </w:t>
      </w:r>
      <w:r w:rsidR="00560644">
        <w:t>GRC</w:t>
      </w:r>
      <w:r>
        <w:t xml:space="preserve"> </w:t>
      </w:r>
      <w:r w:rsidR="00EE4CE9">
        <w:t>A.</w:t>
      </w:r>
      <w:r>
        <w:t>22</w:t>
      </w:r>
      <w:r w:rsidR="00BC624B">
        <w:noBreakHyphen/>
      </w:r>
      <w:r>
        <w:t>05</w:t>
      </w:r>
      <w:r w:rsidR="00BC624B">
        <w:noBreakHyphen/>
      </w:r>
      <w:r>
        <w:t xml:space="preserve">015 and </w:t>
      </w:r>
      <w:r w:rsidR="00EE4CE9">
        <w:t>A.</w:t>
      </w:r>
      <w:r>
        <w:t>22</w:t>
      </w:r>
      <w:r w:rsidR="00BC624B">
        <w:noBreakHyphen/>
      </w:r>
      <w:r>
        <w:t>05</w:t>
      </w:r>
      <w:r w:rsidR="00BC624B">
        <w:noBreakHyphen/>
      </w:r>
      <w:r>
        <w:t>016</w:t>
      </w:r>
      <w:r w:rsidR="00BE2C4A">
        <w:t xml:space="preserve"> and included a request to </w:t>
      </w:r>
      <w:r w:rsidR="003343CD">
        <w:t xml:space="preserve">recover costs for the SAP Transformation </w:t>
      </w:r>
      <w:r w:rsidR="00BB340C">
        <w:t>Program</w:t>
      </w:r>
      <w:r>
        <w:t>.</w:t>
      </w:r>
    </w:p>
    <w:p w:rsidR="007C0FC5" w:rsidP="007C0FC5" w:rsidRDefault="00D92015" w14:paraId="6B7C8200" w14:textId="13288859">
      <w:pPr>
        <w:pStyle w:val="FoF"/>
      </w:pPr>
      <w:r>
        <w:t xml:space="preserve">In </w:t>
      </w:r>
      <w:r w:rsidR="00873D15">
        <w:t>D.</w:t>
      </w:r>
      <w:r>
        <w:t>24</w:t>
      </w:r>
      <w:r w:rsidR="00BC624B">
        <w:noBreakHyphen/>
      </w:r>
      <w:r>
        <w:t>12</w:t>
      </w:r>
      <w:r w:rsidR="00BC624B">
        <w:noBreakHyphen/>
      </w:r>
      <w:r>
        <w:t xml:space="preserve">074, the Commission authorized </w:t>
      </w:r>
      <w:r w:rsidR="00506876">
        <w:t>$51.212</w:t>
      </w:r>
      <w:r w:rsidR="00F926BF">
        <w:t> </w:t>
      </w:r>
      <w:r w:rsidR="00506876">
        <w:t xml:space="preserve">million in capital costs, </w:t>
      </w:r>
      <w:r w:rsidR="000B1E74">
        <w:t xml:space="preserve">or </w:t>
      </w:r>
      <w:r>
        <w:t>75</w:t>
      </w:r>
      <w:r w:rsidR="00873D15">
        <w:t> percent</w:t>
      </w:r>
      <w:r>
        <w:t xml:space="preserve"> of Sempra</w:t>
      </w:r>
      <w:r w:rsidR="007A74F7">
        <w:t>’</w:t>
      </w:r>
      <w:r>
        <w:t xml:space="preserve">s requested budget for the </w:t>
      </w:r>
      <w:r w:rsidR="003343CD">
        <w:t xml:space="preserve">SAP </w:t>
      </w:r>
      <w:r w:rsidR="00A77581">
        <w:t xml:space="preserve">Transformation </w:t>
      </w:r>
      <w:r w:rsidR="00BB340C">
        <w:t>Program</w:t>
      </w:r>
      <w:r w:rsidR="000B1E74">
        <w:t>,</w:t>
      </w:r>
      <w:r>
        <w:t xml:space="preserve"> because it found that Sempra had not adequately supported its estimated costs for the </w:t>
      </w:r>
      <w:r w:rsidR="00BB340C">
        <w:t>program</w:t>
      </w:r>
      <w:r w:rsidR="000470C5">
        <w:t>.</w:t>
      </w:r>
    </w:p>
    <w:p w:rsidR="007C0FC5" w:rsidP="001E2A62" w:rsidRDefault="007C0FC5" w14:paraId="208FC548" w14:textId="1984CF99">
      <w:pPr>
        <w:pStyle w:val="FoF"/>
      </w:pPr>
      <w:r>
        <w:t xml:space="preserve">Subsequent to </w:t>
      </w:r>
      <w:r w:rsidR="00277757">
        <w:t>D.24</w:t>
      </w:r>
      <w:r w:rsidR="005328D7">
        <w:noBreakHyphen/>
      </w:r>
      <w:r w:rsidR="00277757">
        <w:t>12</w:t>
      </w:r>
      <w:r w:rsidR="005328D7">
        <w:noBreakHyphen/>
      </w:r>
      <w:r w:rsidR="00277757">
        <w:t>074, Sempra determined to pursue a scaled down migration of their ERP,</w:t>
      </w:r>
      <w:r w:rsidR="004275CE">
        <w:t xml:space="preserve"> </w:t>
      </w:r>
      <w:r w:rsidR="00CA1C04">
        <w:t xml:space="preserve">rather than the full transformation, which it </w:t>
      </w:r>
      <w:r w:rsidR="004275CE">
        <w:t>called the SAP Migration Program</w:t>
      </w:r>
      <w:r w:rsidR="00277757">
        <w:t>.</w:t>
      </w:r>
    </w:p>
    <w:p w:rsidR="002F05CF" w:rsidP="002F05CF" w:rsidRDefault="00FD4504" w14:paraId="3AE8A3ED" w14:textId="3C4A3C33">
      <w:pPr>
        <w:pStyle w:val="FoF"/>
      </w:pPr>
      <w:r>
        <w:lastRenderedPageBreak/>
        <w:t xml:space="preserve">On </w:t>
      </w:r>
      <w:r w:rsidR="00795FF2">
        <w:t>May </w:t>
      </w:r>
      <w:r>
        <w:t>1, 2026, Sempra Utilities filed A.26</w:t>
      </w:r>
      <w:r w:rsidR="00BC624B">
        <w:noBreakHyphen/>
      </w:r>
      <w:r>
        <w:t>05</w:t>
      </w:r>
      <w:r w:rsidR="00BC624B">
        <w:noBreakHyphen/>
      </w:r>
      <w:r>
        <w:t>002, requesting authorization to implement an approximate $348</w:t>
      </w:r>
      <w:r w:rsidR="007B2F52">
        <w:t> million</w:t>
      </w:r>
      <w:r>
        <w:t xml:space="preserve"> revenue requirement to enable </w:t>
      </w:r>
      <w:r w:rsidR="008A0D53">
        <w:t>Phase</w:t>
      </w:r>
      <w:r w:rsidR="00172E90">
        <w:t> </w:t>
      </w:r>
      <w:r w:rsidR="008A0D53">
        <w:t xml:space="preserve">1B and </w:t>
      </w:r>
      <w:r w:rsidR="00172E90">
        <w:t>Phase </w:t>
      </w:r>
      <w:r w:rsidR="008A0D53">
        <w:t>2 of the</w:t>
      </w:r>
      <w:r>
        <w:t xml:space="preserve"> SAP Migration Program</w:t>
      </w:r>
      <w:r w:rsidR="00C2540C">
        <w:t>.</w:t>
      </w:r>
      <w:r w:rsidR="002F05CF">
        <w:t xml:space="preserve"> The application states that the $51.212</w:t>
      </w:r>
      <w:r w:rsidR="00172E90">
        <w:t> </w:t>
      </w:r>
      <w:r w:rsidR="002F05CF">
        <w:t>million authorized in D.24</w:t>
      </w:r>
      <w:r w:rsidR="00172E90">
        <w:noBreakHyphen/>
      </w:r>
      <w:r w:rsidR="002F05CF">
        <w:t>12</w:t>
      </w:r>
      <w:r w:rsidR="00172E90">
        <w:noBreakHyphen/>
      </w:r>
      <w:r w:rsidR="002F05CF">
        <w:t>074 covered the costs for Phase</w:t>
      </w:r>
      <w:r w:rsidR="00172E90">
        <w:t> </w:t>
      </w:r>
      <w:r w:rsidR="002F05CF">
        <w:t>1A of the SAP Migration Project.</w:t>
      </w:r>
    </w:p>
    <w:p w:rsidR="00122596" w:rsidP="001E2A62" w:rsidRDefault="00122596" w14:paraId="4DD84823" w14:textId="4917C691">
      <w:pPr>
        <w:pStyle w:val="FoF"/>
      </w:pPr>
      <w:r>
        <w:t xml:space="preserve">On </w:t>
      </w:r>
      <w:r w:rsidR="00795FF2">
        <w:t>May </w:t>
      </w:r>
      <w:r>
        <w:t xml:space="preserve">4, 2026, Sempra filed a motion to establish the </w:t>
      </w:r>
      <w:r w:rsidR="005C33D2">
        <w:t>SAPMMA</w:t>
      </w:r>
      <w:r>
        <w:t xml:space="preserve"> to track </w:t>
      </w:r>
      <w:r w:rsidR="0050256D">
        <w:t>costs</w:t>
      </w:r>
      <w:r>
        <w:t xml:space="preserve"> associated with the SAP Migration </w:t>
      </w:r>
      <w:r w:rsidR="00BB340C">
        <w:t>Program</w:t>
      </w:r>
      <w:r w:rsidR="003B21C4">
        <w:t xml:space="preserve">, </w:t>
      </w:r>
      <w:r w:rsidR="00DE2597">
        <w:t>Phase </w:t>
      </w:r>
      <w:r w:rsidR="003B21C4">
        <w:t>1B,</w:t>
      </w:r>
      <w:r>
        <w:t xml:space="preserve"> and requesting an effective date of </w:t>
      </w:r>
      <w:r w:rsidR="00795FF2">
        <w:t>May </w:t>
      </w:r>
      <w:r>
        <w:t>1, 2026.</w:t>
      </w:r>
    </w:p>
    <w:p w:rsidR="00FF601A" w:rsidP="001E2A62" w:rsidRDefault="00FF601A" w14:paraId="1D59FCBF" w14:textId="4E303377">
      <w:pPr>
        <w:pStyle w:val="FoF"/>
      </w:pPr>
      <w:r>
        <w:t>Sempra</w:t>
      </w:r>
      <w:r w:rsidR="007A74F7">
        <w:t>’</w:t>
      </w:r>
      <w:r>
        <w:t xml:space="preserve">s requests for funding </w:t>
      </w:r>
      <w:r w:rsidR="001E5D86">
        <w:t xml:space="preserve">for the SAP Migration </w:t>
      </w:r>
      <w:r w:rsidR="00BB340C">
        <w:t>Program</w:t>
      </w:r>
      <w:r w:rsidR="00D35740">
        <w:t xml:space="preserve"> </w:t>
      </w:r>
      <w:r w:rsidR="00E91575">
        <w:t>stemmed from SAP</w:t>
      </w:r>
      <w:r w:rsidR="007A74F7">
        <w:t>’</w:t>
      </w:r>
      <w:r w:rsidR="00E91575">
        <w:t>s decision to discontinue maintenance of certain longstanding ERP applications at the end of 2027.</w:t>
      </w:r>
    </w:p>
    <w:p w:rsidR="005A2AA1" w:rsidP="001E2A62" w:rsidRDefault="005A2AA1" w14:paraId="0B37806E" w14:textId="0E243E3D">
      <w:pPr>
        <w:pStyle w:val="FoF"/>
      </w:pPr>
      <w:r>
        <w:t>Due to the operational, compliance, and cybersecurity risks</w:t>
      </w:r>
      <w:r w:rsidR="005C686F">
        <w:t>,</w:t>
      </w:r>
      <w:r>
        <w:t xml:space="preserve"> as well as increased costs that could accrue in the event that the SAP </w:t>
      </w:r>
      <w:r w:rsidR="009F27E2">
        <w:t>m</w:t>
      </w:r>
      <w:r>
        <w:t>igration is not completed prior to</w:t>
      </w:r>
      <w:r w:rsidR="009F27E2">
        <w:t xml:space="preserve"> the discontinuation of certain ERP applications at the end of</w:t>
      </w:r>
      <w:r>
        <w:t xml:space="preserve"> 2027, it is important for Sempra to incur </w:t>
      </w:r>
      <w:r w:rsidR="009F27E2">
        <w:t xml:space="preserve">costs for the SAP Migration </w:t>
      </w:r>
      <w:r w:rsidR="00BB340C">
        <w:t>Program</w:t>
      </w:r>
      <w:r>
        <w:t xml:space="preserve"> prior to its next GRC</w:t>
      </w:r>
      <w:r w:rsidR="002F5F57">
        <w:t xml:space="preserve"> or to a decision being issued in this proceeding</w:t>
      </w:r>
      <w:r w:rsidR="009F27E2">
        <w:t>.</w:t>
      </w:r>
    </w:p>
    <w:p w:rsidR="003B7482" w:rsidP="001E2A62" w:rsidRDefault="003B7482" w14:paraId="1642CE28" w14:textId="6BD9FB23">
      <w:pPr>
        <w:pStyle w:val="FoF"/>
      </w:pPr>
      <w:r>
        <w:t>Sempra forecasts</w:t>
      </w:r>
      <w:r w:rsidR="00906F7B">
        <w:t xml:space="preserve"> that</w:t>
      </w:r>
      <w:r>
        <w:t xml:space="preserve"> the costs of the SAP Migration Program</w:t>
      </w:r>
      <w:r w:rsidR="00A3730E">
        <w:t>,</w:t>
      </w:r>
      <w:r>
        <w:t xml:space="preserve"> </w:t>
      </w:r>
      <w:r w:rsidR="00DE2597">
        <w:t>Phase </w:t>
      </w:r>
      <w:r w:rsidR="00B52AB5">
        <w:t>1B</w:t>
      </w:r>
      <w:r w:rsidR="005C686F">
        <w:t>,</w:t>
      </w:r>
      <w:r w:rsidR="00804935">
        <w:t xml:space="preserve"> will </w:t>
      </w:r>
      <w:r w:rsidRPr="00B52AB5" w:rsidR="00804935">
        <w:t xml:space="preserve">total </w:t>
      </w:r>
      <w:r w:rsidR="00A3730E">
        <w:t xml:space="preserve">approximately </w:t>
      </w:r>
      <w:r w:rsidRPr="00B52AB5" w:rsidR="00804935">
        <w:t>$1</w:t>
      </w:r>
      <w:r w:rsidRPr="00B52AB5" w:rsidR="00B52AB5">
        <w:t>3.7</w:t>
      </w:r>
      <w:r w:rsidR="007B2F52">
        <w:t> million</w:t>
      </w:r>
      <w:r w:rsidRPr="00B52AB5" w:rsidR="00906F7B">
        <w:t>.</w:t>
      </w:r>
    </w:p>
    <w:p w:rsidR="00C72F61" w:rsidP="001E2A62" w:rsidRDefault="00C72F61" w14:paraId="65FF92B7" w14:textId="36A4506E">
      <w:pPr>
        <w:pStyle w:val="FoF"/>
      </w:pPr>
      <w:r>
        <w:t>D</w:t>
      </w:r>
      <w:r w:rsidRPr="00C72F61">
        <w:t xml:space="preserve">iscontinuance of SAP ERP applications is </w:t>
      </w:r>
      <w:r>
        <w:t xml:space="preserve">not </w:t>
      </w:r>
      <w:r w:rsidRPr="00C72F61">
        <w:t>an exceptional event</w:t>
      </w:r>
      <w:r w:rsidR="00BF6CF7">
        <w:t>,</w:t>
      </w:r>
      <w:r w:rsidRPr="00C72F61">
        <w:t xml:space="preserve"> </w:t>
      </w:r>
      <w:r w:rsidR="0058131C">
        <w:t xml:space="preserve">although it remains partly </w:t>
      </w:r>
      <w:r w:rsidRPr="00C72F61">
        <w:t>outside</w:t>
      </w:r>
      <w:r w:rsidR="00DF2974">
        <w:t xml:space="preserve"> </w:t>
      </w:r>
      <w:r w:rsidRPr="00C72F61">
        <w:t>Sempra’s control.</w:t>
      </w:r>
    </w:p>
    <w:p w:rsidR="00C72F61" w:rsidP="00C72F61" w:rsidRDefault="00C72F61" w14:paraId="092476AB" w14:textId="5E6AF09E">
      <w:pPr>
        <w:pStyle w:val="FoF"/>
      </w:pPr>
      <w:r>
        <w:t>Phase 1B costs could not have been reasonably foreseen in Sempra’s last GRC.</w:t>
      </w:r>
    </w:p>
    <w:p w:rsidR="00C72F61" w:rsidP="00C72F61" w:rsidRDefault="00C72F61" w14:paraId="5F13AFE8" w14:textId="5BAACECB">
      <w:pPr>
        <w:pStyle w:val="FoF"/>
      </w:pPr>
      <w:r>
        <w:t>The forecasted costs for Phase</w:t>
      </w:r>
      <w:r w:rsidR="00800269">
        <w:t> </w:t>
      </w:r>
      <w:r>
        <w:t>1B are substantial.</w:t>
      </w:r>
    </w:p>
    <w:p w:rsidR="00C72F61" w:rsidP="00C72F61" w:rsidRDefault="00C72F61" w14:paraId="115042A8" w14:textId="5F1F556E">
      <w:pPr>
        <w:pStyle w:val="FoF"/>
      </w:pPr>
      <w:r>
        <w:t>We decline to address the determination of ratepayer benefits in this decision.</w:t>
      </w:r>
    </w:p>
    <w:p w:rsidRPr="001E2A62" w:rsidR="00D055C9" w:rsidP="00AC4E60" w:rsidRDefault="006228D1" w14:paraId="29D32D53" w14:textId="45CB7350">
      <w:pPr>
        <w:pStyle w:val="FoF"/>
      </w:pPr>
      <w:r>
        <w:lastRenderedPageBreak/>
        <w:t>The SAP ERP platform provides a critical role in Sempra</w:t>
      </w:r>
      <w:r w:rsidR="007A74F7">
        <w:t>’</w:t>
      </w:r>
      <w:r>
        <w:t>s day</w:t>
      </w:r>
      <w:r w:rsidR="00BC624B">
        <w:noBreakHyphen/>
      </w:r>
      <w:r>
        <w:t>to</w:t>
      </w:r>
      <w:r w:rsidR="00BC624B">
        <w:noBreakHyphen/>
      </w:r>
      <w:r>
        <w:t>day operations, and delaying implementation of the SAP Migration Program could have adverse impacts on ratepayers.</w:t>
      </w:r>
    </w:p>
    <w:p w:rsidR="0044786E" w:rsidP="001E2A62" w:rsidRDefault="0044786E" w14:paraId="621B3722" w14:textId="5F41776B">
      <w:pPr>
        <w:pStyle w:val="FoF"/>
      </w:pPr>
      <w:r>
        <w:t>Making memorandum accounts effective as of the date the relevant application was filed is consistent with Commission precedent and policy.</w:t>
      </w:r>
    </w:p>
    <w:p w:rsidRPr="003A5828" w:rsidR="005939A5" w:rsidP="003A5828" w:rsidRDefault="005939A5" w14:paraId="33430D29" w14:textId="77777777">
      <w:pPr>
        <w:pStyle w:val="Dummy"/>
      </w:pPr>
      <w:bookmarkStart w:name="_Toc8123726" w:id="21"/>
      <w:bookmarkStart w:name="_Toc239862463" w:id="22"/>
      <w:r>
        <w:t>Conclusions of Law</w:t>
      </w:r>
      <w:bookmarkEnd w:id="21"/>
      <w:bookmarkEnd w:id="22"/>
    </w:p>
    <w:p w:rsidR="00CE1F98" w:rsidP="00CE1F98" w:rsidRDefault="00CE1F98" w14:paraId="0F5C502C" w14:textId="69E13928">
      <w:pPr>
        <w:pStyle w:val="CoL"/>
      </w:pPr>
      <w:r w:rsidRPr="00CE1F98">
        <w:t xml:space="preserve">It is reasonable to establish the </w:t>
      </w:r>
      <w:r w:rsidR="005C33D2">
        <w:t>SAPMMA</w:t>
      </w:r>
      <w:r w:rsidRPr="00CE1F98">
        <w:t xml:space="preserve"> to track and record costs related to it</w:t>
      </w:r>
      <w:r w:rsidR="007257DD">
        <w:t xml:space="preserve"> </w:t>
      </w:r>
      <w:r w:rsidR="00DE2597">
        <w:t>Phase </w:t>
      </w:r>
      <w:r w:rsidR="007257DD">
        <w:t>1B of the</w:t>
      </w:r>
      <w:r w:rsidRPr="00CE1F98">
        <w:t xml:space="preserve"> SAP Migration Program,</w:t>
      </w:r>
      <w:r w:rsidR="007257DD">
        <w:t xml:space="preserve"> up to $1</w:t>
      </w:r>
      <w:r w:rsidR="007F5B6A">
        <w:t>3.7</w:t>
      </w:r>
      <w:r w:rsidR="007B2F52">
        <w:t> million</w:t>
      </w:r>
      <w:r w:rsidRPr="00CE1F98">
        <w:t>.</w:t>
      </w:r>
    </w:p>
    <w:p w:rsidRPr="001E2A62" w:rsidR="008F143D" w:rsidP="00DF7916" w:rsidRDefault="0044786E" w14:paraId="1D7323B5" w14:textId="4A8B56F8">
      <w:pPr>
        <w:pStyle w:val="CoL"/>
      </w:pPr>
      <w:r>
        <w:t>It is reasonable to grant Sempra</w:t>
      </w:r>
      <w:r w:rsidR="007A74F7">
        <w:t>’</w:t>
      </w:r>
      <w:r>
        <w:t xml:space="preserve">s request </w:t>
      </w:r>
      <w:r w:rsidR="0068175B">
        <w:t xml:space="preserve">to give the </w:t>
      </w:r>
      <w:r w:rsidR="005C33D2">
        <w:t>SAPMMA</w:t>
      </w:r>
      <w:r w:rsidR="0068175B">
        <w:t xml:space="preserve"> an </w:t>
      </w:r>
      <w:r w:rsidR="00DF7916">
        <w:t xml:space="preserve">effective date of </w:t>
      </w:r>
      <w:r w:rsidR="00795FF2">
        <w:t>May </w:t>
      </w:r>
      <w:r w:rsidR="00DF7916">
        <w:t>1, 2026, the day that Sempra</w:t>
      </w:r>
      <w:r w:rsidR="007A74F7">
        <w:t>’</w:t>
      </w:r>
      <w:r w:rsidR="00DF7916">
        <w:t>s SAP Migration Program application was filed.</w:t>
      </w:r>
    </w:p>
    <w:p w:rsidR="00BB0243" w:rsidP="000A6E05" w:rsidRDefault="005939A5" w14:paraId="652DA2CE" w14:textId="77777777">
      <w:pPr>
        <w:pStyle w:val="Mainex"/>
      </w:pPr>
      <w:bookmarkStart w:name="_Toc239862464" w:id="23"/>
      <w:r>
        <w:t>O</w:t>
      </w:r>
      <w:r w:rsidR="00722850">
        <w:t>RDER</w:t>
      </w:r>
      <w:bookmarkEnd w:id="23"/>
    </w:p>
    <w:p w:rsidR="00BB0243" w:rsidP="00286344" w:rsidRDefault="00BB0243" w14:paraId="22CBA0B0" w14:textId="77777777">
      <w:pPr>
        <w:pStyle w:val="Standard"/>
        <w:keepNext/>
      </w:pPr>
      <w:r w:rsidRPr="00286344">
        <w:rPr>
          <w:b/>
          <w:bCs/>
        </w:rPr>
        <w:t>IT IS ORDERED</w:t>
      </w:r>
      <w:r>
        <w:t xml:space="preserve"> that:</w:t>
      </w:r>
    </w:p>
    <w:p w:rsidRPr="007F5B6A" w:rsidR="00932865" w:rsidP="001E2A62" w:rsidRDefault="004D5784" w14:paraId="78E05055" w14:textId="2E6F75DB">
      <w:pPr>
        <w:pStyle w:val="OP"/>
      </w:pPr>
      <w:r>
        <w:t xml:space="preserve">Southern California Gas Company and </w:t>
      </w:r>
      <w:r w:rsidR="003408DA">
        <w:t>San </w:t>
      </w:r>
      <w:r>
        <w:t xml:space="preserve">Diego </w:t>
      </w:r>
      <w:r w:rsidR="00C23D6C">
        <w:t>Gas &amp; Electric</w:t>
      </w:r>
      <w:r>
        <w:t xml:space="preserve"> Company are authorized to establish the SAP </w:t>
      </w:r>
      <w:r w:rsidR="005B2699">
        <w:t xml:space="preserve">Migration Memorandum Account, effective </w:t>
      </w:r>
      <w:r w:rsidR="00795FF2">
        <w:t>May </w:t>
      </w:r>
      <w:r w:rsidR="005B2699">
        <w:t xml:space="preserve">1, </w:t>
      </w:r>
      <w:r w:rsidR="00795FF2">
        <w:t xml:space="preserve">2026, </w:t>
      </w:r>
      <w:r w:rsidR="005B2699">
        <w:t xml:space="preserve">to </w:t>
      </w:r>
      <w:r w:rsidR="00720422">
        <w:t>track</w:t>
      </w:r>
      <w:r w:rsidR="00EC18D9">
        <w:t xml:space="preserve"> </w:t>
      </w:r>
      <w:r w:rsidRPr="007F5B6A" w:rsidR="00EC18D9">
        <w:t>and record</w:t>
      </w:r>
      <w:r w:rsidRPr="007F5B6A" w:rsidR="00720422">
        <w:t xml:space="preserve"> costs associated with the SAP Migration Program</w:t>
      </w:r>
      <w:r w:rsidRPr="007F5B6A" w:rsidR="003150C5">
        <w:t xml:space="preserve"> </w:t>
      </w:r>
      <w:r w:rsidR="00DE2597">
        <w:t>Phase </w:t>
      </w:r>
      <w:r w:rsidRPr="007F5B6A" w:rsidR="003150C5">
        <w:t>1B, up to a cap of $</w:t>
      </w:r>
      <w:r w:rsidRPr="007F5B6A" w:rsidR="007F5B6A">
        <w:t>13.7</w:t>
      </w:r>
      <w:r w:rsidR="007B2F52">
        <w:t> million</w:t>
      </w:r>
      <w:r w:rsidRPr="007F5B6A" w:rsidR="000A6E05">
        <w:t>.</w:t>
      </w:r>
    </w:p>
    <w:p w:rsidRPr="001E2A62" w:rsidR="00EC18D9" w:rsidP="001E2A62" w:rsidRDefault="00D43670" w14:paraId="58577E78" w14:textId="09439809">
      <w:pPr>
        <w:pStyle w:val="OP"/>
      </w:pPr>
      <w:r w:rsidRPr="007F5B6A">
        <w:t xml:space="preserve">Southern California Gas Company and </w:t>
      </w:r>
      <w:r w:rsidR="003408DA">
        <w:t>San </w:t>
      </w:r>
      <w:r w:rsidRPr="007F5B6A">
        <w:t xml:space="preserve">Diego </w:t>
      </w:r>
      <w:r w:rsidR="00C23D6C">
        <w:t>Gas &amp; Electric</w:t>
      </w:r>
      <w:r w:rsidRPr="007F5B6A">
        <w:t xml:space="preserve"> Company shall each file a </w:t>
      </w:r>
      <w:r w:rsidR="001A119F">
        <w:t>Tier </w:t>
      </w:r>
      <w:r w:rsidRPr="007F5B6A">
        <w:t xml:space="preserve">1 Advice Letter within </w:t>
      </w:r>
      <w:r w:rsidRPr="007F5B6A" w:rsidR="00695B03">
        <w:t xml:space="preserve">30 days of the effective date of this decision to </w:t>
      </w:r>
      <w:r w:rsidR="00680683">
        <w:t>establish</w:t>
      </w:r>
      <w:r w:rsidRPr="007F5B6A" w:rsidR="00695B03">
        <w:t xml:space="preserve"> </w:t>
      </w:r>
      <w:r w:rsidRPr="007F5B6A" w:rsidR="007A7581">
        <w:t>the SAP Migration</w:t>
      </w:r>
      <w:r w:rsidR="007A7581">
        <w:t xml:space="preserve"> Memorandum Account consistent with this decision.</w:t>
      </w:r>
    </w:p>
    <w:p w:rsidR="00002472" w:rsidP="00002472" w:rsidRDefault="00E23CBB" w14:paraId="225F1945" w14:textId="7E17696C">
      <w:pPr>
        <w:pStyle w:val="OP"/>
        <w:keepNext/>
      </w:pPr>
      <w:r w:rsidRPr="001E2A62">
        <w:lastRenderedPageBreak/>
        <w:t xml:space="preserve">Application </w:t>
      </w:r>
      <w:r w:rsidR="007A7581">
        <w:t>26</w:t>
      </w:r>
      <w:r w:rsidR="00BC624B">
        <w:noBreakHyphen/>
      </w:r>
      <w:r w:rsidR="007A7581">
        <w:t>05</w:t>
      </w:r>
      <w:r w:rsidR="00BC624B">
        <w:noBreakHyphen/>
      </w:r>
      <w:r w:rsidR="007A7581">
        <w:t>002</w:t>
      </w:r>
      <w:r w:rsidRPr="001E2A62">
        <w:t xml:space="preserve"> </w:t>
      </w:r>
      <w:r w:rsidR="007A7581">
        <w:t>remains open</w:t>
      </w:r>
      <w:r w:rsidRPr="001E2A62">
        <w:t>.</w:t>
      </w:r>
    </w:p>
    <w:p w:rsidR="008F0116" w:rsidP="00970317" w:rsidRDefault="008F0116" w14:paraId="7813D6E5" w14:textId="77777777">
      <w:pPr>
        <w:pStyle w:val="Standard"/>
        <w:keepNext/>
      </w:pPr>
      <w:r>
        <w:t>This order is effective today.</w:t>
      </w:r>
    </w:p>
    <w:p w:rsidR="00714CF2" w:rsidP="00970317" w:rsidRDefault="008F0116" w14:paraId="2C27FAF1" w14:textId="43D21344">
      <w:pPr>
        <w:pStyle w:val="Standard"/>
        <w:keepNext/>
      </w:pPr>
      <w:r>
        <w:t xml:space="preserve">Dated </w:t>
      </w:r>
      <w:r w:rsidRPr="00551AC3" w:rsidR="00551AC3">
        <w:t>October 29, 2026</w:t>
      </w:r>
      <w:r>
        <w:t xml:space="preserve">, at </w:t>
      </w:r>
      <w:r w:rsidR="003408DA">
        <w:t>San </w:t>
      </w:r>
      <w:r>
        <w:t>Francisco, California</w:t>
      </w:r>
      <w:r w:rsidR="00970317">
        <w:t>.</w:t>
      </w:r>
    </w:p>
    <w:p w:rsidRPr="00132251" w:rsidR="006237E7" w:rsidP="006237E7" w:rsidRDefault="006237E7" w14:paraId="54EE66CE" w14:textId="77777777">
      <w:pPr>
        <w:pStyle w:val="SigSpaceBA"/>
      </w:pPr>
      <w:bookmarkStart w:name="_Hlk125015643" w:id="24"/>
    </w:p>
    <w:p w:rsidRPr="00132251" w:rsidR="006237E7" w:rsidP="006237E7" w:rsidRDefault="006237E7" w14:paraId="58EADCC7" w14:textId="77777777">
      <w:pPr>
        <w:pStyle w:val="SigBlockBA-Cmr"/>
      </w:pPr>
      <w:r w:rsidRPr="00132251">
        <w:t>JOHN REYNOLDS</w:t>
      </w:r>
    </w:p>
    <w:p w:rsidRPr="00132251" w:rsidR="006237E7" w:rsidP="006237E7" w:rsidRDefault="006237E7" w14:paraId="4524A65E" w14:textId="77777777">
      <w:pPr>
        <w:pStyle w:val="SigBlockBA-Title"/>
      </w:pPr>
      <w:r w:rsidRPr="00132251">
        <w:t>President</w:t>
      </w:r>
    </w:p>
    <w:p w:rsidRPr="00132251" w:rsidR="006237E7" w:rsidP="006237E7" w:rsidRDefault="006237E7" w14:paraId="2A0F4974" w14:textId="77777777">
      <w:pPr>
        <w:pStyle w:val="SigBlockBA-Cmr"/>
      </w:pPr>
      <w:r w:rsidRPr="00132251">
        <w:t>DARCIE L. HOUCK</w:t>
      </w:r>
    </w:p>
    <w:p w:rsidRPr="00132251" w:rsidR="006237E7" w:rsidP="006237E7" w:rsidRDefault="006237E7" w14:paraId="2781B0CC" w14:textId="77777777">
      <w:pPr>
        <w:pStyle w:val="SigBlockBA-Cmr"/>
      </w:pPr>
      <w:r w:rsidRPr="001A0FB9">
        <w:t>KAREN DOUGLAS</w:t>
      </w:r>
    </w:p>
    <w:p w:rsidR="006237E7" w:rsidP="006237E7" w:rsidRDefault="006237E7" w14:paraId="35684ACA" w14:textId="77777777">
      <w:pPr>
        <w:pStyle w:val="SigBlockBA-Cmr"/>
      </w:pPr>
      <w:r>
        <w:t>MATTHEW BAKER</w:t>
      </w:r>
    </w:p>
    <w:p w:rsidRPr="00132251" w:rsidR="006237E7" w:rsidP="006237E7" w:rsidRDefault="006237E7" w14:paraId="7D0A0890" w14:textId="77777777">
      <w:pPr>
        <w:pStyle w:val="SigBlockBA-Cmr"/>
      </w:pPr>
      <w:r>
        <w:t>CHRISTINE HARADA</w:t>
      </w:r>
    </w:p>
    <w:p w:rsidRPr="00132251" w:rsidR="006237E7" w:rsidP="006237E7" w:rsidRDefault="006237E7" w14:paraId="04F76CB5" w14:textId="77777777">
      <w:pPr>
        <w:pStyle w:val="SigBlockBA-Title"/>
      </w:pPr>
      <w:r w:rsidRPr="00132251">
        <w:t>Commissioners</w:t>
      </w:r>
      <w:bookmarkEnd w:id="24"/>
    </w:p>
    <w:sectPr w:rsidRPr="00132251" w:rsidR="006237E7" w:rsidSect="00210E91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728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6A4F4" w14:textId="77777777" w:rsidR="00CF22CD" w:rsidRDefault="00CF22CD" w:rsidP="0098138E">
      <w:pPr>
        <w:spacing w:line="240" w:lineRule="auto"/>
      </w:pPr>
      <w:r>
        <w:separator/>
      </w:r>
    </w:p>
  </w:endnote>
  <w:endnote w:type="continuationSeparator" w:id="0">
    <w:p w14:paraId="06EA282C" w14:textId="77777777" w:rsidR="00CF22CD" w:rsidRDefault="00CF22CD" w:rsidP="00981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1E068" w14:textId="7D201301" w:rsidR="00E23CBB" w:rsidRDefault="00BC624B" w:rsidP="006B5C1E">
    <w:pPr>
      <w:spacing w:line="240" w:lineRule="auto"/>
      <w:ind w:firstLine="0"/>
      <w:jc w:val="center"/>
    </w:pPr>
    <w:r>
      <w:noBreakHyphen/>
    </w:r>
    <w:sdt>
      <w:sdtPr>
        <w:id w:val="-10340434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E4315">
          <w:t xml:space="preserve"> </w:t>
        </w:r>
        <w:r w:rsidR="00E23CBB">
          <w:fldChar w:fldCharType="begin"/>
        </w:r>
        <w:r w:rsidR="00E23CBB">
          <w:instrText xml:space="preserve"> PAGE   \* MERGEFORMAT </w:instrText>
        </w:r>
        <w:r w:rsidR="00E23CBB">
          <w:fldChar w:fldCharType="separate"/>
        </w:r>
        <w:r w:rsidR="00E23CBB">
          <w:rPr>
            <w:noProof/>
          </w:rPr>
          <w:t>2</w:t>
        </w:r>
        <w:r w:rsidR="00E23CBB">
          <w:rPr>
            <w:noProof/>
          </w:rPr>
          <w:fldChar w:fldCharType="end"/>
        </w:r>
        <w:r w:rsidR="00EE4315">
          <w:rPr>
            <w:noProof/>
          </w:rPr>
          <w:t xml:space="preserve"> </w:t>
        </w:r>
        <w:r>
          <w:rPr>
            <w:noProof/>
          </w:rPr>
          <w:noBreakHyphen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6F044" w14:textId="023204A9" w:rsidR="0059338C" w:rsidRDefault="00D059CD" w:rsidP="00210E91">
    <w:pPr>
      <w:pStyle w:val="Footer"/>
      <w:ind w:firstLine="0"/>
    </w:pPr>
    <w:r w:rsidRPr="00D059CD">
      <w:rPr>
        <w:sz w:val="16"/>
      </w:rPr>
      <w:t>628539631</w:t>
    </w:r>
    <w:r w:rsidR="00210E91">
      <w:tab/>
    </w:r>
    <w:r w:rsidR="00BC624B">
      <w:noBreakHyphen/>
    </w:r>
    <w:r w:rsidR="00210E91">
      <w:t xml:space="preserve"> </w:t>
    </w:r>
    <w:r w:rsidR="00210E91">
      <w:fldChar w:fldCharType="begin"/>
    </w:r>
    <w:r w:rsidR="00210E91">
      <w:instrText xml:space="preserve"> PAGE   \* MERGEFORMAT </w:instrText>
    </w:r>
    <w:r w:rsidR="00210E91">
      <w:fldChar w:fldCharType="separate"/>
    </w:r>
    <w:r w:rsidR="00210E91">
      <w:rPr>
        <w:noProof/>
      </w:rPr>
      <w:t>1</w:t>
    </w:r>
    <w:r w:rsidR="00210E91">
      <w:rPr>
        <w:noProof/>
      </w:rPr>
      <w:fldChar w:fldCharType="end"/>
    </w:r>
    <w:r w:rsidR="00210E91">
      <w:t xml:space="preserve"> </w:t>
    </w:r>
    <w:r w:rsidR="00BC624B">
      <w:noBreak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E7A7B" w14:textId="77777777" w:rsidR="00CF22CD" w:rsidRDefault="00CF22CD" w:rsidP="00DF58E7">
      <w:pPr>
        <w:spacing w:line="240" w:lineRule="auto"/>
        <w:ind w:firstLine="0"/>
      </w:pPr>
      <w:r>
        <w:separator/>
      </w:r>
    </w:p>
  </w:footnote>
  <w:footnote w:type="continuationSeparator" w:id="0">
    <w:p w14:paraId="5A344A62" w14:textId="77777777" w:rsidR="00CF22CD" w:rsidRDefault="00CF22CD" w:rsidP="00DF58E7">
      <w:pPr>
        <w:spacing w:line="240" w:lineRule="auto"/>
        <w:ind w:firstLine="0"/>
      </w:pPr>
      <w:r>
        <w:continuationSeparator/>
      </w:r>
    </w:p>
  </w:footnote>
  <w:footnote w:type="continuationNotice" w:id="1">
    <w:p w14:paraId="305DC61E" w14:textId="77777777" w:rsidR="00CF22CD" w:rsidRPr="00DF58E7" w:rsidRDefault="00CF22CD" w:rsidP="00DF58E7">
      <w:pPr>
        <w:spacing w:line="240" w:lineRule="auto"/>
        <w:ind w:firstLine="0"/>
        <w:jc w:val="right"/>
        <w:rPr>
          <w:i/>
          <w:sz w:val="22"/>
        </w:rPr>
      </w:pPr>
      <w:r w:rsidRPr="00DF58E7">
        <w:rPr>
          <w:i/>
          <w:sz w:val="22"/>
        </w:rPr>
        <w:t>Footnote continued on next page.</w:t>
      </w:r>
    </w:p>
  </w:footnote>
  <w:footnote w:id="2">
    <w:p w14:paraId="4320AEFE" w14:textId="6283E3CB" w:rsidR="00444286" w:rsidRDefault="0044428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1917">
        <w:rPr>
          <w:i/>
          <w:iCs/>
        </w:rPr>
        <w:t>See</w:t>
      </w:r>
      <w:r>
        <w:t xml:space="preserve"> Application (A.)</w:t>
      </w:r>
      <w:r w:rsidR="002F5898">
        <w:t> </w:t>
      </w:r>
      <w:r>
        <w:t>22</w:t>
      </w:r>
      <w:r w:rsidR="00BC624B">
        <w:noBreakHyphen/>
      </w:r>
      <w:r>
        <w:t>05</w:t>
      </w:r>
      <w:r w:rsidR="00BC624B">
        <w:noBreakHyphen/>
      </w:r>
      <w:r>
        <w:t>015 and A.22</w:t>
      </w:r>
      <w:r w:rsidR="00BC624B">
        <w:noBreakHyphen/>
      </w:r>
      <w:r>
        <w:t>05</w:t>
      </w:r>
      <w:r w:rsidR="00BC624B">
        <w:noBreakHyphen/>
      </w:r>
      <w:r>
        <w:t>016.</w:t>
      </w:r>
    </w:p>
  </w:footnote>
  <w:footnote w:id="3">
    <w:p w14:paraId="46C2F23E" w14:textId="6D93E430" w:rsidR="0020164F" w:rsidRDefault="0020164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C7FB9">
        <w:t>D.2</w:t>
      </w:r>
      <w:r w:rsidR="00EC7FB9" w:rsidRPr="00EC7FB9">
        <w:t>4</w:t>
      </w:r>
      <w:r w:rsidR="00BC624B">
        <w:noBreakHyphen/>
      </w:r>
      <w:r w:rsidR="00EC7FB9" w:rsidRPr="00EC7FB9">
        <w:t>12</w:t>
      </w:r>
      <w:r w:rsidR="00BC624B">
        <w:noBreakHyphen/>
      </w:r>
      <w:r w:rsidR="00EC7FB9" w:rsidRPr="00EC7FB9">
        <w:t>074</w:t>
      </w:r>
      <w:r w:rsidR="004E7919">
        <w:t xml:space="preserve"> at </w:t>
      </w:r>
      <w:r w:rsidR="00EC7FB9">
        <w:t>648</w:t>
      </w:r>
      <w:r w:rsidR="00BC624B">
        <w:noBreakHyphen/>
      </w:r>
      <w:r w:rsidR="00EC7FB9">
        <w:t>651.</w:t>
      </w:r>
    </w:p>
  </w:footnote>
  <w:footnote w:id="4">
    <w:p w14:paraId="584AD0D1" w14:textId="03A22D21" w:rsidR="00E2366E" w:rsidRDefault="00E2366E">
      <w:pPr>
        <w:pStyle w:val="FootnoteText"/>
      </w:pPr>
      <w:r>
        <w:rPr>
          <w:rStyle w:val="FootnoteReference"/>
        </w:rPr>
        <w:footnoteRef/>
      </w:r>
      <w:r>
        <w:t xml:space="preserve"> Application</w:t>
      </w:r>
      <w:r w:rsidR="004E7919">
        <w:t xml:space="preserve"> at </w:t>
      </w:r>
      <w:r>
        <w:t>4.</w:t>
      </w:r>
    </w:p>
  </w:footnote>
  <w:footnote w:id="5">
    <w:p w14:paraId="74C9AEC0" w14:textId="353E07CE" w:rsidR="00D676AC" w:rsidRDefault="00D676AC">
      <w:pPr>
        <w:pStyle w:val="FootnoteText"/>
      </w:pPr>
      <w:r>
        <w:rPr>
          <w:rStyle w:val="FootnoteReference"/>
        </w:rPr>
        <w:footnoteRef/>
      </w:r>
      <w:r>
        <w:t xml:space="preserve"> Scoping Memo</w:t>
      </w:r>
      <w:r w:rsidR="004E7919">
        <w:t xml:space="preserve"> at </w:t>
      </w:r>
      <w:r>
        <w:t>4</w:t>
      </w:r>
      <w:r w:rsidR="00BC624B">
        <w:noBreakHyphen/>
      </w:r>
      <w:r>
        <w:t>5.</w:t>
      </w:r>
    </w:p>
  </w:footnote>
  <w:footnote w:id="6">
    <w:p w14:paraId="2E3195B0" w14:textId="4565C17E" w:rsidR="00C8481B" w:rsidRDefault="00C8481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8481B">
        <w:t>D.22</w:t>
      </w:r>
      <w:r w:rsidR="00BC624B">
        <w:noBreakHyphen/>
      </w:r>
      <w:r w:rsidRPr="00C8481B">
        <w:t>12</w:t>
      </w:r>
      <w:r w:rsidR="00BC624B">
        <w:noBreakHyphen/>
      </w:r>
      <w:r w:rsidRPr="00C8481B">
        <w:t>055</w:t>
      </w:r>
      <w:r w:rsidR="004E7919">
        <w:t xml:space="preserve"> at </w:t>
      </w:r>
      <w:r w:rsidRPr="00C8481B">
        <w:t>18</w:t>
      </w:r>
      <w:r>
        <w:t>.</w:t>
      </w:r>
    </w:p>
  </w:footnote>
  <w:footnote w:id="7">
    <w:p w14:paraId="33A1909A" w14:textId="4400310A" w:rsidR="00FC6B62" w:rsidRDefault="00FC6B62">
      <w:pPr>
        <w:pStyle w:val="FootnoteText"/>
      </w:pPr>
      <w:r>
        <w:rPr>
          <w:rStyle w:val="FootnoteReference"/>
        </w:rPr>
        <w:footnoteRef/>
      </w:r>
      <w:r>
        <w:t xml:space="preserve"> A</w:t>
      </w:r>
      <w:r w:rsidR="001811D3">
        <w:t>pplication</w:t>
      </w:r>
      <w:r w:rsidR="004E7919">
        <w:t xml:space="preserve"> at </w:t>
      </w:r>
      <w:r w:rsidR="001811D3">
        <w:t>3.</w:t>
      </w:r>
    </w:p>
  </w:footnote>
  <w:footnote w:id="8">
    <w:p w14:paraId="2AC7B2C8" w14:textId="49CB6490" w:rsidR="008C10AF" w:rsidRDefault="008C10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C10AF">
        <w:rPr>
          <w:i/>
          <w:iCs/>
        </w:rPr>
        <w:t>Ibid</w:t>
      </w:r>
      <w:r>
        <w:t>.</w:t>
      </w:r>
    </w:p>
  </w:footnote>
  <w:footnote w:id="9">
    <w:p w14:paraId="4D7CDD44" w14:textId="7503255F" w:rsidR="008F312F" w:rsidRDefault="008F312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63815">
        <w:t xml:space="preserve">D.24-12-074 </w:t>
      </w:r>
      <w:r w:rsidR="004E7919">
        <w:t>at </w:t>
      </w:r>
      <w:r w:rsidR="00ED615D">
        <w:t>650</w:t>
      </w:r>
      <w:r w:rsidR="00BC624B">
        <w:noBreakHyphen/>
      </w:r>
      <w:r w:rsidR="00ED615D">
        <w:t>651.</w:t>
      </w:r>
    </w:p>
  </w:footnote>
  <w:footnote w:id="10">
    <w:p w14:paraId="034FE9C9" w14:textId="716C73F9" w:rsidR="00521331" w:rsidRDefault="00521331">
      <w:pPr>
        <w:pStyle w:val="FootnoteText"/>
      </w:pPr>
      <w:r>
        <w:rPr>
          <w:rStyle w:val="FootnoteReference"/>
        </w:rPr>
        <w:footnoteRef/>
      </w:r>
      <w:r>
        <w:t xml:space="preserve"> Sempra Reply at </w:t>
      </w:r>
      <w:r w:rsidR="003453FE">
        <w:t>4.</w:t>
      </w:r>
    </w:p>
  </w:footnote>
  <w:footnote w:id="11">
    <w:p w14:paraId="016722C0" w14:textId="2E1C73BE" w:rsidR="00C62B41" w:rsidRDefault="00C62B4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6E608E">
        <w:t>Cal Advoc</w:t>
      </w:r>
      <w:r>
        <w:t>ates</w:t>
      </w:r>
      <w:r w:rsidR="007A74F7">
        <w:t>’</w:t>
      </w:r>
      <w:r>
        <w:t xml:space="preserve"> Response to </w:t>
      </w:r>
      <w:r w:rsidR="00971450">
        <w:t>Motion for Memo Account</w:t>
      </w:r>
      <w:r w:rsidR="004E7919">
        <w:t xml:space="preserve"> at </w:t>
      </w:r>
      <w:r w:rsidR="00971450">
        <w:t>6.</w:t>
      </w:r>
    </w:p>
  </w:footnote>
  <w:footnote w:id="12">
    <w:p w14:paraId="3A1CB2CC" w14:textId="1D778683" w:rsidR="003058B1" w:rsidRDefault="003058B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058B1">
        <w:rPr>
          <w:i/>
          <w:iCs/>
        </w:rPr>
        <w:t>Id</w:t>
      </w:r>
      <w:r>
        <w:t>.</w:t>
      </w:r>
      <w:r w:rsidR="004E7919">
        <w:t xml:space="preserve"> at </w:t>
      </w:r>
      <w:r>
        <w:t xml:space="preserve">7. We note that </w:t>
      </w:r>
      <w:r w:rsidR="00D62B1B">
        <w:t xml:space="preserve">Sempra maintains that the costs requested in the 2024 GRC were only for </w:t>
      </w:r>
      <w:r w:rsidR="00DE2597">
        <w:t>Phase </w:t>
      </w:r>
      <w:r w:rsidR="00D62B1B">
        <w:t xml:space="preserve">1A of the SAP Migration Project, and that </w:t>
      </w:r>
      <w:r w:rsidR="00944D01">
        <w:t xml:space="preserve">its current application requests costs related to </w:t>
      </w:r>
      <w:r w:rsidR="00DE2597">
        <w:t>Phase </w:t>
      </w:r>
      <w:r w:rsidR="00944D01">
        <w:t xml:space="preserve">1B and </w:t>
      </w:r>
      <w:r w:rsidR="00DE2597">
        <w:t>Phase </w:t>
      </w:r>
      <w:r w:rsidR="00944D01">
        <w:t>2 of the project.</w:t>
      </w:r>
    </w:p>
  </w:footnote>
  <w:footnote w:id="13">
    <w:p w14:paraId="0D765975" w14:textId="0933FADE" w:rsidR="00476277" w:rsidRDefault="004762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852E1">
        <w:t>Sempra</w:t>
      </w:r>
      <w:r w:rsidR="004E7919">
        <w:t>’s</w:t>
      </w:r>
      <w:r w:rsidR="00F852E1">
        <w:t xml:space="preserve"> Motion for Memo Account</w:t>
      </w:r>
      <w:r w:rsidR="00C14778">
        <w:t xml:space="preserve"> (Motion)</w:t>
      </w:r>
      <w:r w:rsidR="004E7919">
        <w:t xml:space="preserve"> at </w:t>
      </w:r>
      <w:r w:rsidR="00F852E1">
        <w:t>2.</w:t>
      </w:r>
    </w:p>
  </w:footnote>
  <w:footnote w:id="14">
    <w:p w14:paraId="079BC0B2" w14:textId="1F11D567" w:rsidR="00F852E1" w:rsidRDefault="00F852E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852E1">
        <w:rPr>
          <w:i/>
          <w:iCs/>
        </w:rPr>
        <w:t>Ibid</w:t>
      </w:r>
      <w:r>
        <w:t>.</w:t>
      </w:r>
    </w:p>
  </w:footnote>
  <w:footnote w:id="15">
    <w:p w14:paraId="0EAA2767" w14:textId="49656919" w:rsidR="00067617" w:rsidRDefault="000676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33822" w:rsidRPr="005C15ED">
        <w:t>Application</w:t>
      </w:r>
      <w:r w:rsidR="004E7919" w:rsidRPr="00E33822">
        <w:t xml:space="preserve"> </w:t>
      </w:r>
      <w:r w:rsidR="004E7919">
        <w:t>at </w:t>
      </w:r>
      <w:r w:rsidR="00E33822">
        <w:t>6-</w:t>
      </w:r>
      <w:r>
        <w:t>7.</w:t>
      </w:r>
    </w:p>
  </w:footnote>
  <w:footnote w:id="16">
    <w:p w14:paraId="14BDC000" w14:textId="12D7FAD8" w:rsidR="00C37D73" w:rsidRDefault="00C37D73">
      <w:pPr>
        <w:pStyle w:val="FootnoteText"/>
      </w:pPr>
      <w:r>
        <w:rPr>
          <w:rStyle w:val="FootnoteReference"/>
        </w:rPr>
        <w:footnoteRef/>
      </w:r>
      <w:r>
        <w:t xml:space="preserve"> Application at</w:t>
      </w:r>
      <w:r w:rsidR="0079214A">
        <w:t> </w:t>
      </w:r>
      <w:r>
        <w:t>7-8.</w:t>
      </w:r>
    </w:p>
  </w:footnote>
  <w:footnote w:id="17">
    <w:p w14:paraId="4883F346" w14:textId="77777777" w:rsidR="00B12D52" w:rsidRDefault="00B12D52" w:rsidP="00B12D52">
      <w:pPr>
        <w:pStyle w:val="FootnoteText"/>
      </w:pPr>
      <w:r>
        <w:rPr>
          <w:rStyle w:val="FootnoteReference"/>
        </w:rPr>
        <w:footnoteRef/>
      </w:r>
      <w:r>
        <w:t xml:space="preserve"> D.24</w:t>
      </w:r>
      <w:r>
        <w:noBreakHyphen/>
        <w:t>12</w:t>
      </w:r>
      <w:r>
        <w:noBreakHyphen/>
        <w:t>074 at 650.</w:t>
      </w:r>
    </w:p>
  </w:footnote>
  <w:footnote w:id="18">
    <w:p w14:paraId="7C7D3242" w14:textId="5B08577C" w:rsidR="00CF7A01" w:rsidRDefault="00CF7A01">
      <w:pPr>
        <w:pStyle w:val="FootnoteText"/>
      </w:pPr>
      <w:r>
        <w:rPr>
          <w:rStyle w:val="FootnoteReference"/>
        </w:rPr>
        <w:footnoteRef/>
      </w:r>
      <w:r>
        <w:t xml:space="preserve"> We note that </w:t>
      </w:r>
      <w:r w:rsidR="006E608E">
        <w:t>Cal Advoc</w:t>
      </w:r>
      <w:r>
        <w:t>ates</w:t>
      </w:r>
      <w:r w:rsidR="007A74F7">
        <w:t>’</w:t>
      </w:r>
      <w:r>
        <w:t xml:space="preserve"> response to Sempra</w:t>
      </w:r>
      <w:r w:rsidR="007A74F7">
        <w:t>’</w:t>
      </w:r>
      <w:r>
        <w:t>s motion</w:t>
      </w:r>
      <w:r w:rsidR="00CE5246">
        <w:t xml:space="preserve"> appears to object to the costs for the entire SAP Migration Program, totaling approximately $3</w:t>
      </w:r>
      <w:r w:rsidR="00B81E9A">
        <w:t>48.1</w:t>
      </w:r>
      <w:r w:rsidR="00F41D76">
        <w:t> million</w:t>
      </w:r>
      <w:r w:rsidR="00B81E9A">
        <w:t>, being tracked in the SAPMMA. (</w:t>
      </w:r>
      <w:r w:rsidR="006E608E">
        <w:t>Cal Advoc</w:t>
      </w:r>
      <w:r w:rsidR="00B81E9A">
        <w:t>ates</w:t>
      </w:r>
      <w:r w:rsidR="007A74F7">
        <w:t>’</w:t>
      </w:r>
      <w:r w:rsidR="00B81E9A">
        <w:t xml:space="preserve"> Response</w:t>
      </w:r>
      <w:r w:rsidR="004E7919">
        <w:t xml:space="preserve"> at </w:t>
      </w:r>
      <w:r w:rsidR="00B81E9A">
        <w:t>7.)</w:t>
      </w:r>
    </w:p>
  </w:footnote>
  <w:footnote w:id="19">
    <w:p w14:paraId="1E79AB30" w14:textId="3A7FB286" w:rsidR="00150AC0" w:rsidRDefault="00150AC0" w:rsidP="00150AC0">
      <w:pPr>
        <w:pStyle w:val="FootnoteText"/>
      </w:pPr>
      <w:r>
        <w:rPr>
          <w:rStyle w:val="FootnoteReference"/>
        </w:rPr>
        <w:footnoteRef/>
      </w:r>
      <w:r>
        <w:t xml:space="preserve"> Motion at</w:t>
      </w:r>
      <w:r w:rsidR="0079214A">
        <w:t> </w:t>
      </w:r>
      <w:r>
        <w:t>2.</w:t>
      </w:r>
    </w:p>
  </w:footnote>
  <w:footnote w:id="20">
    <w:p w14:paraId="342E7B6F" w14:textId="2C61BD52" w:rsidR="007E0008" w:rsidRDefault="007E000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65C68" w:rsidRPr="005C15ED">
        <w:rPr>
          <w:i/>
          <w:iCs/>
        </w:rPr>
        <w:t>Ibid</w:t>
      </w:r>
      <w:r w:rsidR="00B65C68">
        <w:t>.</w:t>
      </w:r>
    </w:p>
  </w:footnote>
  <w:footnote w:id="21">
    <w:p w14:paraId="54A8A65B" w14:textId="2B6D12DD" w:rsidR="004245F3" w:rsidRDefault="004245F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874DC" w:rsidRPr="003874DC">
        <w:t>Application</w:t>
      </w:r>
      <w:r w:rsidR="004E7919">
        <w:t xml:space="preserve"> at </w:t>
      </w:r>
      <w:r w:rsidR="003874DC">
        <w:t>7,</w:t>
      </w:r>
      <w:r>
        <w:t xml:space="preserve"> 12.</w:t>
      </w:r>
    </w:p>
  </w:footnote>
  <w:footnote w:id="22">
    <w:p w14:paraId="4926F646" w14:textId="4009BE40" w:rsidR="006A0F98" w:rsidRDefault="006A0F9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DF1917" w:rsidRPr="00DF1917">
        <w:rPr>
          <w:i/>
          <w:iCs/>
        </w:rPr>
        <w:t>See</w:t>
      </w:r>
      <w:r>
        <w:t xml:space="preserve"> D.2</w:t>
      </w:r>
      <w:r w:rsidR="00D45F38">
        <w:t>5</w:t>
      </w:r>
      <w:r w:rsidR="00BC624B">
        <w:noBreakHyphen/>
      </w:r>
      <w:r w:rsidR="00D45F38">
        <w:t>08</w:t>
      </w:r>
      <w:r w:rsidR="00BC624B">
        <w:noBreakHyphen/>
      </w:r>
      <w:r w:rsidR="00D45F38">
        <w:t>008</w:t>
      </w:r>
      <w:r>
        <w:t xml:space="preserve">, </w:t>
      </w:r>
      <w:r w:rsidR="004F111A">
        <w:t>D.24</w:t>
      </w:r>
      <w:r w:rsidR="00BC624B">
        <w:noBreakHyphen/>
      </w:r>
      <w:r w:rsidR="00D45F38">
        <w:t>11</w:t>
      </w:r>
      <w:r w:rsidR="00BC624B">
        <w:noBreakHyphen/>
      </w:r>
      <w:r w:rsidR="00D45F38">
        <w:t>010</w:t>
      </w:r>
      <w:r w:rsidR="00A041EC">
        <w:t>,</w:t>
      </w:r>
      <w:r w:rsidR="008D1226">
        <w:t xml:space="preserve"> and D.</w:t>
      </w:r>
      <w:r w:rsidR="000A1C68">
        <w:t>22</w:t>
      </w:r>
      <w:r w:rsidR="00BC624B">
        <w:noBreakHyphen/>
      </w:r>
      <w:r w:rsidR="000A1C68">
        <w:t>09</w:t>
      </w:r>
      <w:r w:rsidR="00BC624B">
        <w:noBreakHyphen/>
      </w:r>
      <w:r w:rsidR="000A1C68">
        <w:t>027.</w:t>
      </w:r>
    </w:p>
  </w:footnote>
  <w:footnote w:id="23">
    <w:p w14:paraId="79B251F4" w14:textId="15EC9316" w:rsidR="00554DCD" w:rsidRDefault="00554DCD">
      <w:pPr>
        <w:pStyle w:val="FootnoteText"/>
      </w:pPr>
      <w:r>
        <w:rPr>
          <w:rStyle w:val="FootnoteReference"/>
        </w:rPr>
        <w:footnoteRef/>
      </w:r>
      <w:r>
        <w:t xml:space="preserve"> Cal Advocates Opening Comments at 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B2805" w14:textId="3A67CED6" w:rsidR="00CF0574" w:rsidRPr="00C427F7" w:rsidRDefault="0059338C" w:rsidP="00C427F7">
    <w:pPr>
      <w:pStyle w:val="Header"/>
      <w:tabs>
        <w:tab w:val="clear" w:pos="4680"/>
      </w:tabs>
      <w:ind w:firstLine="0"/>
      <w:rPr>
        <w:b/>
      </w:rPr>
    </w:pPr>
    <w:r w:rsidRPr="006B5C1E">
      <w:t>A</w:t>
    </w:r>
    <w:r w:rsidR="00210E91">
      <w:t>.</w:t>
    </w:r>
    <w:r w:rsidRPr="006B5C1E">
      <w:t>26</w:t>
    </w:r>
    <w:r w:rsidR="00BC624B">
      <w:noBreakHyphen/>
    </w:r>
    <w:r w:rsidRPr="006B5C1E">
      <w:t>05</w:t>
    </w:r>
    <w:r w:rsidR="00BC624B">
      <w:noBreakHyphen/>
    </w:r>
    <w:r w:rsidRPr="006B5C1E">
      <w:t xml:space="preserve">002 </w:t>
    </w:r>
    <w:r>
      <w:t xml:space="preserve"> ALJ/SCD/nd3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62D0" w14:textId="77777777" w:rsidR="0059338C" w:rsidRPr="00C427F7" w:rsidRDefault="0059338C" w:rsidP="00C427F7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1C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6C1C14"/>
    <w:multiLevelType w:val="multilevel"/>
    <w:tmpl w:val="18F4A5AC"/>
    <w:styleLink w:val="FoFCoLOP"/>
    <w:lvl w:ilvl="0">
      <w:start w:val="1"/>
      <w:numFmt w:val="decimal"/>
      <w:pStyle w:val="OP"/>
      <w:lvlText w:val="%1."/>
      <w:lvlJc w:val="right"/>
      <w:pPr>
        <w:ind w:left="0" w:firstLine="540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152" w:hanging="72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firstLine="0"/>
      </w:pPr>
      <w:rPr>
        <w:rFonts w:hint="default"/>
      </w:rPr>
    </w:lvl>
  </w:abstractNum>
  <w:abstractNum w:abstractNumId="2" w15:restartNumberingAfterBreak="0">
    <w:nsid w:val="15F056CB"/>
    <w:multiLevelType w:val="multilevel"/>
    <w:tmpl w:val="18F4A5AC"/>
    <w:numStyleLink w:val="FoFCoLOP"/>
  </w:abstractNum>
  <w:abstractNum w:abstractNumId="3" w15:restartNumberingAfterBreak="0">
    <w:nsid w:val="1CD67F4B"/>
    <w:multiLevelType w:val="hybridMultilevel"/>
    <w:tmpl w:val="C2A26642"/>
    <w:lvl w:ilvl="0" w:tplc="7A988B5E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70038F"/>
    <w:multiLevelType w:val="multilevel"/>
    <w:tmpl w:val="D2E895A2"/>
    <w:numStyleLink w:val="Headings"/>
  </w:abstractNum>
  <w:abstractNum w:abstractNumId="5" w15:restartNumberingAfterBreak="0">
    <w:nsid w:val="1E2242C9"/>
    <w:multiLevelType w:val="multilevel"/>
    <w:tmpl w:val="D2E895A2"/>
    <w:numStyleLink w:val="Headings"/>
  </w:abstractNum>
  <w:abstractNum w:abstractNumId="6" w15:restartNumberingAfterBreak="0">
    <w:nsid w:val="21FB58FE"/>
    <w:multiLevelType w:val="multilevel"/>
    <w:tmpl w:val="D2E895A2"/>
    <w:numStyleLink w:val="Headings"/>
  </w:abstractNum>
  <w:abstractNum w:abstractNumId="7" w15:restartNumberingAfterBreak="0">
    <w:nsid w:val="243663A0"/>
    <w:multiLevelType w:val="multilevel"/>
    <w:tmpl w:val="D2E895A2"/>
    <w:numStyleLink w:val="Headings"/>
  </w:abstractNum>
  <w:abstractNum w:abstractNumId="8" w15:restartNumberingAfterBreak="0">
    <w:nsid w:val="2B8124D7"/>
    <w:multiLevelType w:val="multilevel"/>
    <w:tmpl w:val="D2E895A2"/>
    <w:numStyleLink w:val="Headings"/>
  </w:abstractNum>
  <w:abstractNum w:abstractNumId="9" w15:restartNumberingAfterBreak="0">
    <w:nsid w:val="331F6D42"/>
    <w:multiLevelType w:val="multilevel"/>
    <w:tmpl w:val="D2E895A2"/>
    <w:styleLink w:val="Headings"/>
    <w:lvl w:ilvl="0">
      <w:start w:val="1"/>
      <w:numFmt w:val="decimal"/>
      <w:lvlText w:val="%1."/>
      <w:lvlJc w:val="left"/>
      <w:pPr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49104FC"/>
    <w:multiLevelType w:val="hybridMultilevel"/>
    <w:tmpl w:val="AF42F70C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59D042D7"/>
    <w:multiLevelType w:val="multilevel"/>
    <w:tmpl w:val="18F4A5AC"/>
    <w:numStyleLink w:val="FoFCoLOP"/>
  </w:abstractNum>
  <w:abstractNum w:abstractNumId="12" w15:restartNumberingAfterBreak="0">
    <w:nsid w:val="5A9E2171"/>
    <w:multiLevelType w:val="multilevel"/>
    <w:tmpl w:val="FE025170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ind w:left="1584" w:hanging="8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lvlText w:val="%8."/>
      <w:lvlJc w:val="left"/>
      <w:pPr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1A25780"/>
    <w:multiLevelType w:val="multilevel"/>
    <w:tmpl w:val="D2E895A2"/>
    <w:numStyleLink w:val="Headings"/>
  </w:abstractNum>
  <w:abstractNum w:abstractNumId="14" w15:restartNumberingAfterBreak="0">
    <w:nsid w:val="6FDF7E1C"/>
    <w:multiLevelType w:val="hybridMultilevel"/>
    <w:tmpl w:val="2F5AD6F8"/>
    <w:lvl w:ilvl="0" w:tplc="721C31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9A0AFE"/>
    <w:multiLevelType w:val="multilevel"/>
    <w:tmpl w:val="18F4A5AC"/>
    <w:numStyleLink w:val="FoFCoLOP"/>
  </w:abstractNum>
  <w:num w:numId="1" w16cid:durableId="1354526949">
    <w:abstractNumId w:val="12"/>
  </w:num>
  <w:num w:numId="2" w16cid:durableId="140774137">
    <w:abstractNumId w:val="1"/>
  </w:num>
  <w:num w:numId="3" w16cid:durableId="1898543446">
    <w:abstractNumId w:val="11"/>
  </w:num>
  <w:num w:numId="4" w16cid:durableId="701521005">
    <w:abstractNumId w:val="2"/>
  </w:num>
  <w:num w:numId="5" w16cid:durableId="2017029027">
    <w:abstractNumId w:val="15"/>
  </w:num>
  <w:num w:numId="6" w16cid:durableId="973756952">
    <w:abstractNumId w:val="9"/>
  </w:num>
  <w:num w:numId="7" w16cid:durableId="827667741">
    <w:abstractNumId w:val="5"/>
  </w:num>
  <w:num w:numId="8" w16cid:durableId="1760327020">
    <w:abstractNumId w:val="14"/>
  </w:num>
  <w:num w:numId="9" w16cid:durableId="816924040">
    <w:abstractNumId w:val="0"/>
  </w:num>
  <w:num w:numId="10" w16cid:durableId="1817916489">
    <w:abstractNumId w:val="4"/>
  </w:num>
  <w:num w:numId="11" w16cid:durableId="291985460">
    <w:abstractNumId w:val="6"/>
  </w:num>
  <w:num w:numId="12" w16cid:durableId="467941983">
    <w:abstractNumId w:val="3"/>
  </w:num>
  <w:num w:numId="13" w16cid:durableId="712996464">
    <w:abstractNumId w:val="7"/>
  </w:num>
  <w:num w:numId="14" w16cid:durableId="1303778653">
    <w:abstractNumId w:val="8"/>
  </w:num>
  <w:num w:numId="15" w16cid:durableId="1714382259">
    <w:abstractNumId w:val="13"/>
  </w:num>
  <w:num w:numId="16" w16cid:durableId="5481076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14637577">
    <w:abstractNumId w:val="13"/>
  </w:num>
  <w:num w:numId="18" w16cid:durableId="1891382665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BD"/>
    <w:rsid w:val="00000F6A"/>
    <w:rsid w:val="00002472"/>
    <w:rsid w:val="00002B07"/>
    <w:rsid w:val="000042BE"/>
    <w:rsid w:val="0000626B"/>
    <w:rsid w:val="000062EF"/>
    <w:rsid w:val="00012897"/>
    <w:rsid w:val="00020DF9"/>
    <w:rsid w:val="00024904"/>
    <w:rsid w:val="000318B9"/>
    <w:rsid w:val="00037893"/>
    <w:rsid w:val="00046ECC"/>
    <w:rsid w:val="000470C5"/>
    <w:rsid w:val="000505E8"/>
    <w:rsid w:val="00054077"/>
    <w:rsid w:val="00057B25"/>
    <w:rsid w:val="00060BB9"/>
    <w:rsid w:val="0006245D"/>
    <w:rsid w:val="00066266"/>
    <w:rsid w:val="0006708B"/>
    <w:rsid w:val="00067617"/>
    <w:rsid w:val="0007115A"/>
    <w:rsid w:val="00074390"/>
    <w:rsid w:val="00074542"/>
    <w:rsid w:val="00077F1D"/>
    <w:rsid w:val="00077FD5"/>
    <w:rsid w:val="00085206"/>
    <w:rsid w:val="00092D2D"/>
    <w:rsid w:val="000973C8"/>
    <w:rsid w:val="000975DC"/>
    <w:rsid w:val="000A11FA"/>
    <w:rsid w:val="000A1C68"/>
    <w:rsid w:val="000A2AA9"/>
    <w:rsid w:val="000A43DF"/>
    <w:rsid w:val="000A56F2"/>
    <w:rsid w:val="000A6E05"/>
    <w:rsid w:val="000A6F10"/>
    <w:rsid w:val="000B0182"/>
    <w:rsid w:val="000B12FA"/>
    <w:rsid w:val="000B1E74"/>
    <w:rsid w:val="000B3AA0"/>
    <w:rsid w:val="000B4FD5"/>
    <w:rsid w:val="000B5C74"/>
    <w:rsid w:val="000B5CEB"/>
    <w:rsid w:val="000C08BF"/>
    <w:rsid w:val="000C1C02"/>
    <w:rsid w:val="000C3B9A"/>
    <w:rsid w:val="000C5B6A"/>
    <w:rsid w:val="000C6484"/>
    <w:rsid w:val="000C68A4"/>
    <w:rsid w:val="000D23CF"/>
    <w:rsid w:val="000D25A8"/>
    <w:rsid w:val="000D753B"/>
    <w:rsid w:val="000E270A"/>
    <w:rsid w:val="000E4C53"/>
    <w:rsid w:val="000E6FB5"/>
    <w:rsid w:val="000F2C6D"/>
    <w:rsid w:val="000F3BE4"/>
    <w:rsid w:val="000F48C6"/>
    <w:rsid w:val="000F4C0D"/>
    <w:rsid w:val="000F6FA9"/>
    <w:rsid w:val="00103522"/>
    <w:rsid w:val="0010409F"/>
    <w:rsid w:val="00120A3C"/>
    <w:rsid w:val="00121089"/>
    <w:rsid w:val="0012112B"/>
    <w:rsid w:val="00122596"/>
    <w:rsid w:val="001227B7"/>
    <w:rsid w:val="00134232"/>
    <w:rsid w:val="00136234"/>
    <w:rsid w:val="001364EE"/>
    <w:rsid w:val="00140665"/>
    <w:rsid w:val="00143384"/>
    <w:rsid w:val="00143CBF"/>
    <w:rsid w:val="00147FF9"/>
    <w:rsid w:val="00150004"/>
    <w:rsid w:val="00150AC0"/>
    <w:rsid w:val="00150EDC"/>
    <w:rsid w:val="00165845"/>
    <w:rsid w:val="001666D2"/>
    <w:rsid w:val="001670C7"/>
    <w:rsid w:val="00172C41"/>
    <w:rsid w:val="00172E90"/>
    <w:rsid w:val="00174980"/>
    <w:rsid w:val="001811D3"/>
    <w:rsid w:val="00182516"/>
    <w:rsid w:val="00182979"/>
    <w:rsid w:val="00184A8F"/>
    <w:rsid w:val="0019103F"/>
    <w:rsid w:val="0019237B"/>
    <w:rsid w:val="001A119F"/>
    <w:rsid w:val="001A5109"/>
    <w:rsid w:val="001A52BE"/>
    <w:rsid w:val="001B1D36"/>
    <w:rsid w:val="001B301B"/>
    <w:rsid w:val="001B684E"/>
    <w:rsid w:val="001C16DB"/>
    <w:rsid w:val="001C363F"/>
    <w:rsid w:val="001D0A68"/>
    <w:rsid w:val="001D7B1F"/>
    <w:rsid w:val="001E1067"/>
    <w:rsid w:val="001E1D5F"/>
    <w:rsid w:val="001E22B3"/>
    <w:rsid w:val="001E23F8"/>
    <w:rsid w:val="001E2A62"/>
    <w:rsid w:val="001E4A83"/>
    <w:rsid w:val="001E5D86"/>
    <w:rsid w:val="001F2819"/>
    <w:rsid w:val="001F7F2F"/>
    <w:rsid w:val="0020164F"/>
    <w:rsid w:val="00203525"/>
    <w:rsid w:val="002043EC"/>
    <w:rsid w:val="00210E91"/>
    <w:rsid w:val="00212963"/>
    <w:rsid w:val="00214F1B"/>
    <w:rsid w:val="00215FA4"/>
    <w:rsid w:val="00217336"/>
    <w:rsid w:val="00232676"/>
    <w:rsid w:val="00234137"/>
    <w:rsid w:val="00243DC0"/>
    <w:rsid w:val="00247477"/>
    <w:rsid w:val="00254FCA"/>
    <w:rsid w:val="00260F52"/>
    <w:rsid w:val="0026255D"/>
    <w:rsid w:val="00267432"/>
    <w:rsid w:val="002679BB"/>
    <w:rsid w:val="00270440"/>
    <w:rsid w:val="00270976"/>
    <w:rsid w:val="00272CCB"/>
    <w:rsid w:val="002745BA"/>
    <w:rsid w:val="00277757"/>
    <w:rsid w:val="00280414"/>
    <w:rsid w:val="00281935"/>
    <w:rsid w:val="00283502"/>
    <w:rsid w:val="00283BDF"/>
    <w:rsid w:val="00284D8D"/>
    <w:rsid w:val="00286344"/>
    <w:rsid w:val="00287BC5"/>
    <w:rsid w:val="00293DEE"/>
    <w:rsid w:val="002A0B5D"/>
    <w:rsid w:val="002A19D6"/>
    <w:rsid w:val="002A7B74"/>
    <w:rsid w:val="002B0F9D"/>
    <w:rsid w:val="002B1058"/>
    <w:rsid w:val="002B1633"/>
    <w:rsid w:val="002B5D74"/>
    <w:rsid w:val="002C5840"/>
    <w:rsid w:val="002C67FF"/>
    <w:rsid w:val="002C6A07"/>
    <w:rsid w:val="002C7000"/>
    <w:rsid w:val="002C7FE9"/>
    <w:rsid w:val="002D0DC5"/>
    <w:rsid w:val="002D4EFD"/>
    <w:rsid w:val="002D7235"/>
    <w:rsid w:val="002F05CF"/>
    <w:rsid w:val="002F5898"/>
    <w:rsid w:val="002F5F57"/>
    <w:rsid w:val="00301B04"/>
    <w:rsid w:val="003058B1"/>
    <w:rsid w:val="00307E4E"/>
    <w:rsid w:val="003150C5"/>
    <w:rsid w:val="00315A97"/>
    <w:rsid w:val="00316071"/>
    <w:rsid w:val="00326079"/>
    <w:rsid w:val="0032748B"/>
    <w:rsid w:val="00331212"/>
    <w:rsid w:val="00333F66"/>
    <w:rsid w:val="003343CD"/>
    <w:rsid w:val="00335459"/>
    <w:rsid w:val="003408DA"/>
    <w:rsid w:val="00342DA3"/>
    <w:rsid w:val="003438CA"/>
    <w:rsid w:val="00343E5C"/>
    <w:rsid w:val="00344FB8"/>
    <w:rsid w:val="003453FE"/>
    <w:rsid w:val="00352073"/>
    <w:rsid w:val="003522BB"/>
    <w:rsid w:val="00352AE6"/>
    <w:rsid w:val="00354AE0"/>
    <w:rsid w:val="00355074"/>
    <w:rsid w:val="00355BA8"/>
    <w:rsid w:val="00355EA5"/>
    <w:rsid w:val="0036017B"/>
    <w:rsid w:val="00362755"/>
    <w:rsid w:val="00364F66"/>
    <w:rsid w:val="00370F8D"/>
    <w:rsid w:val="00371A67"/>
    <w:rsid w:val="00373B93"/>
    <w:rsid w:val="00376012"/>
    <w:rsid w:val="00380CD1"/>
    <w:rsid w:val="0038246F"/>
    <w:rsid w:val="003874DC"/>
    <w:rsid w:val="00390447"/>
    <w:rsid w:val="00390E4F"/>
    <w:rsid w:val="003931DB"/>
    <w:rsid w:val="00393DEB"/>
    <w:rsid w:val="00393DF7"/>
    <w:rsid w:val="00395F7E"/>
    <w:rsid w:val="003978AD"/>
    <w:rsid w:val="003A02CA"/>
    <w:rsid w:val="003A201E"/>
    <w:rsid w:val="003A38F0"/>
    <w:rsid w:val="003A5828"/>
    <w:rsid w:val="003B21C4"/>
    <w:rsid w:val="003B29A6"/>
    <w:rsid w:val="003B2CED"/>
    <w:rsid w:val="003B5F81"/>
    <w:rsid w:val="003B7482"/>
    <w:rsid w:val="003B76E9"/>
    <w:rsid w:val="003C4293"/>
    <w:rsid w:val="003C4B5D"/>
    <w:rsid w:val="003C78FB"/>
    <w:rsid w:val="003D2A0B"/>
    <w:rsid w:val="003E1FCD"/>
    <w:rsid w:val="003E44EA"/>
    <w:rsid w:val="003F069A"/>
    <w:rsid w:val="003F0CD2"/>
    <w:rsid w:val="003F2DC2"/>
    <w:rsid w:val="003F3FEA"/>
    <w:rsid w:val="003F4329"/>
    <w:rsid w:val="003F4FB0"/>
    <w:rsid w:val="00410F85"/>
    <w:rsid w:val="004118CA"/>
    <w:rsid w:val="00412534"/>
    <w:rsid w:val="00412C83"/>
    <w:rsid w:val="004131D3"/>
    <w:rsid w:val="004245F3"/>
    <w:rsid w:val="0042501C"/>
    <w:rsid w:val="00425CF3"/>
    <w:rsid w:val="00426014"/>
    <w:rsid w:val="004275CE"/>
    <w:rsid w:val="00437D8F"/>
    <w:rsid w:val="00443B49"/>
    <w:rsid w:val="00444286"/>
    <w:rsid w:val="0044617E"/>
    <w:rsid w:val="0044786E"/>
    <w:rsid w:val="00453E0A"/>
    <w:rsid w:val="00454785"/>
    <w:rsid w:val="0046078B"/>
    <w:rsid w:val="00460B7D"/>
    <w:rsid w:val="004706E3"/>
    <w:rsid w:val="00476277"/>
    <w:rsid w:val="00476AA9"/>
    <w:rsid w:val="00480CB0"/>
    <w:rsid w:val="004827CB"/>
    <w:rsid w:val="00483603"/>
    <w:rsid w:val="00491A73"/>
    <w:rsid w:val="00493B77"/>
    <w:rsid w:val="00494696"/>
    <w:rsid w:val="004A08F1"/>
    <w:rsid w:val="004A0F03"/>
    <w:rsid w:val="004A1EAD"/>
    <w:rsid w:val="004A3715"/>
    <w:rsid w:val="004A47BE"/>
    <w:rsid w:val="004A6B5F"/>
    <w:rsid w:val="004B34EA"/>
    <w:rsid w:val="004B44F4"/>
    <w:rsid w:val="004B5494"/>
    <w:rsid w:val="004B7D1F"/>
    <w:rsid w:val="004C5D16"/>
    <w:rsid w:val="004C7A2B"/>
    <w:rsid w:val="004C7D3A"/>
    <w:rsid w:val="004D0688"/>
    <w:rsid w:val="004D1A44"/>
    <w:rsid w:val="004D5784"/>
    <w:rsid w:val="004D7092"/>
    <w:rsid w:val="004E045A"/>
    <w:rsid w:val="004E1E50"/>
    <w:rsid w:val="004E3725"/>
    <w:rsid w:val="004E7919"/>
    <w:rsid w:val="004F111A"/>
    <w:rsid w:val="00500062"/>
    <w:rsid w:val="005018A8"/>
    <w:rsid w:val="0050256D"/>
    <w:rsid w:val="00505A39"/>
    <w:rsid w:val="00506876"/>
    <w:rsid w:val="005078BC"/>
    <w:rsid w:val="0051403C"/>
    <w:rsid w:val="00514062"/>
    <w:rsid w:val="00521331"/>
    <w:rsid w:val="005240BF"/>
    <w:rsid w:val="005244DE"/>
    <w:rsid w:val="00525DD3"/>
    <w:rsid w:val="00525FD5"/>
    <w:rsid w:val="00526AD9"/>
    <w:rsid w:val="0053023D"/>
    <w:rsid w:val="005328D7"/>
    <w:rsid w:val="00536B56"/>
    <w:rsid w:val="005370B0"/>
    <w:rsid w:val="00544D22"/>
    <w:rsid w:val="005515FF"/>
    <w:rsid w:val="00551AC3"/>
    <w:rsid w:val="0055223D"/>
    <w:rsid w:val="00552713"/>
    <w:rsid w:val="00553098"/>
    <w:rsid w:val="00554DCD"/>
    <w:rsid w:val="00556D79"/>
    <w:rsid w:val="00560391"/>
    <w:rsid w:val="00560485"/>
    <w:rsid w:val="00560644"/>
    <w:rsid w:val="005720DF"/>
    <w:rsid w:val="00572731"/>
    <w:rsid w:val="005779EC"/>
    <w:rsid w:val="005805B7"/>
    <w:rsid w:val="0058131C"/>
    <w:rsid w:val="005815CC"/>
    <w:rsid w:val="00585390"/>
    <w:rsid w:val="0059299F"/>
    <w:rsid w:val="0059338C"/>
    <w:rsid w:val="005939A5"/>
    <w:rsid w:val="005946E1"/>
    <w:rsid w:val="00594B8A"/>
    <w:rsid w:val="005A148C"/>
    <w:rsid w:val="005A2AA1"/>
    <w:rsid w:val="005A5F89"/>
    <w:rsid w:val="005B2699"/>
    <w:rsid w:val="005B3503"/>
    <w:rsid w:val="005B5937"/>
    <w:rsid w:val="005B66C9"/>
    <w:rsid w:val="005B694D"/>
    <w:rsid w:val="005B6BD1"/>
    <w:rsid w:val="005C1478"/>
    <w:rsid w:val="005C15ED"/>
    <w:rsid w:val="005C1EF2"/>
    <w:rsid w:val="005C33D2"/>
    <w:rsid w:val="005C58FA"/>
    <w:rsid w:val="005C6146"/>
    <w:rsid w:val="005C686F"/>
    <w:rsid w:val="005E1616"/>
    <w:rsid w:val="005E2BC0"/>
    <w:rsid w:val="005E2E00"/>
    <w:rsid w:val="005F2214"/>
    <w:rsid w:val="005F5B19"/>
    <w:rsid w:val="00603238"/>
    <w:rsid w:val="00606A43"/>
    <w:rsid w:val="00610E67"/>
    <w:rsid w:val="00617251"/>
    <w:rsid w:val="006218F1"/>
    <w:rsid w:val="006228D1"/>
    <w:rsid w:val="006237E7"/>
    <w:rsid w:val="0062381E"/>
    <w:rsid w:val="00626ADE"/>
    <w:rsid w:val="00626AF0"/>
    <w:rsid w:val="00632207"/>
    <w:rsid w:val="0063491C"/>
    <w:rsid w:val="00641A5C"/>
    <w:rsid w:val="00650766"/>
    <w:rsid w:val="006570A6"/>
    <w:rsid w:val="00661AFE"/>
    <w:rsid w:val="0066365F"/>
    <w:rsid w:val="006652E9"/>
    <w:rsid w:val="00665B59"/>
    <w:rsid w:val="00666235"/>
    <w:rsid w:val="00675C79"/>
    <w:rsid w:val="00677564"/>
    <w:rsid w:val="00680683"/>
    <w:rsid w:val="00680F19"/>
    <w:rsid w:val="0068175B"/>
    <w:rsid w:val="006828AC"/>
    <w:rsid w:val="00683B2C"/>
    <w:rsid w:val="0068571A"/>
    <w:rsid w:val="00686874"/>
    <w:rsid w:val="00687142"/>
    <w:rsid w:val="00691B65"/>
    <w:rsid w:val="0069219E"/>
    <w:rsid w:val="00694CF8"/>
    <w:rsid w:val="00694E76"/>
    <w:rsid w:val="00695B03"/>
    <w:rsid w:val="006A0F98"/>
    <w:rsid w:val="006A17FA"/>
    <w:rsid w:val="006A4DBB"/>
    <w:rsid w:val="006A68CD"/>
    <w:rsid w:val="006A7B11"/>
    <w:rsid w:val="006B4D5E"/>
    <w:rsid w:val="006B5C1E"/>
    <w:rsid w:val="006C1F10"/>
    <w:rsid w:val="006C2D1C"/>
    <w:rsid w:val="006C7A21"/>
    <w:rsid w:val="006D3B99"/>
    <w:rsid w:val="006E1E8C"/>
    <w:rsid w:val="006E235A"/>
    <w:rsid w:val="006E5E28"/>
    <w:rsid w:val="006E608E"/>
    <w:rsid w:val="006E6574"/>
    <w:rsid w:val="006F2A02"/>
    <w:rsid w:val="006F595A"/>
    <w:rsid w:val="006F79A1"/>
    <w:rsid w:val="00712942"/>
    <w:rsid w:val="00714CE1"/>
    <w:rsid w:val="00714CF2"/>
    <w:rsid w:val="007156B9"/>
    <w:rsid w:val="00717E45"/>
    <w:rsid w:val="00720422"/>
    <w:rsid w:val="00720817"/>
    <w:rsid w:val="00721408"/>
    <w:rsid w:val="00722850"/>
    <w:rsid w:val="007257DD"/>
    <w:rsid w:val="0073353F"/>
    <w:rsid w:val="007338BF"/>
    <w:rsid w:val="00735A91"/>
    <w:rsid w:val="007410FF"/>
    <w:rsid w:val="0074189E"/>
    <w:rsid w:val="00742433"/>
    <w:rsid w:val="00742E45"/>
    <w:rsid w:val="007447AF"/>
    <w:rsid w:val="00746668"/>
    <w:rsid w:val="00746FF2"/>
    <w:rsid w:val="00750816"/>
    <w:rsid w:val="0075330B"/>
    <w:rsid w:val="00756002"/>
    <w:rsid w:val="0075625A"/>
    <w:rsid w:val="00756E8C"/>
    <w:rsid w:val="00762B62"/>
    <w:rsid w:val="00763202"/>
    <w:rsid w:val="00763815"/>
    <w:rsid w:val="007657C1"/>
    <w:rsid w:val="00765E05"/>
    <w:rsid w:val="00772A57"/>
    <w:rsid w:val="00775260"/>
    <w:rsid w:val="0077755F"/>
    <w:rsid w:val="00783746"/>
    <w:rsid w:val="00784E07"/>
    <w:rsid w:val="0079214A"/>
    <w:rsid w:val="00795C7E"/>
    <w:rsid w:val="00795FF2"/>
    <w:rsid w:val="007A3820"/>
    <w:rsid w:val="007A406D"/>
    <w:rsid w:val="007A4AC7"/>
    <w:rsid w:val="007A4CCF"/>
    <w:rsid w:val="007A62B0"/>
    <w:rsid w:val="007A74F7"/>
    <w:rsid w:val="007A7581"/>
    <w:rsid w:val="007A75C5"/>
    <w:rsid w:val="007B2F52"/>
    <w:rsid w:val="007B484D"/>
    <w:rsid w:val="007B4BB6"/>
    <w:rsid w:val="007B7A4D"/>
    <w:rsid w:val="007C0FC5"/>
    <w:rsid w:val="007C37C1"/>
    <w:rsid w:val="007C5A0C"/>
    <w:rsid w:val="007D0083"/>
    <w:rsid w:val="007D0CB1"/>
    <w:rsid w:val="007D682F"/>
    <w:rsid w:val="007D71BE"/>
    <w:rsid w:val="007D7E88"/>
    <w:rsid w:val="007E0008"/>
    <w:rsid w:val="007E052F"/>
    <w:rsid w:val="007E0FEE"/>
    <w:rsid w:val="007E2125"/>
    <w:rsid w:val="007E6D84"/>
    <w:rsid w:val="007F2017"/>
    <w:rsid w:val="007F3D02"/>
    <w:rsid w:val="007F56BE"/>
    <w:rsid w:val="007F5B6A"/>
    <w:rsid w:val="007F6B64"/>
    <w:rsid w:val="00800269"/>
    <w:rsid w:val="0080333A"/>
    <w:rsid w:val="0080390E"/>
    <w:rsid w:val="00803C57"/>
    <w:rsid w:val="008046C6"/>
    <w:rsid w:val="00804935"/>
    <w:rsid w:val="00806DB4"/>
    <w:rsid w:val="0081285B"/>
    <w:rsid w:val="00815359"/>
    <w:rsid w:val="008159CF"/>
    <w:rsid w:val="00816E05"/>
    <w:rsid w:val="0082225A"/>
    <w:rsid w:val="0082287A"/>
    <w:rsid w:val="00832CEA"/>
    <w:rsid w:val="008339BB"/>
    <w:rsid w:val="00833E5C"/>
    <w:rsid w:val="00833F6E"/>
    <w:rsid w:val="0083681D"/>
    <w:rsid w:val="00856385"/>
    <w:rsid w:val="00860DEB"/>
    <w:rsid w:val="00861A89"/>
    <w:rsid w:val="00863902"/>
    <w:rsid w:val="0086419A"/>
    <w:rsid w:val="008669B0"/>
    <w:rsid w:val="0087023B"/>
    <w:rsid w:val="008710E6"/>
    <w:rsid w:val="00873D15"/>
    <w:rsid w:val="008758BE"/>
    <w:rsid w:val="008803AB"/>
    <w:rsid w:val="00880E51"/>
    <w:rsid w:val="00884EE6"/>
    <w:rsid w:val="008932AE"/>
    <w:rsid w:val="0089480C"/>
    <w:rsid w:val="008A01B4"/>
    <w:rsid w:val="008A08BF"/>
    <w:rsid w:val="008A0C39"/>
    <w:rsid w:val="008A0D53"/>
    <w:rsid w:val="008A179F"/>
    <w:rsid w:val="008B0864"/>
    <w:rsid w:val="008B175A"/>
    <w:rsid w:val="008B37CC"/>
    <w:rsid w:val="008B3FD3"/>
    <w:rsid w:val="008B46EC"/>
    <w:rsid w:val="008C0A1B"/>
    <w:rsid w:val="008C10AF"/>
    <w:rsid w:val="008C3CB7"/>
    <w:rsid w:val="008C3F37"/>
    <w:rsid w:val="008C629B"/>
    <w:rsid w:val="008C7413"/>
    <w:rsid w:val="008D1226"/>
    <w:rsid w:val="008D16B7"/>
    <w:rsid w:val="008D388D"/>
    <w:rsid w:val="008D3C53"/>
    <w:rsid w:val="008D4B1F"/>
    <w:rsid w:val="008E0142"/>
    <w:rsid w:val="008E2784"/>
    <w:rsid w:val="008E3CB5"/>
    <w:rsid w:val="008E63EF"/>
    <w:rsid w:val="008E66F5"/>
    <w:rsid w:val="008E6AE6"/>
    <w:rsid w:val="008E7A2A"/>
    <w:rsid w:val="008F0116"/>
    <w:rsid w:val="008F143D"/>
    <w:rsid w:val="008F175C"/>
    <w:rsid w:val="008F312F"/>
    <w:rsid w:val="008F4D45"/>
    <w:rsid w:val="00900885"/>
    <w:rsid w:val="00900F4E"/>
    <w:rsid w:val="00901CA5"/>
    <w:rsid w:val="009044B7"/>
    <w:rsid w:val="00904C9A"/>
    <w:rsid w:val="00906F7B"/>
    <w:rsid w:val="00912EAD"/>
    <w:rsid w:val="00913895"/>
    <w:rsid w:val="0091447D"/>
    <w:rsid w:val="00916500"/>
    <w:rsid w:val="00917B94"/>
    <w:rsid w:val="00927A99"/>
    <w:rsid w:val="00932865"/>
    <w:rsid w:val="009412D5"/>
    <w:rsid w:val="00943C56"/>
    <w:rsid w:val="00944D01"/>
    <w:rsid w:val="009512AC"/>
    <w:rsid w:val="00952864"/>
    <w:rsid w:val="00953D72"/>
    <w:rsid w:val="00963A16"/>
    <w:rsid w:val="00965B10"/>
    <w:rsid w:val="00970317"/>
    <w:rsid w:val="00970751"/>
    <w:rsid w:val="00971450"/>
    <w:rsid w:val="009721AF"/>
    <w:rsid w:val="00976172"/>
    <w:rsid w:val="009764E3"/>
    <w:rsid w:val="0098138E"/>
    <w:rsid w:val="00984646"/>
    <w:rsid w:val="00986398"/>
    <w:rsid w:val="0098655A"/>
    <w:rsid w:val="009931EB"/>
    <w:rsid w:val="00993DA5"/>
    <w:rsid w:val="009A4962"/>
    <w:rsid w:val="009A6E36"/>
    <w:rsid w:val="009A7AF3"/>
    <w:rsid w:val="009B2528"/>
    <w:rsid w:val="009B267D"/>
    <w:rsid w:val="009B368A"/>
    <w:rsid w:val="009B69B3"/>
    <w:rsid w:val="009C0472"/>
    <w:rsid w:val="009C1D74"/>
    <w:rsid w:val="009C69B6"/>
    <w:rsid w:val="009D58D2"/>
    <w:rsid w:val="009E2F8F"/>
    <w:rsid w:val="009E39DC"/>
    <w:rsid w:val="009E5080"/>
    <w:rsid w:val="009E6052"/>
    <w:rsid w:val="009E7C7F"/>
    <w:rsid w:val="009F0688"/>
    <w:rsid w:val="009F27E2"/>
    <w:rsid w:val="009F40E4"/>
    <w:rsid w:val="009F4DF2"/>
    <w:rsid w:val="009F55AE"/>
    <w:rsid w:val="009F5EC0"/>
    <w:rsid w:val="00A002B0"/>
    <w:rsid w:val="00A00D1E"/>
    <w:rsid w:val="00A041EC"/>
    <w:rsid w:val="00A15382"/>
    <w:rsid w:val="00A165B4"/>
    <w:rsid w:val="00A17CE0"/>
    <w:rsid w:val="00A20D48"/>
    <w:rsid w:val="00A23D48"/>
    <w:rsid w:val="00A2587F"/>
    <w:rsid w:val="00A278CA"/>
    <w:rsid w:val="00A30175"/>
    <w:rsid w:val="00A30260"/>
    <w:rsid w:val="00A32290"/>
    <w:rsid w:val="00A359BC"/>
    <w:rsid w:val="00A3730E"/>
    <w:rsid w:val="00A42306"/>
    <w:rsid w:val="00A44E8D"/>
    <w:rsid w:val="00A45982"/>
    <w:rsid w:val="00A46EA8"/>
    <w:rsid w:val="00A55ACD"/>
    <w:rsid w:val="00A5663F"/>
    <w:rsid w:val="00A62FDA"/>
    <w:rsid w:val="00A653CC"/>
    <w:rsid w:val="00A67C0D"/>
    <w:rsid w:val="00A71B7E"/>
    <w:rsid w:val="00A7645E"/>
    <w:rsid w:val="00A77581"/>
    <w:rsid w:val="00A839C8"/>
    <w:rsid w:val="00A85560"/>
    <w:rsid w:val="00A85A7E"/>
    <w:rsid w:val="00A85D27"/>
    <w:rsid w:val="00A9109E"/>
    <w:rsid w:val="00A94922"/>
    <w:rsid w:val="00A958FB"/>
    <w:rsid w:val="00AA0DC7"/>
    <w:rsid w:val="00AA55F5"/>
    <w:rsid w:val="00AA7DA8"/>
    <w:rsid w:val="00AB385E"/>
    <w:rsid w:val="00AB58AC"/>
    <w:rsid w:val="00AB7875"/>
    <w:rsid w:val="00AC35B3"/>
    <w:rsid w:val="00AC3BA4"/>
    <w:rsid w:val="00AC4E60"/>
    <w:rsid w:val="00AC68EE"/>
    <w:rsid w:val="00AE6131"/>
    <w:rsid w:val="00AE7901"/>
    <w:rsid w:val="00AE7A32"/>
    <w:rsid w:val="00AF3D38"/>
    <w:rsid w:val="00B01F7E"/>
    <w:rsid w:val="00B04251"/>
    <w:rsid w:val="00B12D52"/>
    <w:rsid w:val="00B142C6"/>
    <w:rsid w:val="00B16C2A"/>
    <w:rsid w:val="00B21C18"/>
    <w:rsid w:val="00B25513"/>
    <w:rsid w:val="00B261B4"/>
    <w:rsid w:val="00B3087D"/>
    <w:rsid w:val="00B34794"/>
    <w:rsid w:val="00B35D6C"/>
    <w:rsid w:val="00B36217"/>
    <w:rsid w:val="00B46E50"/>
    <w:rsid w:val="00B47FD3"/>
    <w:rsid w:val="00B52AB5"/>
    <w:rsid w:val="00B54D9C"/>
    <w:rsid w:val="00B60421"/>
    <w:rsid w:val="00B62CB7"/>
    <w:rsid w:val="00B65C68"/>
    <w:rsid w:val="00B70040"/>
    <w:rsid w:val="00B73C20"/>
    <w:rsid w:val="00B74EAB"/>
    <w:rsid w:val="00B814BD"/>
    <w:rsid w:val="00B81E9A"/>
    <w:rsid w:val="00B81EB6"/>
    <w:rsid w:val="00B83A73"/>
    <w:rsid w:val="00BA204A"/>
    <w:rsid w:val="00BA41B8"/>
    <w:rsid w:val="00BA576A"/>
    <w:rsid w:val="00BB0243"/>
    <w:rsid w:val="00BB340C"/>
    <w:rsid w:val="00BC624B"/>
    <w:rsid w:val="00BC625C"/>
    <w:rsid w:val="00BD0E64"/>
    <w:rsid w:val="00BD0F1F"/>
    <w:rsid w:val="00BD17B6"/>
    <w:rsid w:val="00BE2C4A"/>
    <w:rsid w:val="00BE75B8"/>
    <w:rsid w:val="00BF3545"/>
    <w:rsid w:val="00BF6CF7"/>
    <w:rsid w:val="00BF6EA8"/>
    <w:rsid w:val="00C006FC"/>
    <w:rsid w:val="00C019FF"/>
    <w:rsid w:val="00C10B5F"/>
    <w:rsid w:val="00C10C91"/>
    <w:rsid w:val="00C14778"/>
    <w:rsid w:val="00C15C5B"/>
    <w:rsid w:val="00C22B55"/>
    <w:rsid w:val="00C23D6C"/>
    <w:rsid w:val="00C2540C"/>
    <w:rsid w:val="00C270E5"/>
    <w:rsid w:val="00C31AFD"/>
    <w:rsid w:val="00C33E6F"/>
    <w:rsid w:val="00C363FB"/>
    <w:rsid w:val="00C36A06"/>
    <w:rsid w:val="00C37D73"/>
    <w:rsid w:val="00C427F7"/>
    <w:rsid w:val="00C43A70"/>
    <w:rsid w:val="00C45800"/>
    <w:rsid w:val="00C46090"/>
    <w:rsid w:val="00C47589"/>
    <w:rsid w:val="00C536D8"/>
    <w:rsid w:val="00C5498A"/>
    <w:rsid w:val="00C5667F"/>
    <w:rsid w:val="00C61394"/>
    <w:rsid w:val="00C62B41"/>
    <w:rsid w:val="00C724C9"/>
    <w:rsid w:val="00C72CF3"/>
    <w:rsid w:val="00C72F61"/>
    <w:rsid w:val="00C75803"/>
    <w:rsid w:val="00C75CE5"/>
    <w:rsid w:val="00C75F4B"/>
    <w:rsid w:val="00C8481B"/>
    <w:rsid w:val="00C84E14"/>
    <w:rsid w:val="00C878D5"/>
    <w:rsid w:val="00C9033B"/>
    <w:rsid w:val="00C913A1"/>
    <w:rsid w:val="00C919B6"/>
    <w:rsid w:val="00CA0E12"/>
    <w:rsid w:val="00CA1C04"/>
    <w:rsid w:val="00CA2996"/>
    <w:rsid w:val="00CA3269"/>
    <w:rsid w:val="00CB0199"/>
    <w:rsid w:val="00CB0408"/>
    <w:rsid w:val="00CB4DEC"/>
    <w:rsid w:val="00CB550D"/>
    <w:rsid w:val="00CB7AAC"/>
    <w:rsid w:val="00CC144F"/>
    <w:rsid w:val="00CC30A0"/>
    <w:rsid w:val="00CC3A3D"/>
    <w:rsid w:val="00CC6A99"/>
    <w:rsid w:val="00CD4FD5"/>
    <w:rsid w:val="00CE1EE7"/>
    <w:rsid w:val="00CE1F98"/>
    <w:rsid w:val="00CE5246"/>
    <w:rsid w:val="00CE582C"/>
    <w:rsid w:val="00CE689D"/>
    <w:rsid w:val="00CF0574"/>
    <w:rsid w:val="00CF22CD"/>
    <w:rsid w:val="00CF70C3"/>
    <w:rsid w:val="00CF720F"/>
    <w:rsid w:val="00CF7A01"/>
    <w:rsid w:val="00CF7F70"/>
    <w:rsid w:val="00D00AA3"/>
    <w:rsid w:val="00D018CB"/>
    <w:rsid w:val="00D020F2"/>
    <w:rsid w:val="00D02E82"/>
    <w:rsid w:val="00D038F3"/>
    <w:rsid w:val="00D04661"/>
    <w:rsid w:val="00D0504E"/>
    <w:rsid w:val="00D055C9"/>
    <w:rsid w:val="00D058E1"/>
    <w:rsid w:val="00D059CD"/>
    <w:rsid w:val="00D07F73"/>
    <w:rsid w:val="00D14844"/>
    <w:rsid w:val="00D14B4D"/>
    <w:rsid w:val="00D2041C"/>
    <w:rsid w:val="00D23D7B"/>
    <w:rsid w:val="00D24075"/>
    <w:rsid w:val="00D25ADE"/>
    <w:rsid w:val="00D25F17"/>
    <w:rsid w:val="00D35740"/>
    <w:rsid w:val="00D378D8"/>
    <w:rsid w:val="00D42D99"/>
    <w:rsid w:val="00D43297"/>
    <w:rsid w:val="00D4363F"/>
    <w:rsid w:val="00D43670"/>
    <w:rsid w:val="00D44287"/>
    <w:rsid w:val="00D446EC"/>
    <w:rsid w:val="00D44DB6"/>
    <w:rsid w:val="00D45F38"/>
    <w:rsid w:val="00D50119"/>
    <w:rsid w:val="00D62017"/>
    <w:rsid w:val="00D62B1B"/>
    <w:rsid w:val="00D63A51"/>
    <w:rsid w:val="00D676AC"/>
    <w:rsid w:val="00D82A43"/>
    <w:rsid w:val="00D84685"/>
    <w:rsid w:val="00D84FCA"/>
    <w:rsid w:val="00D92015"/>
    <w:rsid w:val="00DA1C7C"/>
    <w:rsid w:val="00DA7B5D"/>
    <w:rsid w:val="00DB0A5C"/>
    <w:rsid w:val="00DB3916"/>
    <w:rsid w:val="00DB42E1"/>
    <w:rsid w:val="00DB725A"/>
    <w:rsid w:val="00DC0D75"/>
    <w:rsid w:val="00DC50A7"/>
    <w:rsid w:val="00DD05E6"/>
    <w:rsid w:val="00DE0703"/>
    <w:rsid w:val="00DE2597"/>
    <w:rsid w:val="00DE3A8D"/>
    <w:rsid w:val="00DF157D"/>
    <w:rsid w:val="00DF1917"/>
    <w:rsid w:val="00DF2974"/>
    <w:rsid w:val="00DF3E74"/>
    <w:rsid w:val="00DF4AFA"/>
    <w:rsid w:val="00DF58E7"/>
    <w:rsid w:val="00DF5A5E"/>
    <w:rsid w:val="00DF5FB5"/>
    <w:rsid w:val="00DF7916"/>
    <w:rsid w:val="00E00C9D"/>
    <w:rsid w:val="00E01229"/>
    <w:rsid w:val="00E01B8D"/>
    <w:rsid w:val="00E10307"/>
    <w:rsid w:val="00E112D4"/>
    <w:rsid w:val="00E11876"/>
    <w:rsid w:val="00E12321"/>
    <w:rsid w:val="00E123BD"/>
    <w:rsid w:val="00E179EB"/>
    <w:rsid w:val="00E213CB"/>
    <w:rsid w:val="00E21655"/>
    <w:rsid w:val="00E2366E"/>
    <w:rsid w:val="00E23CBB"/>
    <w:rsid w:val="00E26862"/>
    <w:rsid w:val="00E335DA"/>
    <w:rsid w:val="00E33822"/>
    <w:rsid w:val="00E37B59"/>
    <w:rsid w:val="00E4099E"/>
    <w:rsid w:val="00E44683"/>
    <w:rsid w:val="00E47A83"/>
    <w:rsid w:val="00E47FF5"/>
    <w:rsid w:val="00E53257"/>
    <w:rsid w:val="00E53438"/>
    <w:rsid w:val="00E55FA8"/>
    <w:rsid w:val="00E67515"/>
    <w:rsid w:val="00E725FC"/>
    <w:rsid w:val="00E746B5"/>
    <w:rsid w:val="00E8548B"/>
    <w:rsid w:val="00E86842"/>
    <w:rsid w:val="00E86ABD"/>
    <w:rsid w:val="00E91575"/>
    <w:rsid w:val="00E92C62"/>
    <w:rsid w:val="00E9772B"/>
    <w:rsid w:val="00EA132A"/>
    <w:rsid w:val="00EA2A48"/>
    <w:rsid w:val="00EA31B6"/>
    <w:rsid w:val="00EA36C6"/>
    <w:rsid w:val="00EA3A3A"/>
    <w:rsid w:val="00EA7439"/>
    <w:rsid w:val="00EC076B"/>
    <w:rsid w:val="00EC18D9"/>
    <w:rsid w:val="00EC30F9"/>
    <w:rsid w:val="00EC525F"/>
    <w:rsid w:val="00EC7FB9"/>
    <w:rsid w:val="00ED3679"/>
    <w:rsid w:val="00ED5725"/>
    <w:rsid w:val="00ED615D"/>
    <w:rsid w:val="00ED7031"/>
    <w:rsid w:val="00EE2F1B"/>
    <w:rsid w:val="00EE3060"/>
    <w:rsid w:val="00EE3FE3"/>
    <w:rsid w:val="00EE4315"/>
    <w:rsid w:val="00EE4CE9"/>
    <w:rsid w:val="00EF3D30"/>
    <w:rsid w:val="00EF3D76"/>
    <w:rsid w:val="00EF5EBD"/>
    <w:rsid w:val="00EF6925"/>
    <w:rsid w:val="00EF6ECA"/>
    <w:rsid w:val="00F05322"/>
    <w:rsid w:val="00F063F1"/>
    <w:rsid w:val="00F06BAE"/>
    <w:rsid w:val="00F1037F"/>
    <w:rsid w:val="00F10713"/>
    <w:rsid w:val="00F10D44"/>
    <w:rsid w:val="00F1138F"/>
    <w:rsid w:val="00F12118"/>
    <w:rsid w:val="00F1308C"/>
    <w:rsid w:val="00F17E88"/>
    <w:rsid w:val="00F20D00"/>
    <w:rsid w:val="00F215B0"/>
    <w:rsid w:val="00F22AC4"/>
    <w:rsid w:val="00F23481"/>
    <w:rsid w:val="00F238F7"/>
    <w:rsid w:val="00F26ED3"/>
    <w:rsid w:val="00F31582"/>
    <w:rsid w:val="00F3202D"/>
    <w:rsid w:val="00F405F9"/>
    <w:rsid w:val="00F41D76"/>
    <w:rsid w:val="00F42195"/>
    <w:rsid w:val="00F43F74"/>
    <w:rsid w:val="00F5247E"/>
    <w:rsid w:val="00F52673"/>
    <w:rsid w:val="00F56566"/>
    <w:rsid w:val="00F62B7A"/>
    <w:rsid w:val="00F6397D"/>
    <w:rsid w:val="00F642F3"/>
    <w:rsid w:val="00F677CA"/>
    <w:rsid w:val="00F7215D"/>
    <w:rsid w:val="00F7293E"/>
    <w:rsid w:val="00F76650"/>
    <w:rsid w:val="00F85031"/>
    <w:rsid w:val="00F852E1"/>
    <w:rsid w:val="00F874DF"/>
    <w:rsid w:val="00F90A42"/>
    <w:rsid w:val="00F9187B"/>
    <w:rsid w:val="00F92385"/>
    <w:rsid w:val="00F926BF"/>
    <w:rsid w:val="00FA1B4F"/>
    <w:rsid w:val="00FA3E8C"/>
    <w:rsid w:val="00FB1BE7"/>
    <w:rsid w:val="00FB52B5"/>
    <w:rsid w:val="00FB59AD"/>
    <w:rsid w:val="00FB6189"/>
    <w:rsid w:val="00FB71D2"/>
    <w:rsid w:val="00FC0369"/>
    <w:rsid w:val="00FC2BC1"/>
    <w:rsid w:val="00FC47F9"/>
    <w:rsid w:val="00FC6B62"/>
    <w:rsid w:val="00FC6EA0"/>
    <w:rsid w:val="00FD093B"/>
    <w:rsid w:val="00FD1515"/>
    <w:rsid w:val="00FD2592"/>
    <w:rsid w:val="00FD4504"/>
    <w:rsid w:val="00FD6155"/>
    <w:rsid w:val="00FD6495"/>
    <w:rsid w:val="00FD6714"/>
    <w:rsid w:val="00FD6DB0"/>
    <w:rsid w:val="00FE0AD0"/>
    <w:rsid w:val="00FE2351"/>
    <w:rsid w:val="00FE23D3"/>
    <w:rsid w:val="00FE337D"/>
    <w:rsid w:val="00FE4AA3"/>
    <w:rsid w:val="00FE5580"/>
    <w:rsid w:val="00FE6E77"/>
    <w:rsid w:val="00FF110C"/>
    <w:rsid w:val="00FF43F4"/>
    <w:rsid w:val="00FF4496"/>
    <w:rsid w:val="00FF601A"/>
    <w:rsid w:val="205BE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BB9E4A"/>
  <w15:chartTrackingRefBased/>
  <w15:docId w15:val="{689E3D8F-AB1E-43BE-8EA2-53183D94880D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uiPriority="4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61AFE"/>
    <w:pPr>
      <w:spacing w:after="0" w:line="360" w:lineRule="auto"/>
      <w:ind w:firstLine="720"/>
    </w:pPr>
    <w:rPr>
      <w:rFonts w:ascii="Book Antiqua" w:hAnsi="Book Antiqua"/>
      <w:sz w:val="26"/>
    </w:rPr>
  </w:style>
  <w:style w:type="paragraph" w:styleId="Heading1">
    <w:name w:val="heading 1"/>
    <w:basedOn w:val="Dummy"/>
    <w:next w:val="Standard"/>
    <w:link w:val="Heading1Char"/>
    <w:uiPriority w:val="4"/>
    <w:qFormat/>
    <w:rsid w:val="000E270A"/>
    <w:pPr>
      <w:numPr>
        <w:numId w:val="1"/>
      </w:numPr>
      <w:ind w:right="2160"/>
    </w:pPr>
    <w:rPr>
      <w:rFonts w:eastAsiaTheme="majorEastAsia" w:cstheme="majorBidi"/>
      <w:szCs w:val="32"/>
    </w:rPr>
  </w:style>
  <w:style w:type="paragraph" w:styleId="Heading2">
    <w:name w:val="heading 2"/>
    <w:basedOn w:val="Dummy"/>
    <w:next w:val="Standard"/>
    <w:link w:val="Heading2Char"/>
    <w:uiPriority w:val="4"/>
    <w:qFormat/>
    <w:rsid w:val="000E270A"/>
    <w:pPr>
      <w:numPr>
        <w:ilvl w:val="1"/>
        <w:numId w:val="1"/>
      </w:numPr>
      <w:ind w:right="2160"/>
      <w:outlineLvl w:val="1"/>
    </w:pPr>
  </w:style>
  <w:style w:type="paragraph" w:styleId="Heading3">
    <w:name w:val="heading 3"/>
    <w:basedOn w:val="Dummy"/>
    <w:next w:val="Standard"/>
    <w:link w:val="Heading3Char"/>
    <w:uiPriority w:val="4"/>
    <w:qFormat/>
    <w:rsid w:val="000E270A"/>
    <w:pPr>
      <w:numPr>
        <w:ilvl w:val="2"/>
        <w:numId w:val="15"/>
      </w:numPr>
      <w:ind w:right="216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Dummy"/>
    <w:next w:val="Standard"/>
    <w:link w:val="Heading4Char"/>
    <w:uiPriority w:val="4"/>
    <w:rsid w:val="000E270A"/>
    <w:pPr>
      <w:numPr>
        <w:ilvl w:val="3"/>
        <w:numId w:val="15"/>
      </w:numPr>
      <w:ind w:right="216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Dummy"/>
    <w:next w:val="Standard"/>
    <w:link w:val="Heading5Char"/>
    <w:uiPriority w:val="4"/>
    <w:rsid w:val="000E270A"/>
    <w:pPr>
      <w:numPr>
        <w:ilvl w:val="4"/>
        <w:numId w:val="15"/>
      </w:numPr>
      <w:ind w:right="2160"/>
      <w:outlineLvl w:val="4"/>
    </w:pPr>
    <w:rPr>
      <w:rFonts w:eastAsiaTheme="majorEastAsia" w:cstheme="majorBidi"/>
    </w:rPr>
  </w:style>
  <w:style w:type="paragraph" w:styleId="Heading6">
    <w:name w:val="heading 6"/>
    <w:basedOn w:val="Dummy"/>
    <w:next w:val="Standard"/>
    <w:link w:val="Heading6Char"/>
    <w:uiPriority w:val="4"/>
    <w:rsid w:val="000E270A"/>
    <w:pPr>
      <w:numPr>
        <w:ilvl w:val="5"/>
        <w:numId w:val="15"/>
      </w:numPr>
      <w:spacing w:before="40"/>
      <w:ind w:right="2160"/>
      <w:outlineLvl w:val="5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287BC5"/>
    <w:rPr>
      <w:rFonts w:ascii="Arial" w:eastAsiaTheme="majorEastAsia" w:hAnsi="Arial" w:cstheme="majorBidi"/>
      <w:b/>
      <w:sz w:val="26"/>
      <w:szCs w:val="32"/>
    </w:rPr>
  </w:style>
  <w:style w:type="paragraph" w:styleId="TOCHeading">
    <w:name w:val="TOC Heading"/>
    <w:next w:val="Normal"/>
    <w:uiPriority w:val="39"/>
    <w:unhideWhenUsed/>
    <w:rsid w:val="001E2A62"/>
    <w:pPr>
      <w:spacing w:line="240" w:lineRule="auto"/>
      <w:jc w:val="center"/>
    </w:pPr>
    <w:rPr>
      <w:rFonts w:ascii="Arial" w:eastAsiaTheme="majorEastAsia" w:hAnsi="Arial" w:cstheme="majorBidi"/>
      <w:b/>
      <w:sz w:val="26"/>
      <w:szCs w:val="32"/>
    </w:rPr>
  </w:style>
  <w:style w:type="paragraph" w:styleId="Title">
    <w:name w:val="Title"/>
    <w:basedOn w:val="Dummy"/>
    <w:next w:val="Normal"/>
    <w:link w:val="TitleChar"/>
    <w:uiPriority w:val="10"/>
    <w:semiHidden/>
    <w:rsid w:val="00121089"/>
    <w:pPr>
      <w:spacing w:after="0"/>
      <w:contextualSpacing/>
      <w:jc w:val="center"/>
    </w:pPr>
    <w:rPr>
      <w:rFonts w:eastAsiaTheme="majorEastAsia" w:cstheme="majorBidi"/>
      <w:caps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6017B"/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Dummy">
    <w:name w:val="Dummy"/>
    <w:next w:val="Normal"/>
    <w:uiPriority w:val="19"/>
    <w:rsid w:val="00F62B7A"/>
    <w:pPr>
      <w:keepNext/>
      <w:keepLines/>
      <w:spacing w:after="120" w:line="240" w:lineRule="auto"/>
      <w:outlineLvl w:val="0"/>
    </w:pPr>
    <w:rPr>
      <w:rFonts w:ascii="Arial" w:hAnsi="Arial" w:cs="Arial"/>
      <w:b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4"/>
    <w:rsid w:val="00287BC5"/>
    <w:rPr>
      <w:rFonts w:ascii="Arial" w:hAnsi="Arial" w:cs="Arial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287BC5"/>
    <w:rPr>
      <w:rFonts w:ascii="Arial" w:eastAsiaTheme="majorEastAsia" w:hAnsi="Arial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287BC5"/>
    <w:rPr>
      <w:rFonts w:ascii="Arial" w:eastAsiaTheme="majorEastAsia" w:hAnsi="Arial" w:cstheme="majorBidi"/>
      <w:b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rsid w:val="00287BC5"/>
    <w:rPr>
      <w:rFonts w:ascii="Arial" w:eastAsiaTheme="majorEastAsia" w:hAnsi="Arial" w:cstheme="majorBidi"/>
      <w:b/>
      <w:sz w:val="26"/>
      <w:szCs w:val="26"/>
    </w:rPr>
  </w:style>
  <w:style w:type="paragraph" w:customStyle="1" w:styleId="Main">
    <w:name w:val="Main"/>
    <w:next w:val="Normal"/>
    <w:uiPriority w:val="19"/>
    <w:rsid w:val="00F62B7A"/>
    <w:pPr>
      <w:spacing w:after="0" w:line="240" w:lineRule="auto"/>
      <w:jc w:val="center"/>
    </w:pPr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Mainex">
    <w:name w:val="Mainex"/>
    <w:basedOn w:val="Main"/>
    <w:next w:val="Normal"/>
    <w:uiPriority w:val="19"/>
    <w:rsid w:val="000A6E05"/>
    <w:pPr>
      <w:keepNext/>
      <w:spacing w:line="360" w:lineRule="auto"/>
      <w:outlineLvl w:val="0"/>
    </w:pPr>
    <w:rPr>
      <w:spacing w:val="120"/>
    </w:rPr>
  </w:style>
  <w:style w:type="paragraph" w:styleId="TOC2">
    <w:name w:val="toc 2"/>
    <w:basedOn w:val="Normal"/>
    <w:next w:val="Normal"/>
    <w:uiPriority w:val="39"/>
    <w:unhideWhenUsed/>
    <w:rsid w:val="00ED5725"/>
    <w:pPr>
      <w:spacing w:line="240" w:lineRule="auto"/>
      <w:ind w:left="864" w:hanging="648"/>
    </w:pPr>
    <w:rPr>
      <w:rFonts w:eastAsiaTheme="minorEastAsia" w:cs="Times New Roman"/>
    </w:rPr>
  </w:style>
  <w:style w:type="paragraph" w:styleId="TOC1">
    <w:name w:val="toc 1"/>
    <w:basedOn w:val="Normal"/>
    <w:next w:val="Normal"/>
    <w:uiPriority w:val="39"/>
    <w:unhideWhenUsed/>
    <w:rsid w:val="00ED5725"/>
    <w:pPr>
      <w:spacing w:line="240" w:lineRule="auto"/>
      <w:ind w:left="432" w:hanging="432"/>
    </w:pPr>
    <w:rPr>
      <w:rFonts w:eastAsiaTheme="minorEastAsia" w:cs="Times New Roman"/>
    </w:rPr>
  </w:style>
  <w:style w:type="paragraph" w:styleId="TOC3">
    <w:name w:val="toc 3"/>
    <w:basedOn w:val="Normal"/>
    <w:next w:val="Normal"/>
    <w:uiPriority w:val="39"/>
    <w:unhideWhenUsed/>
    <w:rsid w:val="008C7413"/>
    <w:pPr>
      <w:spacing w:line="240" w:lineRule="auto"/>
      <w:ind w:left="1296" w:hanging="864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rsid w:val="00D82A43"/>
    <w:rPr>
      <w:color w:val="0563C1" w:themeColor="hyperlink"/>
      <w:u w:val="single"/>
    </w:rPr>
  </w:style>
  <w:style w:type="numbering" w:customStyle="1" w:styleId="FoFCoLOP">
    <w:name w:val="FoF/CoL/OP"/>
    <w:uiPriority w:val="99"/>
    <w:rsid w:val="008E6AE6"/>
    <w:pPr>
      <w:numPr>
        <w:numId w:val="2"/>
      </w:numPr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82A43"/>
    <w:pPr>
      <w:spacing w:after="100"/>
      <w:ind w:left="2080"/>
    </w:pPr>
  </w:style>
  <w:style w:type="paragraph" w:styleId="Header">
    <w:name w:val="header"/>
    <w:basedOn w:val="Normal"/>
    <w:link w:val="HeaderChar"/>
    <w:uiPriority w:val="99"/>
    <w:semiHidden/>
    <w:rsid w:val="009813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6F2"/>
    <w:rPr>
      <w:rFonts w:ascii="Book Antiqua" w:hAnsi="Book Antiqua"/>
      <w:sz w:val="26"/>
    </w:rPr>
  </w:style>
  <w:style w:type="paragraph" w:styleId="Footer">
    <w:name w:val="footer"/>
    <w:basedOn w:val="Normal"/>
    <w:link w:val="FooterChar"/>
    <w:uiPriority w:val="99"/>
    <w:semiHidden/>
    <w:rsid w:val="00EE30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57C1"/>
    <w:rPr>
      <w:rFonts w:ascii="Book Antiqua" w:hAnsi="Book Antiqua"/>
      <w:sz w:val="26"/>
    </w:rPr>
  </w:style>
  <w:style w:type="paragraph" w:customStyle="1" w:styleId="BlockQuote">
    <w:name w:val="Block Quote"/>
    <w:basedOn w:val="Standard"/>
    <w:uiPriority w:val="5"/>
    <w:qFormat/>
    <w:rsid w:val="00EA36C6"/>
    <w:pPr>
      <w:spacing w:after="120" w:line="240" w:lineRule="auto"/>
      <w:ind w:left="720" w:right="720" w:firstLine="0"/>
    </w:pPr>
  </w:style>
  <w:style w:type="paragraph" w:styleId="FootnoteText">
    <w:name w:val="footnote text"/>
    <w:basedOn w:val="Normal"/>
    <w:link w:val="FootnoteTextChar"/>
    <w:uiPriority w:val="40"/>
    <w:rsid w:val="00B01F7E"/>
    <w:pPr>
      <w:spacing w:after="120" w:line="240" w:lineRule="auto"/>
      <w:ind w:firstLine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7657C1"/>
    <w:rPr>
      <w:rFonts w:ascii="Book Antiqua" w:hAnsi="Book Antiqua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8E7"/>
    <w:rPr>
      <w:vertAlign w:val="superscript"/>
    </w:rPr>
  </w:style>
  <w:style w:type="paragraph" w:customStyle="1" w:styleId="FoF">
    <w:name w:val="FoF"/>
    <w:basedOn w:val="Standard"/>
    <w:uiPriority w:val="6"/>
    <w:qFormat/>
    <w:rsid w:val="001E2A62"/>
    <w:pPr>
      <w:numPr>
        <w:numId w:val="3"/>
      </w:numPr>
      <w:ind w:firstLine="547"/>
    </w:pPr>
  </w:style>
  <w:style w:type="paragraph" w:customStyle="1" w:styleId="CoL">
    <w:name w:val="CoL"/>
    <w:basedOn w:val="Standard"/>
    <w:uiPriority w:val="7"/>
    <w:qFormat/>
    <w:rsid w:val="001E2A62"/>
    <w:pPr>
      <w:numPr>
        <w:numId w:val="4"/>
      </w:numPr>
      <w:ind w:firstLine="547"/>
    </w:pPr>
  </w:style>
  <w:style w:type="paragraph" w:styleId="NoSpacing">
    <w:name w:val="No Spacing"/>
    <w:basedOn w:val="Standard"/>
    <w:uiPriority w:val="1"/>
    <w:rsid w:val="00287BC5"/>
    <w:pPr>
      <w:spacing w:after="120" w:line="240" w:lineRule="auto"/>
      <w:ind w:firstLine="0"/>
      <w:contextualSpacing/>
    </w:pPr>
  </w:style>
  <w:style w:type="paragraph" w:customStyle="1" w:styleId="OP">
    <w:name w:val="OP"/>
    <w:basedOn w:val="Standard"/>
    <w:uiPriority w:val="8"/>
    <w:qFormat/>
    <w:rsid w:val="001E2A62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D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3A"/>
    <w:rPr>
      <w:rFonts w:ascii="Segoe UI" w:hAnsi="Segoe UI" w:cs="Segoe UI"/>
      <w:sz w:val="18"/>
      <w:szCs w:val="18"/>
    </w:rPr>
  </w:style>
  <w:style w:type="numbering" w:customStyle="1" w:styleId="Headings">
    <w:name w:val="Headings"/>
    <w:uiPriority w:val="99"/>
    <w:rsid w:val="000E270A"/>
    <w:pPr>
      <w:numPr>
        <w:numId w:val="6"/>
      </w:numPr>
    </w:pPr>
  </w:style>
  <w:style w:type="paragraph" w:customStyle="1" w:styleId="Standard">
    <w:name w:val="Standard"/>
    <w:basedOn w:val="Normal"/>
    <w:qFormat/>
    <w:rsid w:val="007A406D"/>
  </w:style>
  <w:style w:type="paragraph" w:customStyle="1" w:styleId="ListAlpha">
    <w:name w:val="List Alpha"/>
    <w:basedOn w:val="Standard"/>
    <w:uiPriority w:val="4"/>
    <w:qFormat/>
    <w:rsid w:val="000E270A"/>
    <w:pPr>
      <w:numPr>
        <w:ilvl w:val="7"/>
        <w:numId w:val="15"/>
      </w:numPr>
      <w:spacing w:after="120" w:line="240" w:lineRule="auto"/>
    </w:pPr>
  </w:style>
  <w:style w:type="paragraph" w:styleId="ListBullet">
    <w:name w:val="List Bullet"/>
    <w:basedOn w:val="Standard"/>
    <w:uiPriority w:val="4"/>
    <w:qFormat/>
    <w:rsid w:val="001F2819"/>
    <w:pPr>
      <w:numPr>
        <w:numId w:val="9"/>
      </w:numPr>
      <w:tabs>
        <w:tab w:val="clear" w:pos="360"/>
      </w:tabs>
      <w:spacing w:after="120" w:line="240" w:lineRule="auto"/>
      <w:ind w:left="1080"/>
    </w:pPr>
  </w:style>
  <w:style w:type="character" w:customStyle="1" w:styleId="Heading6Char">
    <w:name w:val="Heading 6 Char"/>
    <w:basedOn w:val="DefaultParagraphFont"/>
    <w:link w:val="Heading6"/>
    <w:uiPriority w:val="4"/>
    <w:rsid w:val="00287BC5"/>
    <w:rPr>
      <w:rFonts w:ascii="Arial" w:eastAsiaTheme="majorEastAsia" w:hAnsi="Arial" w:cstheme="majorBidi"/>
      <w:b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8C7413"/>
    <w:pPr>
      <w:spacing w:line="240" w:lineRule="auto"/>
      <w:ind w:left="1728" w:hanging="1080"/>
    </w:pPr>
  </w:style>
  <w:style w:type="paragraph" w:styleId="TOC5">
    <w:name w:val="toc 5"/>
    <w:basedOn w:val="Normal"/>
    <w:next w:val="Normal"/>
    <w:autoRedefine/>
    <w:uiPriority w:val="39"/>
    <w:unhideWhenUsed/>
    <w:rsid w:val="008C7413"/>
    <w:pPr>
      <w:spacing w:line="240" w:lineRule="auto"/>
      <w:ind w:left="2160" w:hanging="1296"/>
    </w:pPr>
  </w:style>
  <w:style w:type="paragraph" w:styleId="TOC6">
    <w:name w:val="toc 6"/>
    <w:basedOn w:val="Normal"/>
    <w:next w:val="Normal"/>
    <w:autoRedefine/>
    <w:uiPriority w:val="39"/>
    <w:unhideWhenUsed/>
    <w:rsid w:val="008C7413"/>
    <w:pPr>
      <w:spacing w:line="240" w:lineRule="auto"/>
      <w:ind w:left="2592" w:hanging="1512"/>
    </w:pPr>
  </w:style>
  <w:style w:type="paragraph" w:customStyle="1" w:styleId="TableText">
    <w:name w:val="Table Text"/>
    <w:basedOn w:val="NoSpacing"/>
    <w:uiPriority w:val="5"/>
    <w:rsid w:val="00E53438"/>
    <w:pPr>
      <w:spacing w:after="0"/>
    </w:pPr>
    <w:rPr>
      <w:sz w:val="22"/>
    </w:rPr>
  </w:style>
  <w:style w:type="paragraph" w:customStyle="1" w:styleId="ListNum">
    <w:name w:val="List Num"/>
    <w:basedOn w:val="Standard"/>
    <w:uiPriority w:val="4"/>
    <w:rsid w:val="000E270A"/>
    <w:pPr>
      <w:numPr>
        <w:ilvl w:val="6"/>
        <w:numId w:val="15"/>
      </w:numPr>
      <w:spacing w:after="120" w:line="240" w:lineRule="auto"/>
    </w:pPr>
  </w:style>
  <w:style w:type="paragraph" w:styleId="Revision">
    <w:name w:val="Revision"/>
    <w:hidden/>
    <w:uiPriority w:val="99"/>
    <w:semiHidden/>
    <w:rsid w:val="007A3820"/>
    <w:pPr>
      <w:spacing w:after="0" w:line="240" w:lineRule="auto"/>
    </w:pPr>
    <w:rPr>
      <w:rFonts w:ascii="Book Antiqua" w:hAnsi="Book Antiqua"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C75C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5C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5CE5"/>
    <w:rPr>
      <w:rFonts w:ascii="Book Antiqua" w:hAnsi="Book Antiqu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5C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5CE5"/>
    <w:rPr>
      <w:rFonts w:ascii="Book Antiqua" w:hAnsi="Book Antiqua"/>
      <w:b/>
      <w:bCs/>
      <w:sz w:val="20"/>
      <w:szCs w:val="20"/>
    </w:rPr>
  </w:style>
  <w:style w:type="paragraph" w:styleId="ListParagraph">
    <w:name w:val="List Paragraph"/>
    <w:basedOn w:val="Normal"/>
    <w:uiPriority w:val="34"/>
    <w:rsid w:val="008E63EF"/>
    <w:pPr>
      <w:ind w:left="720"/>
      <w:contextualSpacing/>
    </w:pPr>
  </w:style>
  <w:style w:type="paragraph" w:customStyle="1" w:styleId="BlockQuoteH025">
    <w:name w:val="BlockQuoteH025"/>
    <w:basedOn w:val="Normal"/>
    <w:qFormat/>
    <w:rsid w:val="003F0CD2"/>
    <w:pPr>
      <w:spacing w:after="120" w:line="240" w:lineRule="auto"/>
      <w:ind w:left="1080" w:right="1440" w:hanging="360"/>
    </w:pPr>
  </w:style>
  <w:style w:type="paragraph" w:customStyle="1" w:styleId="SigBlockBA-Cmr">
    <w:name w:val="SigBlockBA-Cmr"/>
    <w:basedOn w:val="Normal"/>
    <w:qFormat/>
    <w:rsid w:val="006237E7"/>
    <w:pPr>
      <w:keepNext/>
      <w:autoSpaceDE w:val="0"/>
      <w:autoSpaceDN w:val="0"/>
      <w:adjustRightInd w:val="0"/>
      <w:spacing w:line="240" w:lineRule="auto"/>
      <w:ind w:left="4320" w:firstLine="0"/>
    </w:pPr>
    <w:rPr>
      <w:rFonts w:eastAsia="Times New Roman" w:cs="Times New Roman"/>
      <w:szCs w:val="20"/>
    </w:rPr>
  </w:style>
  <w:style w:type="paragraph" w:customStyle="1" w:styleId="SigBlockBA-Title">
    <w:name w:val="SigBlockBA-Title"/>
    <w:basedOn w:val="Normal"/>
    <w:qFormat/>
    <w:rsid w:val="006237E7"/>
    <w:pPr>
      <w:keepNext/>
      <w:autoSpaceDE w:val="0"/>
      <w:autoSpaceDN w:val="0"/>
      <w:adjustRightInd w:val="0"/>
      <w:spacing w:line="240" w:lineRule="auto"/>
      <w:ind w:left="5400" w:firstLine="0"/>
    </w:pPr>
    <w:rPr>
      <w:rFonts w:eastAsia="Times New Roman" w:cs="Times New Roman"/>
      <w:szCs w:val="20"/>
    </w:rPr>
  </w:style>
  <w:style w:type="paragraph" w:customStyle="1" w:styleId="SigSpaceBA">
    <w:name w:val="SigSpaceBA"/>
    <w:basedOn w:val="Normal"/>
    <w:qFormat/>
    <w:rsid w:val="006237E7"/>
    <w:pPr>
      <w:keepNext/>
      <w:autoSpaceDE w:val="0"/>
      <w:autoSpaceDN w:val="0"/>
      <w:adjustRightInd w:val="0"/>
      <w:ind w:left="4320" w:firstLine="0"/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7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51fd4b-b0a8-4cee-8b97-77eacc5af0f7">
      <UserInfo>
        <DisplayName>Doherty, Patrick</DisplayName>
        <AccountId>53</AccountId>
        <AccountType/>
      </UserInfo>
      <UserInfo>
        <DisplayName>McKinney, Jeanne</DisplayName>
        <AccountId>29</AccountId>
        <AccountType/>
      </UserInfo>
      <UserInfo>
        <DisplayName>Kim, Kimberly</DisplayName>
        <AccountId>12</AccountId>
        <AccountType/>
      </UserInfo>
      <UserInfo>
        <DisplayName>MacDonald, Katherine</DisplayName>
        <AccountId>33</AccountId>
        <AccountType/>
      </UserInfo>
      <UserInfo>
        <DisplayName>Odell, Eileen</DisplayName>
        <AccountId>362</AccountId>
        <AccountType/>
      </UserInfo>
    </SharedWithUsers>
    <lcf76f155ced4ddcb4097134ff3c332f xmlns="a24cfdaa-3f84-4543-8006-7aafcb05bc28">
      <Terms xmlns="http://schemas.microsoft.com/office/infopath/2007/PartnerControls"/>
    </lcf76f155ced4ddcb4097134ff3c332f>
    <TaxCatchAll xmlns="3c51fd4b-b0a8-4cee-8b97-77eacc5af0f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7D49496411704C98823D97BD8A3AEF" ma:contentTypeVersion="16" ma:contentTypeDescription="Create a new document." ma:contentTypeScope="" ma:versionID="129bdc740f4af5bc5bce3e64490311db">
  <xsd:schema xmlns:xsd="http://www.w3.org/2001/XMLSchema" xmlns:xs="http://www.w3.org/2001/XMLSchema" xmlns:p="http://schemas.microsoft.com/office/2006/metadata/properties" xmlns:ns2="a24cfdaa-3f84-4543-8006-7aafcb05bc28" xmlns:ns3="3c51fd4b-b0a8-4cee-8b97-77eacc5af0f7" targetNamespace="http://schemas.microsoft.com/office/2006/metadata/properties" ma:root="true" ma:fieldsID="a77d2ffb77d2c2317744030685f74046" ns2:_="" ns3:_="">
    <xsd:import namespace="a24cfdaa-3f84-4543-8006-7aafcb05bc28"/>
    <xsd:import namespace="3c51fd4b-b0a8-4cee-8b97-77eacc5af0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cfdaa-3f84-4543-8006-7aafcb05b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1fd4b-b0a8-4cee-8b97-77eacc5af0f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313bba-19fc-4463-aea9-079b48bf6d0f}" ma:internalName="TaxCatchAll" ma:showField="CatchAllData" ma:web="3c51fd4b-b0a8-4cee-8b97-77eacc5af0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8BADF2214F6448E5045310EA9B796" ma:contentTypeVersion="17" ma:contentTypeDescription="Create a new document." ma:contentTypeScope="" ma:versionID="f059633148b849ba9c6542b6232e67a9">
  <xsd:schema xmlns:xsd="http://www.w3.org/2001/XMLSchema" xmlns:xs="http://www.w3.org/2001/XMLSchema" xmlns:p="http://schemas.microsoft.com/office/2006/metadata/properties" xmlns:ns2="40c2bee6-72d2-4c4b-bbf2-19a975248824" xmlns:ns3="ef7e321c-44a6-4cb5-81f0-0bfd95ece253" targetNamespace="http://schemas.microsoft.com/office/2006/metadata/properties" ma:root="true" ma:fieldsID="7e80811411858054caea8cd5d7cd81a8" ns2:_="" ns3:_="">
    <xsd:import namespace="40c2bee6-72d2-4c4b-bbf2-19a975248824"/>
    <xsd:import namespace="ef7e321c-44a6-4cb5-81f0-0bfd95ece2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ContentTagLIst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bee6-72d2-4c4b-bbf2-19a9752488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d35960-7829-44dd-b243-a39bb7be529f}" ma:internalName="TaxCatchAll" ma:showField="CatchAllData" ma:web="40c2bee6-72d2-4c4b-bbf2-19a975248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321c-44a6-4cb5-81f0-0bfd95ece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ContentTagLIst" ma:index="23" nillable="true" ma:displayName="Content Tag" ma:format="Dropdown" ma:internalName="ContentTagLIs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J Material"/>
                    <xsd:enumeration value="Support Material"/>
                    <xsd:enumeration value="Miscellaneous"/>
                  </xsd:restriction>
                </xsd:simple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0E4752-B270-4867-90BA-5719077E84AA}">
  <ds:schemaRefs>
    <ds:schemaRef ds:uri="http://schemas.microsoft.com/office/2006/metadata/properties"/>
    <ds:schemaRef ds:uri="http://schemas.microsoft.com/office/infopath/2007/PartnerControls"/>
    <ds:schemaRef ds:uri="3c51fd4b-b0a8-4cee-8b97-77eacc5af0f7"/>
    <ds:schemaRef ds:uri="a24cfdaa-3f84-4543-8006-7aafcb05bc28"/>
  </ds:schemaRefs>
</ds:datastoreItem>
</file>

<file path=customXml/itemProps2.xml><?xml version="1.0" encoding="utf-8"?>
<ds:datastoreItem xmlns:ds="http://schemas.openxmlformats.org/officeDocument/2006/customXml" ds:itemID="{42692CBF-97EE-47CC-813F-1B66EA5AD9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30DE7C-9577-4EA8-AC89-8E2B6CC952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5F1641-34D5-4969-9C6A-461A4556B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4cfdaa-3f84-4543-8006-7aafcb05bc28"/>
    <ds:schemaRef ds:uri="3c51fd4b-b0a8-4cee-8b97-77eacc5af0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509A696-4AC1-42AB-9197-976847DDF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2bee6-72d2-4c4b-bbf2-19a975248824"/>
    <ds:schemaRef ds:uri="ef7e321c-44a6-4cb5-81f0-0bfd95ece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14</ap:Pages>
  <ap:Words>3087</ap:Words>
  <ap:Characters>16336</ap:Characters>
  <ap:Application>Microsoft Office Word</ap:Application>
  <ap:DocSecurity>0</ap:DocSecurity>
  <ap:Lines>314</ap:Lines>
  <ap:Paragraphs>94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19329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2019-07-03T22:18:00Z</cp:lastPrinted>
  <dcterms:created xsi:type="dcterms:W3CDTF">2026-11-05T15:22:21Z</dcterms:created>
  <dcterms:modified xsi:type="dcterms:W3CDTF">2026-11-05T15:22:21Z</dcterms:modified>
</cp:coreProperties>
</file>